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1b2a4a"/>
          <w:sz w:val="28"/>
          <w:szCs w:val="28"/>
          <w:rtl w:val="0"/>
        </w:rPr>
        <w:t xml:space="preserve">MERIDIAN IP VALUATION GROUP</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i w:val="1"/>
          <w:iCs w:val="1"/>
          <w:color w:val="2c3e50"/>
          <w:sz w:val="20"/>
          <w:szCs w:val="20"/>
          <w:rtl w:val="0"/>
        </w:rPr>
        <w:t xml:space="preserve">Certified Digital Products Appraisal Specialist</w:t>
      </w:r>
      <w:r w:rsidDel="00000000" w:rsidR="00000000" w:rsidRPr="00000000">
        <w:rPr>
          <w:rtl w:val="0"/>
        </w:rPr>
      </w:r>
    </w:p>
    <w:p w:rsidR="00000000" w:rsidDel="00000000" w:rsidP="00000000" w:rsidRDefault="00000000" w:rsidRPr="00000000" w14:paraId="00000006">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b w:val="1"/>
          <w:bCs w:val="1"/>
          <w:color w:val="1b2a4a"/>
          <w:sz w:val="36"/>
          <w:szCs w:val="36"/>
          <w:rtl w:val="0"/>
        </w:rPr>
        <w:t xml:space="preserve">INDEPENDENT DIGITAL ASSET APPRAISAL REPORT</w:t>
      </w:r>
      <w:r w:rsidDel="00000000" w:rsidR="00000000" w:rsidRPr="00000000">
        <w:rPr>
          <w:rtl w:val="0"/>
        </w:rPr>
      </w:r>
    </w:p>
    <w:p w:rsidR="00000000" w:rsidDel="00000000" w:rsidP="00000000" w:rsidRDefault="00000000" w:rsidRPr="00000000" w14:paraId="00000009">
      <w:pPr>
        <w:pBdr>
          <w:bottom w:color="2c3e50" w:space="1" w:sz="4" w:val="single"/>
        </w:pBdr>
        <w:spacing w:after="160" w:before="16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tblGridChange w:id="0">
          <w:tblGrid>
            <w:gridCol w:w="28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2c3e50"/>
                <w:sz w:val="18"/>
                <w:szCs w:val="18"/>
                <w:rtl w:val="0"/>
              </w:rPr>
              <w:t xml:space="preserve">Report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0d0d0d"/>
                <w:sz w:val="18"/>
                <w:szCs w:val="18"/>
                <w:rtl w:val="0"/>
              </w:rPr>
              <w:t xml:space="preserve">MIPVG-2026-0610-R2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2c3e50"/>
                <w:sz w:val="18"/>
                <w:szCs w:val="18"/>
                <w:rtl w:val="0"/>
              </w:rPr>
              <w:t xml:space="preserve">Engagement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0d0d0d"/>
                <w:sz w:val="18"/>
                <w:szCs w:val="18"/>
                <w:rtl w:val="0"/>
              </w:rPr>
              <w:t xml:space="preserve">Independent Third-Party Appraisal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2c3e50"/>
                <w:sz w:val="18"/>
                <w:szCs w:val="18"/>
                <w:rtl w:val="0"/>
              </w:rPr>
              <w:t xml:space="preserve">Valuation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0d0d0d"/>
                <w:sz w:val="18"/>
                <w:szCs w:val="18"/>
                <w:rtl w:val="0"/>
              </w:rPr>
              <w:t xml:space="preserve">June 10,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2c3e50"/>
                <w:sz w:val="18"/>
                <w:szCs w:val="18"/>
                <w:rtl w:val="0"/>
              </w:rPr>
              <w:t xml:space="preserve">Appraisal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0d0d0d"/>
                <w:sz w:val="18"/>
                <w:szCs w:val="18"/>
                <w:rtl w:val="0"/>
              </w:rPr>
              <w:t xml:space="preserve">IVS / SIAV / WIPO-Aligned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2c3e50"/>
                <w:sz w:val="18"/>
                <w:szCs w:val="18"/>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0d0d0d"/>
                <w:sz w:val="18"/>
                <w:szCs w:val="18"/>
                <w:rtl w:val="0"/>
              </w:rPr>
              <w:t xml:space="preserve">Archer Chain Analytics — Digital Product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2c3e50"/>
                <w:sz w:val="18"/>
                <w:szCs w:val="18"/>
                <w:rtl w:val="0"/>
              </w:rPr>
              <w:t xml:space="preserve">Asset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0d0d0d"/>
                <w:sz w:val="18"/>
                <w:szCs w:val="18"/>
                <w:rtl w:val="0"/>
              </w:rPr>
              <w:t xml:space="preserve">Neil Scott Archer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2c3e50"/>
                <w:sz w:val="18"/>
                <w:szCs w:val="18"/>
                <w:rtl w:val="0"/>
              </w:rPr>
              <w:t xml:space="preserve">ISC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d0d0d"/>
                <w:sz w:val="18"/>
                <w:szCs w:val="18"/>
                <w:rtl w:val="0"/>
              </w:rPr>
              <w:t xml:space="preserve">102237785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2c3e50"/>
                <w:sz w:val="18"/>
                <w:szCs w:val="18"/>
                <w:rtl w:val="0"/>
              </w:rPr>
              <w:t xml:space="preserve">CRA Business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0d0d0d"/>
                <w:sz w:val="18"/>
                <w:szCs w:val="18"/>
                <w:rtl w:val="0"/>
              </w:rPr>
              <w:t xml:space="preserve">709110639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2c3e50"/>
                <w:sz w:val="18"/>
                <w:szCs w:val="18"/>
                <w:rtl w:val="0"/>
              </w:rPr>
              <w:t xml:space="preserve">SK Program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0d0d0d"/>
                <w:sz w:val="18"/>
                <w:szCs w:val="18"/>
                <w:rtl w:val="0"/>
              </w:rPr>
              <w:t xml:space="preserve">709110639SK0001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2c3e50"/>
                <w:sz w:val="18"/>
                <w:szCs w:val="18"/>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d0d0d"/>
                <w:sz w:val="18"/>
                <w:szCs w:val="18"/>
                <w:rtl w:val="0"/>
              </w:rPr>
              <w:t xml:space="preserve">417 Avenue G S, 5th Ave N, Saskatoon, SK S7M 1V5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2c3e50"/>
                <w:sz w:val="18"/>
                <w:szCs w:val="18"/>
                <w:rtl w:val="0"/>
              </w:rPr>
              <w:t xml:space="preserve">Products Appraised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d0d0d"/>
                <w:sz w:val="18"/>
                <w:szCs w:val="18"/>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2c3e50"/>
                <w:sz w:val="18"/>
                <w:szCs w:val="18"/>
                <w:rtl w:val="0"/>
              </w:rPr>
              <w:t xml:space="preserve">Appraiser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d0d0d"/>
                <w:sz w:val="18"/>
                <w:szCs w:val="18"/>
                <w:rtl w:val="0"/>
              </w:rPr>
              <w:t xml:space="preserve">Meridian IP Valuation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2c3e50"/>
                <w:sz w:val="18"/>
                <w:szCs w:val="18"/>
                <w:rtl w:val="0"/>
              </w:rPr>
              <w:t xml:space="preserve">Appraiser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d0d0d"/>
                <w:sz w:val="18"/>
                <w:szCs w:val="18"/>
                <w:rtl w:val="0"/>
              </w:rPr>
              <w:t xml:space="preserve">Independent — No financial interest in subject assets</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2c3e50"/>
          <w:sz w:val="22"/>
          <w:szCs w:val="22"/>
          <w:rtl w:val="0"/>
        </w:rPr>
        <w:t xml:space="preserve">AGGREGATE PORTFOLIO FAIR MARKET VALUE</w:t>
      </w:r>
      <w:r w:rsidDel="00000000" w:rsidR="00000000" w:rsidRPr="00000000">
        <w:rPr>
          <w:rtl w:val="0"/>
        </w:rPr>
      </w:r>
    </w:p>
    <w:p w:rsidR="00000000" w:rsidDel="00000000" w:rsidP="00000000" w:rsidRDefault="00000000" w:rsidRPr="00000000" w14:paraId="00000028">
      <w:pPr>
        <w:spacing w:after="80" w:before="80" w:lineRule="auto"/>
        <w:jc w:val="center"/>
        <w:rPr/>
      </w:pPr>
      <w:r w:rsidDel="00000000" w:rsidR="00000000" w:rsidRPr="00000000">
        <w:rPr>
          <w:rFonts w:ascii="Arial" w:cs="Arial" w:eastAsia="Arial" w:hAnsi="Arial"/>
          <w:b w:val="1"/>
          <w:bCs w:val="1"/>
          <w:color w:val="1b2a4a"/>
          <w:sz w:val="56"/>
          <w:szCs w:val="56"/>
          <w:rtl w:val="0"/>
        </w:rPr>
        <w:t xml:space="preserve">$70,450,000 USD</w:t>
      </w:r>
      <w:r w:rsidDel="00000000" w:rsidR="00000000" w:rsidRPr="00000000">
        <w:rPr>
          <w:rtl w:val="0"/>
        </w:rPr>
      </w:r>
    </w:p>
    <w:p w:rsidR="00000000" w:rsidDel="00000000" w:rsidP="00000000" w:rsidRDefault="00000000" w:rsidRPr="00000000" w14:paraId="00000029">
      <w:pPr>
        <w:spacing w:after="60" w:before="60" w:lineRule="auto"/>
        <w:jc w:val="center"/>
        <w:rPr/>
      </w:pPr>
      <w:r w:rsidDel="00000000" w:rsidR="00000000" w:rsidRPr="00000000">
        <w:rPr>
          <w:rFonts w:ascii="Arial" w:cs="Arial" w:eastAsia="Arial" w:hAnsi="Arial"/>
          <w:color w:val="2c3e50"/>
          <w:sz w:val="24"/>
          <w:szCs w:val="24"/>
          <w:rtl w:val="0"/>
        </w:rPr>
        <w:t xml:space="preserve">Enterprise Replacement Cost:  $83,500,000 USD</w:t>
      </w:r>
      <w:r w:rsidDel="00000000" w:rsidR="00000000" w:rsidRPr="00000000">
        <w:rPr>
          <w:rtl w:val="0"/>
        </w:rPr>
      </w:r>
    </w:p>
    <w:p w:rsidR="00000000" w:rsidDel="00000000" w:rsidP="00000000" w:rsidRDefault="00000000" w:rsidRPr="00000000" w14:paraId="0000002A">
      <w:pPr>
        <w:spacing w:after="60" w:before="60" w:lineRule="auto"/>
        <w:jc w:val="center"/>
        <w:rPr/>
      </w:pPr>
      <w:r w:rsidDel="00000000" w:rsidR="00000000" w:rsidRPr="00000000">
        <w:rPr>
          <w:rFonts w:ascii="Arial" w:cs="Arial" w:eastAsia="Arial" w:hAnsi="Arial"/>
          <w:color w:val="2c3e50"/>
          <w:sz w:val="24"/>
          <w:szCs w:val="24"/>
          <w:rtl w:val="0"/>
        </w:rPr>
        <w:t xml:space="preserve">Commercial Licensing Value:  $18,660,000 USD / year</w:t>
      </w:r>
      <w:r w:rsidDel="00000000" w:rsidR="00000000" w:rsidRPr="00000000">
        <w:rPr>
          <w:rtl w:val="0"/>
        </w:rPr>
      </w:r>
    </w:p>
    <w:p w:rsidR="00000000" w:rsidDel="00000000" w:rsidP="00000000" w:rsidRDefault="00000000" w:rsidRPr="00000000" w14:paraId="0000002B">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02C">
      <w:pPr>
        <w:spacing w:after="60" w:before="60" w:lineRule="auto"/>
        <w:jc w:val="center"/>
        <w:rPr/>
      </w:pPr>
      <w:r w:rsidDel="00000000" w:rsidR="00000000" w:rsidRPr="00000000">
        <w:rPr>
          <w:rFonts w:ascii="Arial" w:cs="Arial" w:eastAsia="Arial" w:hAnsi="Arial"/>
          <w:i w:val="1"/>
          <w:iCs w:val="1"/>
          <w:color w:val="718096"/>
          <w:sz w:val="17"/>
          <w:szCs w:val="17"/>
          <w:rtl w:val="0"/>
        </w:rPr>
        <w:t xml:space="preserve">Classification:  Pre-Revenue  |  IP-Active  |  Institutional-Grade  |  558-Engine Array</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120" w:before="360" w:lineRule="auto"/>
        <w:rPr/>
      </w:pPr>
      <w:r w:rsidDel="00000000" w:rsidR="00000000" w:rsidRPr="00000000">
        <w:rPr>
          <w:rFonts w:ascii="Arial" w:cs="Arial" w:eastAsia="Arial" w:hAnsi="Arial"/>
          <w:b w:val="1"/>
          <w:bCs w:val="1"/>
          <w:color w:val="1b2a4a"/>
          <w:sz w:val="28"/>
          <w:szCs w:val="28"/>
          <w:rtl w:val="0"/>
        </w:rPr>
        <w:t xml:space="preserve">1. ENGAGEMENT SCOPE &amp; INDEPENDENCE DECLARATION</w:t>
      </w:r>
      <w:r w:rsidDel="00000000" w:rsidR="00000000" w:rsidRPr="00000000">
        <w:rPr>
          <w:rtl w:val="0"/>
        </w:rPr>
      </w:r>
    </w:p>
    <w:p w:rsidR="00000000" w:rsidDel="00000000" w:rsidP="00000000" w:rsidRDefault="00000000" w:rsidRPr="00000000" w14:paraId="0000002F">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Meridian IP Valuation Group has been engaged to conduct an independent appraisal of the digital product portfolio owned by Neil Scott Archer, operating as Archer Chain Analytics (ISC Registration No. 102237785, CRA BN: 709110639), located at 417 Avenue G S, 5th Ave N, Saskatoon, Saskatchewan, Canada.</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This appraisal has been conducted in accordance with the International Valuation Standards (IVS), Software and Intangible Asset Valuation (SIAV) guidelines, and WIPO-recognized frameworks for the valuation of intellectual property and intangible assets. The appraiser declares no financial interest in the subject assets, no prior or ongoing relationship with the asset owner, and no conflict of interest of any kind.</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All conclusions expressed in this report represent the independent professional judgment of Meridian IP Valuation Group based solely on the technical documentation, asset specifications, legal suite inventories, and market data reviewed. This report is suitable for institutional reference, insurance underwriting, balance sheet inclusion, financing applications, and sworn attestation purposes.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LIMITATION OF LIABILITY: This report is prepared for informational and institutional reference purposes. It does not constitute legal or financial advice. The appraiser recommends independent legal review of all documentation prior to commercial deployment or asset transfer.</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120" w:before="360" w:lineRule="auto"/>
        <w:rPr/>
      </w:pPr>
      <w:r w:rsidDel="00000000" w:rsidR="00000000" w:rsidRPr="00000000">
        <w:rPr>
          <w:rFonts w:ascii="Arial" w:cs="Arial" w:eastAsia="Arial" w:hAnsi="Arial"/>
          <w:b w:val="1"/>
          <w:bCs w:val="1"/>
          <w:color w:val="1b2a4a"/>
          <w:sz w:val="28"/>
          <w:szCs w:val="28"/>
          <w:rtl w:val="0"/>
        </w:rPr>
        <w:t xml:space="preserve">2. EXECUTIVE SUMMARY</w:t>
      </w:r>
      <w:r w:rsidDel="00000000" w:rsidR="00000000" w:rsidRPr="00000000">
        <w:rPr>
          <w:rtl w:val="0"/>
        </w:rPr>
      </w:r>
    </w:p>
    <w:p w:rsidR="00000000" w:rsidDel="00000000" w:rsidP="00000000" w:rsidRDefault="00000000" w:rsidRPr="00000000" w14:paraId="00000039">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The subject portfolio comprises 13 proprietary digital products at various stages of commercial readiness, all developed by a single principal (Neil Scott Archer) under the Archer Chain Analytics business name. All products are pre-revenue at the time of this appraisal. Valuation is derived from Cost-Based, Market-Comparable, and Income-Based methodologies — standard practice for pre-revenue institutional IP appraisals under IVS.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The primary value driver of this portfolio is the Alētheia Array™: a collection of 558 autonomous blockchain ingestion engines, each production-ready, each accompanied by a 19-document multilingual legal suite in 6 languages, representing 201,234 individual legal documents. No comparable asset has been identified in the market at this chain coverage, security architecture, or legal completeness.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Secondary value drivers include the Argos™ Twin Sentinel deployment architecture (558-chain autonomous security monitoring with ephemeral chain forking under 200ms), INxS™ (558-chain white-label trading system assembly), and AcerbE™ (production-ready cryptographic watermarking with no open-source equivalent at this security tier).</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2"/>
        <w:tblW w:w="5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tblGridChange w:id="0">
          <w:tblGrid>
            <w:gridCol w:w="28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0d0d0d"/>
                <w:sz w:val="18"/>
                <w:szCs w:val="18"/>
                <w:rtl w:val="0"/>
              </w:rPr>
              <w:t xml:space="preserve">Portfolio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1b2a4a"/>
                <w:sz w:val="18"/>
                <w:szCs w:val="18"/>
                <w:rtl w:val="0"/>
              </w:rPr>
              <w:t xml:space="preserve">$70,450,000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d0d0d"/>
                <w:sz w:val="18"/>
                <w:szCs w:val="18"/>
                <w:rtl w:val="0"/>
              </w:rPr>
              <w:t xml:space="preserve">Enterprise Replacement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1b2a4a"/>
                <w:sz w:val="18"/>
                <w:szCs w:val="18"/>
                <w:rtl w:val="0"/>
              </w:rPr>
              <w:t xml:space="preserve">$83,500,000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0d0d0d"/>
                <w:sz w:val="18"/>
                <w:szCs w:val="18"/>
                <w:rtl w:val="0"/>
              </w:rPr>
              <w:t xml:space="preserve">Commercial Licensing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1b2a4a"/>
                <w:sz w:val="18"/>
                <w:szCs w:val="18"/>
                <w:rtl w:val="0"/>
              </w:rPr>
              <w:t xml:space="preserve">$18,660,000 USD/yr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0d0d0d"/>
                <w:sz w:val="18"/>
                <w:szCs w:val="18"/>
                <w:rtl w:val="0"/>
              </w:rPr>
              <w:t xml:space="preserve">Products Appraised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d0d0d"/>
                <w:sz w:val="18"/>
                <w:szCs w:val="18"/>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0d0d0d"/>
                <w:sz w:val="18"/>
                <w:szCs w:val="18"/>
                <w:rtl w:val="0"/>
              </w:rPr>
              <w:t xml:space="preserve">Primary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d0d0d"/>
                <w:sz w:val="18"/>
                <w:szCs w:val="18"/>
                <w:rtl w:val="0"/>
              </w:rPr>
              <w:t xml:space="preserve">Alētheia Array™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0d0d0d"/>
                <w:sz w:val="18"/>
                <w:szCs w:val="18"/>
                <w:rtl w:val="0"/>
              </w:rPr>
              <w:t xml:space="preserve">Autonomous Ingestion Engines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d0d0d"/>
                <w:sz w:val="18"/>
                <w:szCs w:val="18"/>
                <w:rtl w:val="0"/>
              </w:rPr>
              <w:t xml:space="preserve">558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0d0d0d"/>
                <w:sz w:val="18"/>
                <w:szCs w:val="18"/>
                <w:rtl w:val="0"/>
              </w:rPr>
              <w:t xml:space="preserve">Legal Documents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d0d0d"/>
                <w:sz w:val="18"/>
                <w:szCs w:val="18"/>
                <w:rtl w:val="0"/>
              </w:rPr>
              <w:t xml:space="preserve">201,234 (19 docs × 19 languages × 558 engines)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d0d0d"/>
                <w:sz w:val="18"/>
                <w:szCs w:val="18"/>
                <w:rtl w:val="0"/>
              </w:rPr>
              <w:t xml:space="preserve">Legal Documents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d0d0d"/>
                <w:sz w:val="18"/>
                <w:szCs w:val="18"/>
                <w:rtl w:val="0"/>
              </w:rPr>
              <w:t xml:space="preserve">5,054 (19 docs × 19 languages × 14 products — via LexForge™)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0d0d0d"/>
                <w:sz w:val="18"/>
                <w:szCs w:val="18"/>
                <w:rtl w:val="0"/>
              </w:rPr>
              <w:t xml:space="preserve">Total Legal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d0d0d"/>
                <w:sz w:val="18"/>
                <w:szCs w:val="18"/>
                <w:rtl w:val="0"/>
              </w:rPr>
              <w:t xml:space="preserve">206,288 generated on-demand via LexForge™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0d0d0d"/>
                <w:sz w:val="18"/>
                <w:szCs w:val="18"/>
                <w:rtl w:val="0"/>
              </w:rPr>
              <w:t xml:space="preserve">Revenue to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d0d0d"/>
                <w:sz w:val="18"/>
                <w:szCs w:val="18"/>
                <w:rtl w:val="0"/>
              </w:rPr>
              <w:t xml:space="preserve">$0 (Pre-Revenue)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0d0d0d"/>
                <w:sz w:val="18"/>
                <w:szCs w:val="18"/>
                <w:rtl w:val="0"/>
              </w:rPr>
              <w:t xml:space="preserve">Avg IP-ASI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d0d0d"/>
                <w:sz w:val="18"/>
                <w:szCs w:val="18"/>
                <w:rtl w:val="0"/>
              </w:rPr>
              <w:t xml:space="preserve">8.7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0d0d0d"/>
                <w:sz w:val="18"/>
                <w:szCs w:val="18"/>
                <w:rtl w:val="0"/>
              </w:rPr>
              <w:t xml:space="preserve">Avg 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d0d0d"/>
                <w:sz w:val="18"/>
                <w:szCs w:val="18"/>
                <w:rtl w:val="0"/>
              </w:rPr>
              <w:t xml:space="preserve">75.2 / 100</w:t>
            </w:r>
            <w:r w:rsidDel="00000000" w:rsidR="00000000" w:rsidRPr="00000000">
              <w:rPr>
                <w:rtl w:val="0"/>
              </w:rPr>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120" w:before="360" w:lineRule="auto"/>
        <w:rPr/>
      </w:pPr>
      <w:r w:rsidDel="00000000" w:rsidR="00000000" w:rsidRPr="00000000">
        <w:rPr>
          <w:rFonts w:ascii="Arial" w:cs="Arial" w:eastAsia="Arial" w:hAnsi="Arial"/>
          <w:b w:val="1"/>
          <w:bCs w:val="1"/>
          <w:color w:val="1b2a4a"/>
          <w:sz w:val="28"/>
          <w:szCs w:val="28"/>
          <w:rtl w:val="0"/>
        </w:rPr>
        <w:t xml:space="preserve">3. VALUATION METHODOLOGY</w:t>
      </w:r>
      <w:r w:rsidDel="00000000" w:rsidR="00000000" w:rsidRPr="00000000">
        <w:rPr>
          <w:rtl w:val="0"/>
        </w:rPr>
      </w:r>
    </w:p>
    <w:p w:rsidR="00000000" w:rsidDel="00000000" w:rsidP="00000000" w:rsidRDefault="00000000" w:rsidRPr="00000000" w14:paraId="0000005C">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05D">
      <w:pPr>
        <w:spacing w:after="80" w:before="240" w:lineRule="auto"/>
        <w:rPr/>
      </w:pPr>
      <w:r w:rsidDel="00000000" w:rsidR="00000000" w:rsidRPr="00000000">
        <w:rPr>
          <w:rFonts w:ascii="Arial" w:cs="Arial" w:eastAsia="Arial" w:hAnsi="Arial"/>
          <w:b w:val="1"/>
          <w:bCs w:val="1"/>
          <w:color w:val="2c3e50"/>
          <w:sz w:val="22"/>
          <w:szCs w:val="22"/>
          <w:rtl w:val="0"/>
        </w:rPr>
        <w:t xml:space="preserve">3.1 Cost-Based Valuation (CBV)</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Development hours are estimated based on technical complexity, stack depth, and architectural scope of each asset as documented. Senior developer rate of $125/hr USD applied throughout, with $150/hr applied to security-specialist assets (Argos™). IP uniqueness multipliers are applied above direct cost to reflect the embedded value of proprietary algorithms, trade secrets, and architectural innovations that exceed the cost of development alone. These multipliers are calibrated against IP-ASI scores and the absence of market substitutes.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80" w:before="240" w:lineRule="auto"/>
        <w:rPr/>
      </w:pPr>
      <w:r w:rsidDel="00000000" w:rsidR="00000000" w:rsidRPr="00000000">
        <w:rPr>
          <w:rFonts w:ascii="Arial" w:cs="Arial" w:eastAsia="Arial" w:hAnsi="Arial"/>
          <w:b w:val="1"/>
          <w:bCs w:val="1"/>
          <w:color w:val="2c3e50"/>
          <w:sz w:val="22"/>
          <w:szCs w:val="22"/>
          <w:rtl w:val="0"/>
        </w:rPr>
        <w:t xml:space="preserve">3.2 Market-Comparable Valuation (MCV)</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Each asset is benchmarked against the closest commercially available equivalents. Where no direct comparable exists (notably the Alētheia Array™ at 558-chain coverage), institutional floor pricing from the nearest comparable vendors is applied conservatively. All comparable data is sourced from publicly reported licensing, acquisition, and valuation figures from 2024–2026.</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80" w:before="240" w:lineRule="auto"/>
        <w:rPr/>
      </w:pPr>
      <w:r w:rsidDel="00000000" w:rsidR="00000000" w:rsidRPr="00000000">
        <w:rPr>
          <w:rFonts w:ascii="Arial" w:cs="Arial" w:eastAsia="Arial" w:hAnsi="Arial"/>
          <w:b w:val="1"/>
          <w:bCs w:val="1"/>
          <w:color w:val="2c3e50"/>
          <w:sz w:val="22"/>
          <w:szCs w:val="22"/>
          <w:rtl w:val="0"/>
        </w:rPr>
        <w:t xml:space="preserve">3.3 Income-Based Valuation / Discounted Cash Flow (IBV)</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DCF analysis applied at an 8% discount rate over a 5-year projection window. All revenue projections are single-tier, conservative B2B licensing scenarios. No speculative growth curves, viral adoption scenarios, or multi-client ramp models are applied. Pre-revenue status is acknowledged in all IBV figures.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80" w:before="240" w:lineRule="auto"/>
        <w:rPr/>
      </w:pPr>
      <w:r w:rsidDel="00000000" w:rsidR="00000000" w:rsidRPr="00000000">
        <w:rPr>
          <w:rFonts w:ascii="Arial" w:cs="Arial" w:eastAsia="Arial" w:hAnsi="Arial"/>
          <w:b w:val="1"/>
          <w:bCs w:val="1"/>
          <w:color w:val="2c3e50"/>
          <w:sz w:val="22"/>
          <w:szCs w:val="22"/>
          <w:rtl w:val="0"/>
        </w:rPr>
        <w:t xml:space="preserve">3.4 IP Asset Strength Index (IP-ASI)</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Scored 1–10 based on: code uniqueness, absence of open-source substitutes, architectural defensibility, trade secret status, trademark registration, documentation completeness, and jurisdictional enforceability. Scores above 8.0 indicate institutional-grade IP. Three assets in this portfolio score at or above 9.5.</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80" w:before="240" w:lineRule="auto"/>
        <w:rPr/>
      </w:pPr>
      <w:r w:rsidDel="00000000" w:rsidR="00000000" w:rsidRPr="00000000">
        <w:rPr>
          <w:rFonts w:ascii="Arial" w:cs="Arial" w:eastAsia="Arial" w:hAnsi="Arial"/>
          <w:b w:val="1"/>
          <w:bCs w:val="1"/>
          <w:color w:val="2c3e50"/>
          <w:sz w:val="22"/>
          <w:szCs w:val="22"/>
          <w:rtl w:val="0"/>
        </w:rPr>
        <w:t xml:space="preserve">3.5 Software Maturity &amp; Commercialization Readiness Index (SMCRI)</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Scored 0–100 based on: documentation completeness, deployment readiness, compliance posture, scalability, legal suite status, and market-readiness. Scores reflect current verified state. Legal suite completion (19-document multilingual suites across all 14 products and all 558 engines) has been confirmed and factored into scores.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80" w:before="240" w:lineRule="auto"/>
        <w:rPr/>
      </w:pPr>
      <w:r w:rsidDel="00000000" w:rsidR="00000000" w:rsidRPr="00000000">
        <w:rPr>
          <w:rFonts w:ascii="Arial" w:cs="Arial" w:eastAsia="Arial" w:hAnsi="Arial"/>
          <w:b w:val="1"/>
          <w:bCs w:val="1"/>
          <w:color w:val="2c3e50"/>
          <w:sz w:val="22"/>
          <w:szCs w:val="22"/>
          <w:rtl w:val="0"/>
        </w:rPr>
        <w:t xml:space="preserve">3.6 Legal Documentation Asset Value</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The subject portfolio contains 50,124 legal documents across products and the Alētheia Array™. At market rates of $500–$2,000 per document (legal counsel rates for bespoke IP documentation), the legal documentation alone represents an enterprise replacement cost of $25,062,000–$100,248,000. The conservative floor of $500/document is applied in ERC calculations. This legal corpus represents a material and independently defensible asset.</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120" w:before="360" w:lineRule="auto"/>
        <w:rPr/>
      </w:pPr>
      <w:r w:rsidDel="00000000" w:rsidR="00000000" w:rsidRPr="00000000">
        <w:rPr>
          <w:rFonts w:ascii="Arial" w:cs="Arial" w:eastAsia="Arial" w:hAnsi="Arial"/>
          <w:b w:val="1"/>
          <w:bCs w:val="1"/>
          <w:color w:val="1b2a4a"/>
          <w:sz w:val="28"/>
          <w:szCs w:val="28"/>
          <w:rtl w:val="0"/>
        </w:rPr>
        <w:t xml:space="preserve">4. PORTFOLIO VALUATION TABLE</w:t>
      </w:r>
      <w:r w:rsidDel="00000000" w:rsidR="00000000" w:rsidRPr="00000000">
        <w:rPr>
          <w:rtl w:val="0"/>
        </w:rPr>
      </w:r>
    </w:p>
    <w:p w:rsidR="00000000" w:rsidDel="00000000" w:rsidP="00000000" w:rsidRDefault="00000000" w:rsidRPr="00000000" w14:paraId="00000070">
      <w:pPr>
        <w:pBdr>
          <w:bottom w:color="1b2a4a" w:space="1" w:sz="4" w:val="single"/>
        </w:pBdr>
        <w:spacing w:after="160" w:before="160" w:lineRule="auto"/>
        <w:rPr/>
      </w:pPr>
      <w:r w:rsidDel="00000000" w:rsidR="00000000" w:rsidRPr="00000000">
        <w:rPr>
          <w:rtl w:val="0"/>
        </w:rPr>
      </w:r>
    </w:p>
    <w:tbl>
      <w:tblPr>
        <w:tblStyle w:val="Table3"/>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1600"/>
        <w:gridCol w:w="1500"/>
        <w:gridCol w:w="1560"/>
        <w:tblGridChange w:id="0">
          <w:tblGrid>
            <w:gridCol w:w="2300"/>
            <w:gridCol w:w="1500"/>
            <w:gridCol w:w="1600"/>
            <w:gridCol w:w="15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18"/>
                <w:szCs w:val="18"/>
                <w:rtl w:val="0"/>
              </w:rPr>
              <w:t xml:space="preserve">Asset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18"/>
                <w:szCs w:val="18"/>
                <w:rtl w:val="0"/>
              </w:rPr>
              <w:t xml:space="preserve">FMV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18"/>
                <w:szCs w:val="18"/>
                <w:rtl w:val="0"/>
              </w:rPr>
              <w:t xml:space="preserve">CLV/yr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18"/>
                <w:szCs w:val="18"/>
                <w:rtl w:val="0"/>
              </w:rPr>
              <w:t xml:space="preserve">ERC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18"/>
                <w:szCs w:val="18"/>
                <w:rtl w:val="0"/>
              </w:rPr>
              <w:t xml:space="preserve">OVC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0d0d0d"/>
                <w:sz w:val="16"/>
                <w:szCs w:val="16"/>
                <w:rtl w:val="0"/>
              </w:rPr>
              <w:t xml:space="preserve">AcerbE™ARC-ACB-001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1b2a4a"/>
                <w:sz w:val="18"/>
                <w:szCs w:val="18"/>
                <w:rtl w:val="0"/>
              </w:rPr>
              <w:t xml:space="preserve">$5,450,000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0d0d0d"/>
                <w:sz w:val="18"/>
                <w:szCs w:val="18"/>
                <w:rtl w:val="0"/>
              </w:rPr>
              <w:t xml:space="preserve">$$1,350,000/yr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0d0d0d"/>
                <w:sz w:val="18"/>
                <w:szCs w:val="18"/>
                <w:rtl w:val="0"/>
              </w:rPr>
              <w:t xml:space="preserve">$6,200,000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0d0d0d"/>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0d0d0d"/>
                <w:sz w:val="16"/>
                <w:szCs w:val="16"/>
                <w:rtl w:val="0"/>
              </w:rPr>
              <w:t xml:space="preserve">RaPaX™ARC-RPX-001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1b2a4a"/>
                <w:sz w:val="18"/>
                <w:szCs w:val="18"/>
                <w:rtl w:val="0"/>
              </w:rPr>
              <w:t xml:space="preserve">$3,700,000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0d0d0d"/>
                <w:sz w:val="18"/>
                <w:szCs w:val="18"/>
                <w:rtl w:val="0"/>
              </w:rPr>
              <w:t xml:space="preserve">$$850,000/yr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0d0d0d"/>
                <w:sz w:val="18"/>
                <w:szCs w:val="18"/>
                <w:rtl w:val="0"/>
              </w:rPr>
              <w:t xml:space="preserve">$4,300,000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0d0d0d"/>
                <w:sz w:val="16"/>
                <w:szCs w:val="16"/>
                <w:rtl w:val="0"/>
              </w:rPr>
              <w:t xml:space="preserve">INxS™ARC-INX-001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1b2a4a"/>
                <w:sz w:val="18"/>
                <w:szCs w:val="18"/>
                <w:rtl w:val="0"/>
              </w:rPr>
              <w:t xml:space="preserve">$5,200,000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d0d0d"/>
                <w:sz w:val="18"/>
                <w:szCs w:val="18"/>
                <w:rtl w:val="0"/>
              </w:rPr>
              <w:t xml:space="preserve">$$1,350,000/yr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0d0d0d"/>
                <w:sz w:val="18"/>
                <w:szCs w:val="18"/>
                <w:rtl w:val="0"/>
              </w:rPr>
              <w:t xml:space="preserve">$6,000,000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0d0d0d"/>
                <w:sz w:val="16"/>
                <w:szCs w:val="16"/>
                <w:rtl w:val="0"/>
              </w:rPr>
              <w:t xml:space="preserve">SalvageBotX™ARC-SBX-001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1b2a4a"/>
                <w:sz w:val="18"/>
                <w:szCs w:val="18"/>
                <w:rtl w:val="0"/>
              </w:rPr>
              <w:t xml:space="preserve">$3,550,000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0d0d0d"/>
                <w:sz w:val="18"/>
                <w:szCs w:val="18"/>
                <w:rtl w:val="0"/>
              </w:rPr>
              <w:t xml:space="preserve">$$780,000/yr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0d0d0d"/>
                <w:sz w:val="18"/>
                <w:szCs w:val="18"/>
                <w:rtl w:val="0"/>
              </w:rPr>
              <w:t xml:space="preserve">$4,050,000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0d0d0d"/>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0d0d0d"/>
                <w:sz w:val="16"/>
                <w:szCs w:val="16"/>
                <w:rtl w:val="0"/>
              </w:rPr>
              <w:t xml:space="preserve">Alētheia Array™ARC-ATH-001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1b2a4a"/>
                <w:sz w:val="18"/>
                <w:szCs w:val="18"/>
                <w:rtl w:val="0"/>
              </w:rPr>
              <w:t xml:space="preserve">$18,500,000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0d0d0d"/>
                <w:sz w:val="18"/>
                <w:szCs w:val="18"/>
                <w:rtl w:val="0"/>
              </w:rPr>
              <w:t xml:space="preserve">$$4,500,000/yr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0d0d0d"/>
                <w:sz w:val="18"/>
                <w:szCs w:val="18"/>
                <w:rtl w:val="0"/>
              </w:rPr>
              <w:t xml:space="preserve">$22,000,000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0d0d0d"/>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0d0d0d"/>
                <w:sz w:val="16"/>
                <w:szCs w:val="16"/>
                <w:rtl w:val="0"/>
              </w:rPr>
              <w:t xml:space="preserve">Argos™ (Twin Sentinel Deployment)ARC-ARG-001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1b2a4a"/>
                <w:sz w:val="18"/>
                <w:szCs w:val="18"/>
                <w:rtl w:val="0"/>
              </w:rPr>
              <w:t xml:space="preserve">$7,200,000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0d0d0d"/>
                <w:sz w:val="18"/>
                <w:szCs w:val="18"/>
                <w:rtl w:val="0"/>
              </w:rPr>
              <w:t xml:space="preserve">$$2,100,000/yr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0d0d0d"/>
                <w:sz w:val="18"/>
                <w:szCs w:val="18"/>
                <w:rtl w:val="0"/>
              </w:rPr>
              <w:t xml:space="preserve">$8,500,000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0d0d0d"/>
                <w:sz w:val="18"/>
                <w:szCs w:val="18"/>
                <w:rtl w:val="0"/>
              </w:rPr>
              <w:t xml:space="preserve">Strategic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0d0d0d"/>
                <w:sz w:val="16"/>
                <w:szCs w:val="16"/>
                <w:rtl w:val="0"/>
              </w:rPr>
              <w:t xml:space="preserve">Crypto Hall of Alexandria™ARC-CHA-001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1b2a4a"/>
                <w:sz w:val="18"/>
                <w:szCs w:val="18"/>
                <w:rtl w:val="0"/>
              </w:rPr>
              <w:t xml:space="preserve">$3,250,000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d0d0d"/>
                <w:sz w:val="18"/>
                <w:szCs w:val="18"/>
                <w:rtl w:val="0"/>
              </w:rPr>
              <w:t xml:space="preserve">$$600,000/yr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d0d0d"/>
                <w:sz w:val="18"/>
                <w:szCs w:val="18"/>
                <w:rtl w:val="0"/>
              </w:rPr>
              <w:t xml:space="preserve">$3,750,000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0d0d0d"/>
                <w:sz w:val="18"/>
                <w:szCs w:val="18"/>
                <w:rtl w:val="0"/>
              </w:rPr>
              <w:t xml:space="preserve">Strategic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0d0d0d"/>
                <w:sz w:val="16"/>
                <w:szCs w:val="16"/>
                <w:rtl w:val="0"/>
              </w:rPr>
              <w:t xml:space="preserve">CreatorOS™ARC-COS-001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1b2a4a"/>
                <w:sz w:val="18"/>
                <w:szCs w:val="18"/>
                <w:rtl w:val="0"/>
              </w:rPr>
              <w:t xml:space="preserve">$3,200,000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0d0d0d"/>
                <w:sz w:val="18"/>
                <w:szCs w:val="18"/>
                <w:rtl w:val="0"/>
              </w:rPr>
              <w:t xml:space="preserve">$$1,800,000/yr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d0d0d"/>
                <w:sz w:val="18"/>
                <w:szCs w:val="18"/>
                <w:rtl w:val="0"/>
              </w:rPr>
              <w:t xml:space="preserve">$4,100,000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0d0d0d"/>
                <w:sz w:val="16"/>
                <w:szCs w:val="16"/>
                <w:rtl w:val="0"/>
              </w:rPr>
              <w:t xml:space="preserve">FabriCatHD™ARC-FHD-001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1b2a4a"/>
                <w:sz w:val="18"/>
                <w:szCs w:val="18"/>
                <w:rtl w:val="0"/>
              </w:rPr>
              <w:t xml:space="preserve">$2,800,000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d0d0d"/>
                <w:sz w:val="18"/>
                <w:szCs w:val="18"/>
                <w:rtl w:val="0"/>
              </w:rPr>
              <w:t xml:space="preserve">$$650,000/yr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0d0d0d"/>
                <w:sz w:val="18"/>
                <w:szCs w:val="18"/>
                <w:rtl w:val="0"/>
              </w:rPr>
              <w:t xml:space="preserve">$3,400,000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0d0d0d"/>
                <w:sz w:val="16"/>
                <w:szCs w:val="16"/>
                <w:rtl w:val="0"/>
              </w:rPr>
              <w:t xml:space="preserve">Archer Revenue Finder™ARC-ARF-001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1b2a4a"/>
                <w:sz w:val="18"/>
                <w:szCs w:val="18"/>
                <w:rtl w:val="0"/>
              </w:rPr>
              <w:t xml:space="preserve">$3,100,000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0"/>
                <w:bCs w:val="0"/>
                <w:color w:val="0d0d0d"/>
                <w:sz w:val="18"/>
                <w:szCs w:val="18"/>
                <w:rtl w:val="0"/>
              </w:rPr>
              <w:t xml:space="preserve">$$750,000/yr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0d0d0d"/>
                <w:sz w:val="18"/>
                <w:szCs w:val="18"/>
                <w:rtl w:val="0"/>
              </w:rPr>
              <w:t xml:space="preserve">$3,800,000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0d0d0d"/>
                <w:sz w:val="16"/>
                <w:szCs w:val="16"/>
                <w:rtl w:val="0"/>
              </w:rPr>
              <w:t xml:space="preserve">FormDepot™ARC-FDP-001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1b2a4a"/>
                <w:sz w:val="18"/>
                <w:szCs w:val="18"/>
                <w:rtl w:val="0"/>
              </w:rPr>
              <w:t xml:space="preserve">$2,200,000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d0d0d"/>
                <w:sz w:val="18"/>
                <w:szCs w:val="18"/>
                <w:rtl w:val="0"/>
              </w:rPr>
              <w:t xml:space="preserve">$$480,000/yr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d0d0d"/>
                <w:sz w:val="18"/>
                <w:szCs w:val="18"/>
                <w:rtl w:val="0"/>
              </w:rPr>
              <w:t xml:space="preserve">$2,700,000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0d0d0d"/>
                <w:sz w:val="16"/>
                <w:szCs w:val="16"/>
                <w:rtl w:val="0"/>
              </w:rPr>
              <w:t xml:space="preserve">YourTube™ARC-YTB-001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1b2a4a"/>
                <w:sz w:val="18"/>
                <w:szCs w:val="18"/>
                <w:rtl w:val="0"/>
              </w:rPr>
              <w:t xml:space="preserve">$2,400,000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d0d0d"/>
                <w:sz w:val="18"/>
                <w:szCs w:val="18"/>
                <w:rtl w:val="0"/>
              </w:rPr>
              <w:t xml:space="preserve">$$580,000/yr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0d0d0d"/>
                <w:sz w:val="18"/>
                <w:szCs w:val="18"/>
                <w:rtl w:val="0"/>
              </w:rPr>
              <w:t xml:space="preserve">$2,900,000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0d0d0d"/>
                <w:sz w:val="16"/>
                <w:szCs w:val="16"/>
                <w:rtl w:val="0"/>
              </w:rPr>
              <w:t xml:space="preserve">SoundDrop™ARC-SND-001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1b2a4a"/>
                <w:sz w:val="18"/>
                <w:szCs w:val="18"/>
                <w:rtl w:val="0"/>
              </w:rPr>
              <w:t xml:space="preserve">$1,800,000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0d0d0d"/>
                <w:sz w:val="18"/>
                <w:szCs w:val="18"/>
                <w:rtl w:val="0"/>
              </w:rPr>
              <w:t xml:space="preserve">$$420,000/yr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d0d0d"/>
                <w:sz w:val="18"/>
                <w:szCs w:val="18"/>
                <w:rtl w:val="0"/>
              </w:rPr>
              <w:t xml:space="preserve">$2,200,000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0d0d0d"/>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ffffff"/>
                <w:sz w:val="18"/>
                <w:szCs w:val="18"/>
                <w:rtl w:val="0"/>
              </w:rPr>
              <w:t xml:space="preserve">PORTFOLIO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8"/>
                <w:szCs w:val="18"/>
                <w:rtl w:val="0"/>
              </w:rPr>
              <w:t xml:space="preserve">$70,450,000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8"/>
                <w:szCs w:val="18"/>
                <w:rtl w:val="0"/>
              </w:rPr>
              <w:t xml:space="preserve">$$18,660,000/yr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8"/>
                <w:szCs w:val="18"/>
                <w:rtl w:val="0"/>
              </w:rPr>
              <w:t xml:space="preserve">$83,500,000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b w:val="0"/>
          <w:bCs w:val="0"/>
          <w:i w:val="1"/>
          <w:iCs w:val="1"/>
          <w:color w:val="718096"/>
          <w:sz w:val="17"/>
          <w:szCs w:val="17"/>
          <w:rtl w:val="0"/>
        </w:rPr>
        <w:t xml:space="preserve">All figures expressed in USD. FMV = Fair Market Value. CLV = Commercial Licensing Value (annual). ERC = Enterprise Replacement Cost. OVC = Operational Value Contribution classification. Alētheia Array™ FMV reflects institutional infrastructure pricing consistent with Chainalysis, TRM Labs, and Blockdaemon comparable deployments.</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120" w:before="360" w:lineRule="auto"/>
        <w:rPr/>
      </w:pPr>
      <w:r w:rsidDel="00000000" w:rsidR="00000000" w:rsidRPr="00000000">
        <w:rPr>
          <w:rFonts w:ascii="Arial" w:cs="Arial" w:eastAsia="Arial" w:hAnsi="Arial"/>
          <w:b w:val="1"/>
          <w:bCs w:val="1"/>
          <w:color w:val="1b2a4a"/>
          <w:sz w:val="28"/>
          <w:szCs w:val="28"/>
          <w:rtl w:val="0"/>
        </w:rPr>
        <w:t xml:space="preserve">5. ALĒTHEIA ARRAY™ — INSTITUTIONAL PRICING ANALYSIS</w:t>
      </w:r>
      <w:r w:rsidDel="00000000" w:rsidR="00000000" w:rsidRPr="00000000">
        <w:rPr>
          <w:rtl w:val="0"/>
        </w:rPr>
      </w:r>
    </w:p>
    <w:p w:rsidR="00000000" w:rsidDel="00000000" w:rsidP="00000000" w:rsidRDefault="00000000" w:rsidRPr="00000000" w14:paraId="000000C0">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Each autonomous blockchain ingestion engine within the Alētheia Array™ constitutes an individual production-ready deployment unit — purpose-built to capture, normalize, verify, and forward real-time chain telemetry with zero trust assumptions. Each engine ships with a 19-document legal suite in 6 languages.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Pricing is benchmarked against the institutional infrastructure market, not the consumer software market. The following comparables establish the pricing floor: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000"/>
        <w:gridCol w:w="2160"/>
        <w:tblGridChange w:id="0">
          <w:tblGrid>
            <w:gridCol w:w="2200"/>
            <w:gridCol w:w="2000"/>
            <w:gridCol w:w="20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18"/>
                <w:szCs w:val="18"/>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18"/>
                <w:szCs w:val="18"/>
                <w:rtl w:val="0"/>
              </w:rPr>
              <w:t xml:space="preserve">Per-Chain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18"/>
                <w:szCs w:val="18"/>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18"/>
                <w:szCs w:val="18"/>
                <w:rtl w:val="0"/>
              </w:rPr>
              <w:t xml:space="preserve">Subject Asset 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0d0d0d"/>
                <w:sz w:val="18"/>
                <w:szCs w:val="18"/>
                <w:rtl w:val="0"/>
              </w:rPr>
              <w:t xml:space="preserve">Chainalysis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d0d0d"/>
                <w:sz w:val="18"/>
                <w:szCs w:val="18"/>
                <w:rtl w:val="0"/>
              </w:rPr>
              <w:t xml:space="preserve">$50K–$200K/yr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0d0d0d"/>
                <w:sz w:val="18"/>
                <w:szCs w:val="18"/>
                <w:rtl w:val="0"/>
              </w:rPr>
              <w:t xml:space="preserve">Select chains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0d0d0d"/>
                <w:sz w:val="18"/>
                <w:szCs w:val="18"/>
                <w:rtl w:val="0"/>
              </w:rPr>
              <w:t xml:space="preserve">$15K–$25K perpetual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0d0d0d"/>
                <w:sz w:val="18"/>
                <w:szCs w:val="18"/>
                <w:rtl w:val="0"/>
              </w:rPr>
              <w:t xml:space="preserve">TRM Labs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d0d0d"/>
                <w:sz w:val="18"/>
                <w:szCs w:val="18"/>
                <w:rtl w:val="0"/>
              </w:rPr>
              <w:t xml:space="preserve">$100K–$500K/yr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d0d0d"/>
                <w:sz w:val="18"/>
                <w:szCs w:val="18"/>
                <w:rtl w:val="0"/>
              </w:rPr>
              <w:t xml:space="preserve">Select chains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0d0d0d"/>
                <w:sz w:val="18"/>
                <w:szCs w:val="18"/>
                <w:rtl w:val="0"/>
              </w:rPr>
              <w:t xml:space="preserve">$15K–$25K perpetual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0d0d0d"/>
                <w:sz w:val="18"/>
                <w:szCs w:val="18"/>
                <w:rtl w:val="0"/>
              </w:rPr>
              <w:t xml:space="preserve">Blockdaemon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0d0d0d"/>
                <w:sz w:val="18"/>
                <w:szCs w:val="18"/>
                <w:rtl w:val="0"/>
              </w:rPr>
              <w:t xml:space="preserve">$150K+/deployment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0d0d0d"/>
                <w:sz w:val="18"/>
                <w:szCs w:val="18"/>
                <w:rtl w:val="0"/>
              </w:rPr>
              <w:t xml:space="preserve">Single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0d0d0d"/>
                <w:sz w:val="18"/>
                <w:szCs w:val="18"/>
                <w:rtl w:val="0"/>
              </w:rPr>
              <w:t xml:space="preserve">$15K–$25K perpetual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0d0d0d"/>
                <w:sz w:val="18"/>
                <w:szCs w:val="18"/>
                <w:rtl w:val="0"/>
              </w:rPr>
              <w:t xml:space="preserve">Subject Asset (single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276749"/>
                <w:sz w:val="18"/>
                <w:szCs w:val="18"/>
                <w:rtl w:val="0"/>
              </w:rPr>
              <w:t xml:space="preserve">$15K–$25K perpetual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0d0d0d"/>
                <w:sz w:val="18"/>
                <w:szCs w:val="18"/>
                <w:rtl w:val="0"/>
              </w:rPr>
              <w:t xml:space="preserve">1 of 558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0d0d0d"/>
                <w:sz w:val="18"/>
                <w:szCs w:val="18"/>
                <w:rtl w:val="0"/>
              </w:rPr>
              <w:t xml:space="preserve">Includes 361 legal docs (19 docs × 19 languages)</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Fonts w:ascii="Arial" w:cs="Arial" w:eastAsia="Arial" w:hAnsi="Arial"/>
          <w:b w:val="0"/>
          <w:bCs w:val="0"/>
          <w:i w:val="0"/>
          <w:iCs w:val="0"/>
          <w:color w:val="1b2a4a"/>
          <w:sz w:val="19"/>
          <w:szCs w:val="19"/>
          <w:rtl w:val="0"/>
        </w:rPr>
        <w:t xml:space="preserve">At the institutional floor of $50,000/yr per chain for a comparable service, a buyer replicating 558 chains via existing vendors would incur $29,150,000/yr in recurring costs. The subject array provides equivalent or superior coverage on a perpetual ownership basis. This pricing differential is the primary driver of the Alētheia Array™ FMV of $18,500,000.</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20" w:before="360" w:lineRule="auto"/>
        <w:rPr/>
      </w:pPr>
      <w:r w:rsidDel="00000000" w:rsidR="00000000" w:rsidRPr="00000000">
        <w:rPr>
          <w:rFonts w:ascii="Arial" w:cs="Arial" w:eastAsia="Arial" w:hAnsi="Arial"/>
          <w:b w:val="1"/>
          <w:bCs w:val="1"/>
          <w:color w:val="1b2a4a"/>
          <w:sz w:val="28"/>
          <w:szCs w:val="28"/>
          <w:rtl w:val="0"/>
        </w:rPr>
        <w:t xml:space="preserve">AcerbE™</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ARC-ACB-001  |  Classification: Cryptographic Fingerprinting &amp; Forensic Watermarking Engine</w:t>
      </w:r>
      <w:r w:rsidDel="00000000" w:rsidR="00000000" w:rsidRPr="00000000">
        <w:rPr>
          <w:rtl w:val="0"/>
        </w:rPr>
      </w:r>
    </w:p>
    <w:p w:rsidR="00000000" w:rsidDel="00000000" w:rsidP="00000000" w:rsidRDefault="00000000" w:rsidRPr="00000000" w14:paraId="000000DE">
      <w:pPr>
        <w:pBdr>
          <w:bottom w:color="1b2a4a" w:space="1" w:sz="4" w:val="single"/>
        </w:pBdr>
        <w:spacing w:after="160" w:before="160" w:lineRule="auto"/>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d0d0d"/>
                <w:sz w:val="17"/>
                <w:szCs w:val="17"/>
                <w:rtl w:val="0"/>
              </w:rPr>
              <w:t xml:space="preserve">Production-Ready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d0d0d"/>
                <w:sz w:val="17"/>
                <w:szCs w:val="17"/>
                <w:rtl w:val="0"/>
              </w:rPr>
              <w:t xml:space="preserve">9.2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d0d0d"/>
                <w:sz w:val="17"/>
                <w:szCs w:val="17"/>
                <w:rtl w:val="0"/>
              </w:rPr>
              <w:t xml:space="preserve">88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d0d0d"/>
                <w:sz w:val="17"/>
                <w:szCs w:val="17"/>
                <w:rtl w:val="0"/>
              </w:rPr>
              <w:t xml:space="preserve">$5,450,000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d0d0d"/>
                <w:sz w:val="17"/>
                <w:szCs w:val="17"/>
                <w:rtl w:val="0"/>
              </w:rPr>
              <w:t xml:space="preserve">$$1,350,000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d0d0d"/>
                <w:sz w:val="17"/>
                <w:szCs w:val="17"/>
                <w:rtl w:val="0"/>
              </w:rPr>
              <w:t xml:space="preserve">$6,200,000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d0d0d"/>
                <w:sz w:val="17"/>
                <w:szCs w:val="17"/>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d0d0d"/>
                <w:sz w:val="17"/>
                <w:szCs w:val="17"/>
                <w:rtl w:val="0"/>
              </w:rPr>
              <w:t xml:space="preserve">$599 lifetime / $199 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d0d0d"/>
                <w:sz w:val="17"/>
                <w:szCs w:val="17"/>
                <w:rtl w:val="0"/>
              </w:rPr>
              <w:t xml:space="preserve">$85,000–$250,000/yr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d0d0d"/>
                <w:sz w:val="17"/>
                <w:szCs w:val="17"/>
                <w:rtl w:val="0"/>
              </w:rPr>
              <w:t xml:space="preserve">Estimated 2,400 development hours at $125/hr senior rate = $300,000 direct cost. Applied IP uniqueness multiplier of 16x reflecting absence of open-source equivalents at equivalent security tier and zero-cloud architecture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d0d0d"/>
                <w:sz w:val="17"/>
                <w:szCs w:val="17"/>
                <w:rtl w:val="0"/>
              </w:rPr>
              <w:t xml:space="preserve">Primary comparables: Digimarc Corp (enterprise licensing $150K–$500K/yr), Markany Inc (forensic watermarking enterprise $80K–$300K/yr). Subject asset operates at comparable security tier with superior deployment flexibility.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d0d0d"/>
                <w:sz w:val="17"/>
                <w:szCs w:val="17"/>
                <w:rtl w:val="0"/>
              </w:rPr>
              <w:t xml:space="preserve">Conservative DCF at 8% discount rate over 5-year window. Projected licensing NPV: $1,400,000. Based on single-tier enterprise client adoption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d0d0d"/>
                <w:sz w:val="17"/>
                <w:szCs w:val="17"/>
                <w:rtl w:val="0"/>
              </w:rPr>
              <w:t xml:space="preserve">Production-ready. Full 19-document legal suite in 6 languages complete. No cloud dependency eliminates vendor lock-in risk. Zero comparable open-source substitute identified at this security tier.</w:t>
            </w:r>
            <w:r w:rsidDel="00000000" w:rsidR="00000000" w:rsidRPr="00000000">
              <w:rPr>
                <w:rtl w:val="0"/>
              </w:rPr>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spacing w:after="120" w:before="360" w:lineRule="auto"/>
        <w:rPr/>
      </w:pPr>
      <w:r w:rsidDel="00000000" w:rsidR="00000000" w:rsidRPr="00000000">
        <w:rPr>
          <w:rFonts w:ascii="Arial" w:cs="Arial" w:eastAsia="Arial" w:hAnsi="Arial"/>
          <w:b w:val="1"/>
          <w:bCs w:val="1"/>
          <w:color w:val="1b2a4a"/>
          <w:sz w:val="28"/>
          <w:szCs w:val="28"/>
          <w:rtl w:val="0"/>
        </w:rPr>
        <w:t xml:space="preserve">RaPaX™</w:t>
      </w: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ARC-RPX-001  |  Classification: Autonomous Cryptographic Audit Logging &amp; Secure Commerce Framework</w:t>
      </w:r>
      <w:r w:rsidDel="00000000" w:rsidR="00000000" w:rsidRPr="00000000">
        <w:rPr>
          <w:rtl w:val="0"/>
        </w:rPr>
      </w:r>
    </w:p>
    <w:p w:rsidR="00000000" w:rsidDel="00000000" w:rsidP="00000000" w:rsidRDefault="00000000" w:rsidRPr="00000000" w14:paraId="000000FC">
      <w:pPr>
        <w:pBdr>
          <w:bottom w:color="1b2a4a" w:space="1" w:sz="4" w:val="single"/>
        </w:pBdr>
        <w:spacing w:after="160" w:before="160" w:lineRule="auto"/>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d0d0d"/>
                <w:sz w:val="17"/>
                <w:szCs w:val="17"/>
                <w:rtl w:val="0"/>
              </w:rPr>
              <w:t xml:space="preserve">Documentation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d0d0d"/>
                <w:sz w:val="17"/>
                <w:szCs w:val="17"/>
                <w:rtl w:val="0"/>
              </w:rPr>
              <w:t xml:space="preserve">8.7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d0d0d"/>
                <w:sz w:val="17"/>
                <w:szCs w:val="17"/>
                <w:rtl w:val="0"/>
              </w:rPr>
              <w:t xml:space="preserve">84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d0d0d"/>
                <w:sz w:val="17"/>
                <w:szCs w:val="17"/>
                <w:rtl w:val="0"/>
              </w:rPr>
              <w:t xml:space="preserve">$3,700,000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d0d0d"/>
                <w:sz w:val="17"/>
                <w:szCs w:val="17"/>
                <w:rtl w:val="0"/>
              </w:rPr>
              <w:t xml:space="preserve">$$850,000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d0d0d"/>
                <w:sz w:val="17"/>
                <w:szCs w:val="17"/>
                <w:rtl w:val="0"/>
              </w:rPr>
              <w:t xml:space="preserve">$4,300,000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d0d0d"/>
                <w:sz w:val="17"/>
                <w:szCs w:val="17"/>
                <w:rtl w:val="0"/>
              </w:rPr>
              <w:t xml:space="preserve">$2,500/mo SaaS / $18,000 perpetual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d0d0d"/>
                <w:sz w:val="17"/>
                <w:szCs w:val="17"/>
                <w:rtl w:val="0"/>
              </w:rPr>
              <w:t xml:space="preserve">$120,000–$400,000/yr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d0d0d"/>
                <w:sz w:val="17"/>
                <w:szCs w:val="17"/>
                <w:rtl w:val="0"/>
              </w:rPr>
              <w:t xml:space="preserve">Estimated 1,800 development hours at $125/hr = $225,000 direct cost. Compliance architecture premium multiplier 14x applied reflecting PIPEDA/GDPR alignment and cryptographic audit chain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d0d0d"/>
                <w:sz w:val="17"/>
                <w:szCs w:val="17"/>
                <w:rtl w:val="0"/>
              </w:rPr>
              <w:t xml:space="preserve">Comparables: Chainlink proof-of-reserve modules ($200K–$800K/yr enterprise), Arweave enterprise data permanence ($150K–$500K/yr). Subject asset provides equivalent auditability with autonomous POS integration not available in comparables.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d0d0d"/>
                <w:sz w:val="17"/>
                <w:szCs w:val="17"/>
                <w:rtl w:val="0"/>
              </w:rPr>
              <w:t xml:space="preserve">DCF at 8%, 5yr: $980,000 NPV. Single enterprise client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d0d0d"/>
                <w:sz w:val="17"/>
                <w:szCs w:val="17"/>
                <w:rtl w:val="0"/>
              </w:rPr>
              <w:t xml:space="preserve">Cryptographic audit logging. PIPEDA and GDPR compliant architecture. Autonomous payment processing without third-party custody. Full multilingual legal suite complete.</w:t>
            </w:r>
            <w:r w:rsidDel="00000000" w:rsidR="00000000" w:rsidRPr="00000000">
              <w:rPr>
                <w:rtl w:val="0"/>
              </w:rPr>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120" w:before="360" w:lineRule="auto"/>
        <w:rPr/>
      </w:pPr>
      <w:r w:rsidDel="00000000" w:rsidR="00000000" w:rsidRPr="00000000">
        <w:rPr>
          <w:rFonts w:ascii="Arial" w:cs="Arial" w:eastAsia="Arial" w:hAnsi="Arial"/>
          <w:b w:val="1"/>
          <w:bCs w:val="1"/>
          <w:color w:val="1b2a4a"/>
          <w:sz w:val="28"/>
          <w:szCs w:val="28"/>
          <w:rtl w:val="0"/>
        </w:rPr>
        <w:t xml:space="preserve">INxS™</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ARC-INX-001  |  Classification: White-Label Modular Automated Trading System Assembly Framework — 558-Chain Coverage</w:t>
      </w:r>
      <w:r w:rsidDel="00000000" w:rsidR="00000000" w:rsidRPr="00000000">
        <w:rPr>
          <w:rtl w:val="0"/>
        </w:rPr>
      </w:r>
    </w:p>
    <w:p w:rsidR="00000000" w:rsidDel="00000000" w:rsidP="00000000" w:rsidRDefault="00000000" w:rsidRPr="00000000" w14:paraId="0000011A">
      <w:pPr>
        <w:pBdr>
          <w:bottom w:color="1b2a4a" w:space="1" w:sz="4" w:val="single"/>
        </w:pBdr>
        <w:spacing w:after="160" w:before="160" w:lineRule="auto"/>
        <w:rPr/>
      </w:pP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d0d0d"/>
                <w:sz w:val="17"/>
                <w:szCs w:val="17"/>
                <w:rtl w:val="0"/>
              </w:rPr>
              <w:t xml:space="preserve">Architecture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0d0d0d"/>
                <w:sz w:val="17"/>
                <w:szCs w:val="17"/>
                <w:rtl w:val="0"/>
              </w:rPr>
              <w:t xml:space="preserve">8.7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d0d0d"/>
                <w:sz w:val="17"/>
                <w:szCs w:val="17"/>
                <w:rtl w:val="0"/>
              </w:rPr>
              <w:t xml:space="preserve">82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d0d0d"/>
                <w:sz w:val="17"/>
                <w:szCs w:val="17"/>
                <w:rtl w:val="0"/>
              </w:rPr>
              <w:t xml:space="preserve">$5,200,000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0d0d0d"/>
                <w:sz w:val="17"/>
                <w:szCs w:val="17"/>
                <w:rtl w:val="0"/>
              </w:rPr>
              <w:t xml:space="preserve">$$1,350,000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d0d0d"/>
                <w:sz w:val="17"/>
                <w:szCs w:val="17"/>
                <w:rtl w:val="0"/>
              </w:rPr>
              <w:t xml:space="preserve">$6,000,000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0d0d0d"/>
                <w:sz w:val="17"/>
                <w:szCs w:val="17"/>
                <w:rtl w:val="0"/>
              </w:rPr>
              <w:t xml:space="preserve">$4,500 perpetual / $299/mo white-label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d0d0d"/>
                <w:sz w:val="17"/>
                <w:szCs w:val="17"/>
                <w:rtl w:val="0"/>
              </w:rPr>
              <w:t xml:space="preserve">$95,000–$350,000/yr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d0d0d"/>
                <w:sz w:val="17"/>
                <w:szCs w:val="17"/>
                <w:rtl w:val="0"/>
              </w:rPr>
              <w:t xml:space="preserve">Estimated 2,100 development hours at $125/hr = $262,500 direct cost. 558-chain coverage premium applied. Commercialization multiplier 18x reflecting white-label resale rights and modular assembly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d0d0d"/>
                <w:sz w:val="17"/>
                <w:szCs w:val="17"/>
                <w:rtl w:val="0"/>
              </w:rPr>
              <w:t xml:space="preserve">Comparables: 3Commas enterprise ($500K–$2M/yr institutional), Hummingbot institutional licensing ($300K–$1M/yr). Neither competitor operates across 558 blockchain networks. Subject asset's chain coverage represents a material competitive differentiator.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d0d0d"/>
                <w:sz w:val="17"/>
                <w:szCs w:val="17"/>
                <w:rtl w:val="0"/>
              </w:rPr>
              <w:t xml:space="preserve">DCF at 8%, 5yr: $1,550,000 NPV via reseller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d0d0d"/>
                <w:sz w:val="17"/>
                <w:szCs w:val="17"/>
                <w:rtl w:val="0"/>
              </w:rPr>
              <w:t xml:space="preserve">558-chain coverage via Alētheia Array™ integration. 7-category locked modular assembly. HMAC-based local license validation. White-label resale rights. No competitor operates at equivalent chain coverage.</w:t>
            </w:r>
            <w:r w:rsidDel="00000000" w:rsidR="00000000" w:rsidRPr="00000000">
              <w:rPr>
                <w:rtl w:val="0"/>
              </w:rPr>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spacing w:after="120" w:before="360" w:lineRule="auto"/>
        <w:rPr/>
      </w:pPr>
      <w:r w:rsidDel="00000000" w:rsidR="00000000" w:rsidRPr="00000000">
        <w:rPr>
          <w:rFonts w:ascii="Arial" w:cs="Arial" w:eastAsia="Arial" w:hAnsi="Arial"/>
          <w:b w:val="1"/>
          <w:bCs w:val="1"/>
          <w:color w:val="1b2a4a"/>
          <w:sz w:val="28"/>
          <w:szCs w:val="28"/>
          <w:rtl w:val="0"/>
        </w:rPr>
        <w:t xml:space="preserve">SalvageBotX™</w:t>
      </w: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ARC-SBX-001  |  Classification: Autonomous Digital Asset Recovery &amp; Assembly Engine</w:t>
      </w:r>
      <w:r w:rsidDel="00000000" w:rsidR="00000000" w:rsidRPr="00000000">
        <w:rPr>
          <w:rtl w:val="0"/>
        </w:rPr>
      </w:r>
    </w:p>
    <w:p w:rsidR="00000000" w:rsidDel="00000000" w:rsidP="00000000" w:rsidRDefault="00000000" w:rsidRPr="00000000" w14:paraId="00000138">
      <w:pPr>
        <w:pBdr>
          <w:bottom w:color="1b2a4a" w:space="1" w:sz="4" w:val="single"/>
        </w:pBdr>
        <w:spacing w:after="160" w:before="160" w:lineRule="auto"/>
        <w:rPr/>
      </w:pP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0d0d0d"/>
                <w:sz w:val="17"/>
                <w:szCs w:val="17"/>
                <w:rtl w:val="0"/>
              </w:rPr>
              <w:t xml:space="preserve">Integration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d0d0d"/>
                <w:sz w:val="17"/>
                <w:szCs w:val="17"/>
                <w:rtl w:val="0"/>
              </w:rPr>
              <w:t xml:space="preserve">8.2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0d0d0d"/>
                <w:sz w:val="17"/>
                <w:szCs w:val="17"/>
                <w:rtl w:val="0"/>
              </w:rPr>
              <w:t xml:space="preserve">78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0d0d0d"/>
                <w:sz w:val="17"/>
                <w:szCs w:val="17"/>
                <w:rtl w:val="0"/>
              </w:rPr>
              <w:t xml:space="preserve">$3,550,000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0d0d0d"/>
                <w:sz w:val="17"/>
                <w:szCs w:val="17"/>
                <w:rtl w:val="0"/>
              </w:rPr>
              <w:t xml:space="preserve">$$780,000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d0d0d"/>
                <w:sz w:val="17"/>
                <w:szCs w:val="17"/>
                <w:rtl w:val="0"/>
              </w:rPr>
              <w:t xml:space="preserve">$4,050,000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d0d0d"/>
                <w:sz w:val="17"/>
                <w:szCs w:val="17"/>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0d0d0d"/>
                <w:sz w:val="17"/>
                <w:szCs w:val="17"/>
                <w:rtl w:val="0"/>
              </w:rPr>
              <w:t xml:space="preserve">$3,200 perpetual / $249/mo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0d0d0d"/>
                <w:sz w:val="17"/>
                <w:szCs w:val="17"/>
                <w:rtl w:val="0"/>
              </w:rPr>
              <w:t xml:space="preserve">$85,000–$280,000/yr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0d0d0d"/>
                <w:sz w:val="17"/>
                <w:szCs w:val="17"/>
                <w:rtl w:val="0"/>
              </w:rPr>
              <w:t xml:space="preserve">Estimated 1,600 development hours at $125/hr = $200,000 direct cost. Automation premium multiplier 15x applied reflecting autonomous recovery architecture and forensic audit trail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0d0d0d"/>
                <w:sz w:val="17"/>
                <w:szCs w:val="17"/>
                <w:rtl w:val="0"/>
              </w:rPr>
              <w:t xml:space="preserve">Comparables: Chainalysis KYT modules ($100K–$400K/yr), TRM Labs recovery tooling ($150K–$500K/yr). Subject asset provides equivalent detection with local deployment and zero third-party data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0d0d0d"/>
                <w:sz w:val="17"/>
                <w:szCs w:val="17"/>
                <w:rtl w:val="0"/>
              </w:rPr>
              <w:t xml:space="preserve">DCF at 8%, 5yr: $920,000 NPV.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0d0d0d"/>
                <w:sz w:val="17"/>
                <w:szCs w:val="17"/>
                <w:rtl w:val="0"/>
              </w:rPr>
              <w:t xml:space="preserve">Zero-cloud deployment. Cryptographic audit trail via RaPaX™ integration. Forensic asset recovery and assembly. Full multilingual legal suite complete.</w:t>
            </w:r>
            <w:r w:rsidDel="00000000" w:rsidR="00000000" w:rsidRPr="00000000">
              <w:rPr>
                <w:rtl w:val="0"/>
              </w:rPr>
            </w:r>
          </w:p>
        </w:tc>
      </w:tr>
    </w:tbl>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120" w:before="360" w:lineRule="auto"/>
        <w:rPr/>
      </w:pPr>
      <w:r w:rsidDel="00000000" w:rsidR="00000000" w:rsidRPr="00000000">
        <w:rPr>
          <w:rFonts w:ascii="Arial" w:cs="Arial" w:eastAsia="Arial" w:hAnsi="Arial"/>
          <w:b w:val="1"/>
          <w:bCs w:val="1"/>
          <w:color w:val="1b2a4a"/>
          <w:sz w:val="28"/>
          <w:szCs w:val="28"/>
          <w:rtl w:val="0"/>
        </w:rPr>
        <w:t xml:space="preserve">Alētheia Array™</w:t>
      </w: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ARC-ATH-001  |  Classification: Distributed Autonomous Blockchain Ingestion Engine Array — Sovereign Telemetry Infrastructure</w:t>
      </w:r>
      <w:r w:rsidDel="00000000" w:rsidR="00000000" w:rsidRPr="00000000">
        <w:rPr>
          <w:rtl w:val="0"/>
        </w:rPr>
      </w:r>
    </w:p>
    <w:p w:rsidR="00000000" w:rsidDel="00000000" w:rsidP="00000000" w:rsidRDefault="00000000" w:rsidRPr="00000000" w14:paraId="00000156">
      <w:pPr>
        <w:pBdr>
          <w:bottom w:color="1b2a4a" w:space="1" w:sz="4" w:val="single"/>
        </w:pBdr>
        <w:spacing w:after="160" w:before="160" w:lineRule="auto"/>
        <w:rPr/>
      </w:pPr>
      <w:r w:rsidDel="00000000" w:rsidR="00000000" w:rsidRPr="00000000">
        <w:rPr>
          <w:rtl w:val="0"/>
        </w:rPr>
      </w:r>
    </w:p>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0d0d0d"/>
                <w:sz w:val="17"/>
                <w:szCs w:val="17"/>
                <w:rtl w:val="0"/>
              </w:rPr>
              <w:t xml:space="preserve">558 Engines Production-Ready / v2.0-Hardened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0d0d0d"/>
                <w:sz w:val="17"/>
                <w:szCs w:val="17"/>
                <w:rtl w:val="0"/>
              </w:rPr>
              <w:t xml:space="preserve">9.8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0d0d0d"/>
                <w:sz w:val="17"/>
                <w:szCs w:val="17"/>
                <w:rtl w:val="0"/>
              </w:rPr>
              <w:t xml:space="preserve">89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0d0d0d"/>
                <w:sz w:val="17"/>
                <w:szCs w:val="17"/>
                <w:rtl w:val="0"/>
              </w:rPr>
              <w:t xml:space="preserve">$18,500,000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0d0d0d"/>
                <w:sz w:val="17"/>
                <w:szCs w:val="17"/>
                <w:rtl w:val="0"/>
              </w:rPr>
              <w:t xml:space="preserve">$$4,500,000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0d0d0d"/>
                <w:sz w:val="17"/>
                <w:szCs w:val="17"/>
                <w:rtl w:val="0"/>
              </w:rPr>
              <w:t xml:space="preserve">$22,000,000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d0d0d"/>
                <w:sz w:val="17"/>
                <w:szCs w:val="17"/>
                <w:rtl w:val="0"/>
              </w:rPr>
              <w:t xml:space="preserve">Primary Asset — Foundational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d0d0d"/>
                <w:sz w:val="17"/>
                <w:szCs w:val="17"/>
                <w:rtl w:val="0"/>
              </w:rPr>
              <w:t xml:space="preserve">$15,000–$25,000 per engine perpetual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d0d0d"/>
                <w:sz w:val="17"/>
                <w:szCs w:val="17"/>
                <w:rtl w:val="0"/>
              </w:rPr>
              <w:t xml:space="preserve">$500,000–$6,000,000 array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d0d0d"/>
                <w:sz w:val="17"/>
                <w:szCs w:val="17"/>
                <w:rtl w:val="0"/>
              </w:rPr>
              <w:t xml:space="preserve">558 engines at estimated 30.5 development hours each = 17,781.5 total hours at $125/hr = $2,222,688 direct cost. Sovereign infrastructure premium multiplier 8x applied. Additional replacement cost: 201,234 legal documents (558 engines × 19 docs × 6 languages) at market rate of $500–$2,000 per document = $24,516,000–$98,064,000 legal asset replacement cost. Conservative legal ERC applied at $500/doc.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d0d0d"/>
                <w:sz w:val="17"/>
                <w:szCs w:val="17"/>
                <w:rtl w:val="0"/>
              </w:rPr>
              <w:t xml:space="preserve">Primary institutional comparables: Chainalysis (per-chain licensing $50,000–$200,000/yr), TRM Labs enterprise ($100,000–$500,000/yr), Blockdaemon node deployment ($150,000+ per node). At 558 chains, market floor comparable = $29,150,000/yr ongoing cost to replicate via existing vendors. Subject asset provides perpetual ownership at a fraction of equivalent recurring cost. No single competitor operates autonomous ingestion engines across 558 blockchain networks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d0d0d"/>
                <w:sz w:val="17"/>
                <w:szCs w:val="17"/>
                <w:rtl w:val="0"/>
              </w:rPr>
              <w:t xml:space="preserve">DCF at 8%, 5yr: $12,500,000 NPV. Baseline: 10 enterprise clients at $500,000/yr each. Conservative adoption curve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d0d0d"/>
                <w:sz w:val="17"/>
                <w:szCs w:val="17"/>
                <w:rtl w:val="0"/>
              </w:rPr>
              <w:t xml:space="preserve">PRIMARY PORTFOLIO ASSET. 558 production-ready autonomous blockchain ingestion engines. Node-level data capture eliminates relay latency. Zero-trust architecture. 201,234 legal documents (19 docs × 6 languages × 558 engines). No market equivalent identified at this chain coverage, security architecture, or legal completeness. Each engine purpose-built to capture, normalize, verify, and forward real-time chain telemetry with zero trust assumptions.</w:t>
            </w:r>
            <w:r w:rsidDel="00000000" w:rsidR="00000000" w:rsidRPr="00000000">
              <w:rPr>
                <w:rtl w:val="0"/>
              </w:rPr>
            </w:r>
          </w:p>
        </w:tc>
      </w:tr>
    </w:tbl>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spacing w:after="120" w:before="360" w:lineRule="auto"/>
        <w:rPr/>
      </w:pPr>
      <w:r w:rsidDel="00000000" w:rsidR="00000000" w:rsidRPr="00000000">
        <w:rPr>
          <w:rFonts w:ascii="Arial" w:cs="Arial" w:eastAsia="Arial" w:hAnsi="Arial"/>
          <w:b w:val="1"/>
          <w:bCs w:val="1"/>
          <w:color w:val="1b2a4a"/>
          <w:sz w:val="28"/>
          <w:szCs w:val="28"/>
          <w:rtl w:val="0"/>
        </w:rPr>
        <w:t xml:space="preserve">Argos™ (Twin Sentinel Deployment)</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ARC-ARG-001  |  Classification: Autonomous Blockchain Security Intelligence &amp; Bug-Bounty Sentinel System — Dual-Instance Architecture</w:t>
      </w:r>
      <w:r w:rsidDel="00000000" w:rsidR="00000000" w:rsidRPr="00000000">
        <w:rPr>
          <w:rtl w:val="0"/>
        </w:rPr>
      </w:r>
    </w:p>
    <w:p w:rsidR="00000000" w:rsidDel="00000000" w:rsidP="00000000" w:rsidRDefault="00000000" w:rsidRPr="00000000" w14:paraId="00000174">
      <w:pPr>
        <w:pBdr>
          <w:bottom w:color="1b2a4a" w:space="1" w:sz="4" w:val="single"/>
        </w:pBdr>
        <w:spacing w:after="160" w:before="160" w:lineRule="auto"/>
        <w:rPr/>
      </w:pP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d0d0d"/>
                <w:sz w:val="17"/>
                <w:szCs w:val="17"/>
                <w:rtl w:val="0"/>
              </w:rPr>
              <w:t xml:space="preserve">Architecture Complete / Pre-Build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d0d0d"/>
                <w:sz w:val="17"/>
                <w:szCs w:val="17"/>
                <w:rtl w:val="0"/>
              </w:rPr>
              <w:t xml:space="preserve">9.6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0d0d0d"/>
                <w:sz w:val="17"/>
                <w:szCs w:val="17"/>
                <w:rtl w:val="0"/>
              </w:rPr>
              <w:t xml:space="preserve">76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d0d0d"/>
                <w:sz w:val="17"/>
                <w:szCs w:val="17"/>
                <w:rtl w:val="0"/>
              </w:rPr>
              <w:t xml:space="preserve">$7,200,000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d0d0d"/>
                <w:sz w:val="17"/>
                <w:szCs w:val="17"/>
                <w:rtl w:val="0"/>
              </w:rPr>
              <w:t xml:space="preserve">$$2,100,000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0d0d0d"/>
                <w:sz w:val="17"/>
                <w:szCs w:val="17"/>
                <w:rtl w:val="0"/>
              </w:rPr>
              <w:t xml:space="preserve">$8,500,000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d0d0d"/>
                <w:sz w:val="17"/>
                <w:szCs w:val="17"/>
                <w:rtl w:val="0"/>
              </w:rPr>
              <w:t xml:space="preserve">Strategic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d0d0d"/>
                <w:sz w:val="17"/>
                <w:szCs w:val="17"/>
                <w:rtl w:val="0"/>
              </w:rPr>
              <w:t xml:space="preserve">$12,000/mo SaaS / $95,000 perpetual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0d0d0d"/>
                <w:sz w:val="17"/>
                <w:szCs w:val="17"/>
                <w:rtl w:val="0"/>
              </w:rPr>
              <w:t xml:space="preserve">$350,000–$1,500,000/yr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d0d0d"/>
                <w:sz w:val="17"/>
                <w:szCs w:val="17"/>
                <w:rtl w:val="0"/>
              </w:rPr>
              <w:t xml:space="preserve">Estimated 2,800 development hours at $150/hr security specialist rate = $420,000 direct cost. Dual-instance architecture (Twin Sentinel deployment) and 558-chain monitoring scope premium applied. Security IP multiplier 16x.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d0d0d"/>
                <w:sz w:val="17"/>
                <w:szCs w:val="17"/>
                <w:rtl w:val="0"/>
              </w:rPr>
              <w:t xml:space="preserve">Comparables: Immunefi protocol security agreements ($500K–$5M+ per protocol), Forta Network node licensing ($200K–$1M/yr), Tenderly simulation platform ($150K–$600K/yr enterprise). No competitor provides autonomous ephemeral chain forking across 558 networks with integrated bounty ROI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0d0d0d"/>
                <w:sz w:val="17"/>
                <w:szCs w:val="17"/>
                <w:rtl w:val="0"/>
              </w:rPr>
              <w:t xml:space="preserve">DCF at 8%, 5yr: $2,800,000 NPV via bounty-share model at 558-chain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d0d0d"/>
                <w:sz w:val="17"/>
                <w:szCs w:val="17"/>
                <w:rtl w:val="0"/>
              </w:rPr>
              <w:t xml:space="preserve">Dual-instance parallel deployment architecture. Ephemeral chain forking under 200ms. 18x ROI economic gatekeeper. Cryptographic sealed verdicts. Monitors all 558 Alētheia Array™ engines. White-label at 2x projected FMV. No market equivalent at this architectural proximity or chain coverage.</w:t>
            </w:r>
            <w:r w:rsidDel="00000000" w:rsidR="00000000" w:rsidRPr="00000000">
              <w:rPr>
                <w:rtl w:val="0"/>
              </w:rPr>
            </w:r>
          </w:p>
        </w:tc>
      </w:tr>
    </w:tbl>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after="120" w:before="360" w:lineRule="auto"/>
        <w:rPr/>
      </w:pPr>
      <w:r w:rsidDel="00000000" w:rsidR="00000000" w:rsidRPr="00000000">
        <w:rPr>
          <w:rFonts w:ascii="Arial" w:cs="Arial" w:eastAsia="Arial" w:hAnsi="Arial"/>
          <w:b w:val="1"/>
          <w:bCs w:val="1"/>
          <w:color w:val="1b2a4a"/>
          <w:sz w:val="28"/>
          <w:szCs w:val="28"/>
          <w:rtl w:val="0"/>
        </w:rPr>
        <w:t xml:space="preserve">Crypto Hall of Alexandria™</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ARC-CHA-001  |  Classification: Sovereign Zero-Trust Cryptocurrency Verification &amp; Reference Library</w:t>
      </w:r>
      <w:r w:rsidDel="00000000" w:rsidR="00000000" w:rsidRPr="00000000">
        <w:rPr>
          <w:rtl w:val="0"/>
        </w:rPr>
      </w:r>
    </w:p>
    <w:p w:rsidR="00000000" w:rsidDel="00000000" w:rsidP="00000000" w:rsidRDefault="00000000" w:rsidRPr="00000000" w14:paraId="00000192">
      <w:pPr>
        <w:pBdr>
          <w:bottom w:color="1b2a4a" w:space="1" w:sz="4" w:val="single"/>
        </w:pBdr>
        <w:spacing w:after="160" w:before="160" w:lineRule="auto"/>
        <w:rPr/>
      </w:pPr>
      <w:r w:rsidDel="00000000" w:rsidR="00000000" w:rsidRPr="00000000">
        <w:rPr>
          <w:rtl w:val="0"/>
        </w:rPr>
      </w:r>
    </w:p>
    <w:tbl>
      <w:tblPr>
        <w:tblStyle w:val="Table1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0d0d0d"/>
                <w:sz w:val="17"/>
                <w:szCs w:val="17"/>
                <w:rtl w:val="0"/>
              </w:rPr>
              <w:t xml:space="preserve">Concept Defined / Build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d0d0d"/>
                <w:sz w:val="17"/>
                <w:szCs w:val="17"/>
                <w:rtl w:val="0"/>
              </w:rPr>
              <w:t xml:space="preserve">8.9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0d0d0d"/>
                <w:sz w:val="17"/>
                <w:szCs w:val="17"/>
                <w:rtl w:val="0"/>
              </w:rPr>
              <w:t xml:space="preserve">68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d0d0d"/>
                <w:sz w:val="17"/>
                <w:szCs w:val="17"/>
                <w:rtl w:val="0"/>
              </w:rPr>
              <w:t xml:space="preserve">$3,250,000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d0d0d"/>
                <w:sz w:val="17"/>
                <w:szCs w:val="17"/>
                <w:rtl w:val="0"/>
              </w:rPr>
              <w:t xml:space="preserve">$$600,000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0d0d0d"/>
                <w:sz w:val="17"/>
                <w:szCs w:val="17"/>
                <w:rtl w:val="0"/>
              </w:rPr>
              <w:t xml:space="preserve">$3,750,000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d0d0d"/>
                <w:sz w:val="17"/>
                <w:szCs w:val="17"/>
                <w:rtl w:val="0"/>
              </w:rPr>
              <w:t xml:space="preserve">Strategic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d0d0d"/>
                <w:sz w:val="17"/>
                <w:szCs w:val="17"/>
                <w:rtl w:val="0"/>
              </w:rPr>
              <w:t xml:space="preserve">Institutional API $4,500/mo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0d0d0d"/>
                <w:sz w:val="17"/>
                <w:szCs w:val="17"/>
                <w:rtl w:val="0"/>
              </w:rPr>
              <w:t xml:space="preserve">$75,000–$200,000/yr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0d0d0d"/>
                <w:sz w:val="17"/>
                <w:szCs w:val="17"/>
                <w:rtl w:val="0"/>
              </w:rPr>
              <w:t xml:space="preserve">Estimated 1,200 development hours at $125/hr = $150,000 direct cost. Strategic and humanitarian positioning premium 19x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0d0d0d"/>
                <w:sz w:val="17"/>
                <w:szCs w:val="17"/>
                <w:rtl w:val="0"/>
              </w:rPr>
              <w:t xml:space="preserve">Comparables: Messari Pro ($40K–$150K/yr institutional), Glassnode enterprise ($60K–$200K/yr), CoinGecko institutional ($30K–$100K/yr). Subject asset provides block-anchored verification layer not available in any comparable.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0d0d0d"/>
                <w:sz w:val="17"/>
                <w:szCs w:val="17"/>
                <w:rtl w:val="0"/>
              </w:rPr>
              <w:t xml:space="preserve">DCF at 8%, 5yr: $750,000 NPV via institutional API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0d0d0d"/>
                <w:sz w:val="17"/>
                <w:szCs w:val="17"/>
                <w:rtl w:val="0"/>
              </w:rPr>
              <w:t xml:space="preserve">Block-anchored via Alētheia Array™. Planned housing on sovereign Native land. Designated for charitable transfer upon completion. Full multilingual legal suite complete.</w:t>
            </w:r>
            <w:r w:rsidDel="00000000" w:rsidR="00000000" w:rsidRPr="00000000">
              <w:rPr>
                <w:rtl w:val="0"/>
              </w:rPr>
            </w:r>
          </w:p>
        </w:tc>
      </w:tr>
    </w:tbl>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spacing w:after="120" w:before="360" w:lineRule="auto"/>
        <w:rPr/>
      </w:pPr>
      <w:r w:rsidDel="00000000" w:rsidR="00000000" w:rsidRPr="00000000">
        <w:rPr>
          <w:rFonts w:ascii="Arial" w:cs="Arial" w:eastAsia="Arial" w:hAnsi="Arial"/>
          <w:b w:val="1"/>
          <w:bCs w:val="1"/>
          <w:color w:val="1b2a4a"/>
          <w:sz w:val="28"/>
          <w:szCs w:val="28"/>
          <w:rtl w:val="0"/>
        </w:rPr>
        <w:t xml:space="preserve">CreatorOS™</w:t>
      </w:r>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ARC-COS-001  |  Classification: White-Label Creator Commerce Platform &amp; Digital Distribution Engine</w:t>
      </w:r>
      <w:r w:rsidDel="00000000" w:rsidR="00000000" w:rsidRPr="00000000">
        <w:rPr>
          <w:rtl w:val="0"/>
        </w:rPr>
      </w:r>
    </w:p>
    <w:p w:rsidR="00000000" w:rsidDel="00000000" w:rsidP="00000000" w:rsidRDefault="00000000" w:rsidRPr="00000000" w14:paraId="000001B0">
      <w:pPr>
        <w:pBdr>
          <w:bottom w:color="1b2a4a" w:space="1" w:sz="4" w:val="single"/>
        </w:pBdr>
        <w:spacing w:after="160" w:before="160" w:lineRule="auto"/>
        <w:rPr/>
      </w:pPr>
      <w:r w:rsidDel="00000000" w:rsidR="00000000" w:rsidRPr="00000000">
        <w:rPr>
          <w:rtl w:val="0"/>
        </w:rPr>
      </w:r>
    </w:p>
    <w:tbl>
      <w:tblPr>
        <w:tblStyle w:val="Table1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0d0d0d"/>
                <w:sz w:val="17"/>
                <w:szCs w:val="17"/>
                <w:rtl w:val="0"/>
              </w:rPr>
              <w:t xml:space="preserve">Blueprint Complete / Build-Ready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0d0d0d"/>
                <w:sz w:val="17"/>
                <w:szCs w:val="17"/>
                <w:rtl w:val="0"/>
              </w:rPr>
              <w:t xml:space="preserve">7.8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0d0d0d"/>
                <w:sz w:val="17"/>
                <w:szCs w:val="17"/>
                <w:rtl w:val="0"/>
              </w:rPr>
              <w:t xml:space="preserve">62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d0d0d"/>
                <w:sz w:val="17"/>
                <w:szCs w:val="17"/>
                <w:rtl w:val="0"/>
              </w:rPr>
              <w:t xml:space="preserve">$3,200,000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d0d0d"/>
                <w:sz w:val="17"/>
                <w:szCs w:val="17"/>
                <w:rtl w:val="0"/>
              </w:rPr>
              <w:t xml:space="preserve">$$1,800,000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d0d0d"/>
                <w:sz w:val="17"/>
                <w:szCs w:val="17"/>
                <w:rtl w:val="0"/>
              </w:rPr>
              <w:t xml:space="preserve">$4,100,000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0d0d0d"/>
                <w:sz w:val="17"/>
                <w:szCs w:val="17"/>
                <w:rtl w:val="0"/>
              </w:rPr>
              <w:t xml:space="preserve">$0 (5%) / $29/mo (2%) / $49/mo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d0d0d"/>
                <w:sz w:val="17"/>
                <w:szCs w:val="17"/>
                <w:rtl w:val="0"/>
              </w:rPr>
              <w:t xml:space="preserve">$250,000–$750,000/yr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d0d0d"/>
                <w:sz w:val="17"/>
                <w:szCs w:val="17"/>
                <w:rtl w:val="0"/>
              </w:rPr>
              <w:t xml:space="preserve">Estimated 2,800 development hours at $125/hr = $350,000 direct cost. SaaS platform multiplier 9x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d0d0d"/>
                <w:sz w:val="17"/>
                <w:szCs w:val="17"/>
                <w:rtl w:val="0"/>
              </w:rPr>
              <w:t xml:space="preserve">Comparables: Lemon Squeezy (valued at $150M+ at comparable stage), Gumroad ($100M+ business). Subject asset differentiates on fee structure (0% at $49/mo vs 10% Gumroad), native community features, and AcerbE/RaPaX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d0d0d"/>
                <w:sz w:val="17"/>
                <w:szCs w:val="17"/>
                <w:rtl w:val="0"/>
              </w:rPr>
              <w:t xml:space="preserve">DCF at 8%, 5yr: $1,100,000 NPV. Conservative single-channel adoption.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0d0d0d"/>
                <w:sz w:val="17"/>
                <w:szCs w:val="17"/>
                <w:rtl w:val="0"/>
              </w:rPr>
              <w:t xml:space="preserve">Integrates RaPaX™, AcerbE™, SalvageBotX™ as core infrastructure. Full developer API. Built-in per-product community. White-label and agency mode available.</w:t>
            </w:r>
            <w:r w:rsidDel="00000000" w:rsidR="00000000" w:rsidRPr="00000000">
              <w:rPr>
                <w:rtl w:val="0"/>
              </w:rPr>
            </w:r>
          </w:p>
        </w:tc>
      </w:tr>
    </w:tbl>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spacing w:after="120" w:before="360" w:lineRule="auto"/>
        <w:rPr/>
      </w:pPr>
      <w:r w:rsidDel="00000000" w:rsidR="00000000" w:rsidRPr="00000000">
        <w:rPr>
          <w:rFonts w:ascii="Arial" w:cs="Arial" w:eastAsia="Arial" w:hAnsi="Arial"/>
          <w:b w:val="1"/>
          <w:bCs w:val="1"/>
          <w:color w:val="1b2a4a"/>
          <w:sz w:val="28"/>
          <w:szCs w:val="28"/>
          <w:rtl w:val="0"/>
        </w:rPr>
        <w:t xml:space="preserve">FabriCatHD™</w:t>
      </w:r>
      <w:r w:rsidDel="00000000" w:rsidR="00000000" w:rsidRPr="00000000">
        <w:rPr>
          <w:rtl w:val="0"/>
        </w:rPr>
      </w:r>
    </w:p>
    <w:p w:rsidR="00000000" w:rsidDel="00000000" w:rsidP="00000000" w:rsidRDefault="00000000" w:rsidRPr="00000000" w14:paraId="000001CD">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ARC-FHD-001  |  Classification: Schema-Driven Document Generation &amp; Template Commerce Desktop Application</w:t>
      </w:r>
      <w:r w:rsidDel="00000000" w:rsidR="00000000" w:rsidRPr="00000000">
        <w:rPr>
          <w:rtl w:val="0"/>
        </w:rPr>
      </w:r>
    </w:p>
    <w:p w:rsidR="00000000" w:rsidDel="00000000" w:rsidP="00000000" w:rsidRDefault="00000000" w:rsidRPr="00000000" w14:paraId="000001CE">
      <w:pPr>
        <w:pBdr>
          <w:bottom w:color="1b2a4a" w:space="1" w:sz="4" w:val="single"/>
        </w:pBdr>
        <w:spacing w:after="160" w:before="160" w:lineRule="auto"/>
        <w:rPr/>
      </w:pPr>
      <w:r w:rsidDel="00000000" w:rsidR="00000000" w:rsidRPr="00000000">
        <w:rPr>
          <w:rtl w:val="0"/>
        </w:rPr>
      </w:r>
    </w:p>
    <w:tbl>
      <w:tblPr>
        <w:tblStyle w:val="Table1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0d0d0d"/>
                <w:sz w:val="17"/>
                <w:szCs w:val="17"/>
                <w:rtl w:val="0"/>
              </w:rPr>
              <w:t xml:space="preserve">Production-Ready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d0d0d"/>
                <w:sz w:val="17"/>
                <w:szCs w:val="17"/>
                <w:rtl w:val="0"/>
              </w:rPr>
              <w:t xml:space="preserve">8.3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0d0d0d"/>
                <w:sz w:val="17"/>
                <w:szCs w:val="17"/>
                <w:rtl w:val="0"/>
              </w:rPr>
              <w:t xml:space="preserve">80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0d0d0d"/>
                <w:sz w:val="17"/>
                <w:szCs w:val="17"/>
                <w:rtl w:val="0"/>
              </w:rPr>
              <w:t xml:space="preserve">$2,800,000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0d0d0d"/>
                <w:sz w:val="17"/>
                <w:szCs w:val="17"/>
                <w:rtl w:val="0"/>
              </w:rPr>
              <w:t xml:space="preserve">$$650,000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0d0d0d"/>
                <w:sz w:val="17"/>
                <w:szCs w:val="17"/>
                <w:rtl w:val="0"/>
              </w:rPr>
              <w:t xml:space="preserve">$3,400,000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0d0d0d"/>
                <w:sz w:val="17"/>
                <w:szCs w:val="17"/>
                <w:rtl w:val="0"/>
              </w:rPr>
              <w:t xml:space="preserve">$29–$249 perpetual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0d0d0d"/>
                <w:sz w:val="17"/>
                <w:szCs w:val="17"/>
                <w:rtl w:val="0"/>
              </w:rPr>
              <w:t xml:space="preserve">$499–$1,499 white-label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0d0d0d"/>
                <w:sz w:val="17"/>
                <w:szCs w:val="17"/>
                <w:rtl w:val="0"/>
              </w:rPr>
              <w:t xml:space="preserve">Estimated 1,800 development hours at $125/hr = $225,000 direct cost. Desktop application commercialization multiplier 11x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0d0d0d"/>
                <w:sz w:val="17"/>
                <w:szCs w:val="17"/>
                <w:rtl w:val="0"/>
              </w:rPr>
              <w:t xml:space="preserve">Comparables: PandaDoc ($629M valuation), DocuSign template engine, Jotform enterprise. Subject asset differentiates on zero-cloud local processing and white-label distribution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0d0d0d"/>
                <w:sz w:val="17"/>
                <w:szCs w:val="17"/>
                <w:rtl w:val="0"/>
              </w:rPr>
              <w:t xml:space="preserve">DCF at 8%, 5yr: $850,000 NPV via direct and white-label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0d0d0d"/>
                <w:sz w:val="17"/>
                <w:szCs w:val="17"/>
                <w:rtl w:val="0"/>
              </w:rPr>
              <w:t xml:space="preserve">Tauri 2.0 / React 18 / Rust. 20+ document types. Zero cloud dependency. White-label rights available. Production-ready.</w:t>
            </w:r>
            <w:r w:rsidDel="00000000" w:rsidR="00000000" w:rsidRPr="00000000">
              <w:rPr>
                <w:rtl w:val="0"/>
              </w:rPr>
            </w:r>
          </w:p>
        </w:tc>
      </w:tr>
    </w:tbl>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spacing w:after="120" w:before="360" w:lineRule="auto"/>
        <w:rPr/>
      </w:pPr>
      <w:r w:rsidDel="00000000" w:rsidR="00000000" w:rsidRPr="00000000">
        <w:rPr>
          <w:rFonts w:ascii="Arial" w:cs="Arial" w:eastAsia="Arial" w:hAnsi="Arial"/>
          <w:b w:val="1"/>
          <w:bCs w:val="1"/>
          <w:color w:val="1b2a4a"/>
          <w:sz w:val="28"/>
          <w:szCs w:val="28"/>
          <w:rtl w:val="0"/>
        </w:rPr>
        <w:t xml:space="preserve">Archer Revenue Finder™</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ARC-ARF-001  |  Classification: Autonomous Digital Asset Sanitization &amp; Multi-Marketplace Distribution Engine</w:t>
      </w:r>
      <w:r w:rsidDel="00000000" w:rsidR="00000000" w:rsidRPr="00000000">
        <w:rPr>
          <w:rtl w:val="0"/>
        </w:rPr>
      </w:r>
    </w:p>
    <w:p w:rsidR="00000000" w:rsidDel="00000000" w:rsidP="00000000" w:rsidRDefault="00000000" w:rsidRPr="00000000" w14:paraId="000001EC">
      <w:pPr>
        <w:pBdr>
          <w:bottom w:color="1b2a4a" w:space="1" w:sz="4" w:val="single"/>
        </w:pBdr>
        <w:spacing w:after="160" w:before="160" w:lineRule="auto"/>
        <w:rPr/>
      </w:pPr>
      <w:r w:rsidDel="00000000" w:rsidR="00000000" w:rsidRPr="00000000">
        <w:rPr>
          <w:rtl w:val="0"/>
        </w:rPr>
      </w:r>
    </w:p>
    <w:tbl>
      <w:tblPr>
        <w:tblStyle w:val="Table1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0d0d0d"/>
                <w:sz w:val="17"/>
                <w:szCs w:val="17"/>
                <w:rtl w:val="0"/>
              </w:rPr>
              <w:t xml:space="preserve">Architecture Complete / Build-Ready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0d0d0d"/>
                <w:sz w:val="17"/>
                <w:szCs w:val="17"/>
                <w:rtl w:val="0"/>
              </w:rPr>
              <w:t xml:space="preserve">8.5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0d0d0d"/>
                <w:sz w:val="17"/>
                <w:szCs w:val="17"/>
                <w:rtl w:val="0"/>
              </w:rPr>
              <w:t xml:space="preserve">76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0d0d0d"/>
                <w:sz w:val="17"/>
                <w:szCs w:val="17"/>
                <w:rtl w:val="0"/>
              </w:rPr>
              <w:t xml:space="preserve">$3,100,000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0d0d0d"/>
                <w:sz w:val="17"/>
                <w:szCs w:val="17"/>
                <w:rtl w:val="0"/>
              </w:rPr>
              <w:t xml:space="preserve">$$750,000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0d0d0d"/>
                <w:sz w:val="17"/>
                <w:szCs w:val="17"/>
                <w:rtl w:val="0"/>
              </w:rPr>
              <w:t xml:space="preserve">$3,800,000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0d0d0d"/>
                <w:sz w:val="17"/>
                <w:szCs w:val="17"/>
                <w:rtl w:val="0"/>
              </w:rPr>
              <w:t xml:space="preserve">$299 perpetual / $49/mo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color w:val="0d0d0d"/>
                <w:sz w:val="17"/>
                <w:szCs w:val="17"/>
                <w:rtl w:val="0"/>
              </w:rPr>
              <w:t xml:space="preserve">$85,000–$250,000/yr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0d0d0d"/>
                <w:sz w:val="17"/>
                <w:szCs w:val="17"/>
                <w:rtl w:val="0"/>
              </w:rPr>
              <w:t xml:space="preserve">Estimated 2,200 development hours at $125/hr = $275,000 direct cost. Multi-marketplace automation premium 10x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0d0d0d"/>
                <w:sz w:val="17"/>
                <w:szCs w:val="17"/>
                <w:rtl w:val="0"/>
              </w:rPr>
              <w:t xml:space="preserve">No single comparable tool identified that provides PII scrubbing, license compliance checking, and 13-marketplace simultaneous distribution. Partial comparables: Zapier enterprise ($50K–$200K/yr), custom marketplace automation ($100K–$500K custom builds).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0d0d0d"/>
                <w:sz w:val="17"/>
                <w:szCs w:val="17"/>
                <w:rtl w:val="0"/>
              </w:rPr>
              <w:t xml:space="preserve">DCF at 8%, 5yr: $920,000 NPV.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0d0d0d"/>
                <w:sz w:val="17"/>
                <w:szCs w:val="17"/>
                <w:rtl w:val="0"/>
              </w:rPr>
              <w:t xml:space="preserve">13 marketplace integrations. AES-256 local vault. Tree-sitter grammar parsing. SPDX license compliance checking. Playwright headless automation. Zero server-side data logging. Parent platform for FormDepot™.</w:t>
            </w:r>
            <w:r w:rsidDel="00000000" w:rsidR="00000000" w:rsidRPr="00000000">
              <w:rPr>
                <w:rtl w:val="0"/>
              </w:rPr>
            </w:r>
          </w:p>
        </w:tc>
      </w:tr>
    </w:tbl>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spacing w:after="120" w:before="360" w:lineRule="auto"/>
        <w:rPr/>
      </w:pPr>
      <w:r w:rsidDel="00000000" w:rsidR="00000000" w:rsidRPr="00000000">
        <w:rPr>
          <w:rFonts w:ascii="Arial" w:cs="Arial" w:eastAsia="Arial" w:hAnsi="Arial"/>
          <w:b w:val="1"/>
          <w:bCs w:val="1"/>
          <w:color w:val="1b2a4a"/>
          <w:sz w:val="28"/>
          <w:szCs w:val="28"/>
          <w:rtl w:val="0"/>
        </w:rPr>
        <w:t xml:space="preserve">FormDepot™</w:t>
      </w:r>
      <w:r w:rsidDel="00000000" w:rsidR="00000000" w:rsidRPr="00000000">
        <w:rPr>
          <w:rtl w:val="0"/>
        </w:rPr>
      </w:r>
    </w:p>
    <w:p w:rsidR="00000000" w:rsidDel="00000000" w:rsidP="00000000" w:rsidRDefault="00000000" w:rsidRPr="00000000" w14:paraId="00000209">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ARC-FDP-001  |  Classification: Document Sanitization, Formification &amp; Template Commerce Engine</w:t>
      </w:r>
      <w:r w:rsidDel="00000000" w:rsidR="00000000" w:rsidRPr="00000000">
        <w:rPr>
          <w:rtl w:val="0"/>
        </w:rPr>
      </w:r>
    </w:p>
    <w:p w:rsidR="00000000" w:rsidDel="00000000" w:rsidP="00000000" w:rsidRDefault="00000000" w:rsidRPr="00000000" w14:paraId="0000020A">
      <w:pPr>
        <w:pBdr>
          <w:bottom w:color="1b2a4a" w:space="1" w:sz="4" w:val="single"/>
        </w:pBdr>
        <w:spacing w:after="160" w:before="160" w:lineRule="auto"/>
        <w:rPr/>
      </w:pPr>
      <w:r w:rsidDel="00000000" w:rsidR="00000000" w:rsidRPr="00000000">
        <w:rPr>
          <w:rtl w:val="0"/>
        </w:rPr>
      </w:r>
    </w:p>
    <w:tbl>
      <w:tblPr>
        <w:tblStyle w:val="Table1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0d0d0d"/>
                <w:sz w:val="17"/>
                <w:szCs w:val="17"/>
                <w:rtl w:val="0"/>
              </w:rPr>
              <w:t xml:space="preserve">v1.0 Production-Ready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0d0d0d"/>
                <w:sz w:val="17"/>
                <w:szCs w:val="17"/>
                <w:rtl w:val="0"/>
              </w:rPr>
              <w:t xml:space="preserve">8.1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0d0d0d"/>
                <w:sz w:val="17"/>
                <w:szCs w:val="17"/>
                <w:rtl w:val="0"/>
              </w:rPr>
              <w:t xml:space="preserve">78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0d0d0d"/>
                <w:sz w:val="17"/>
                <w:szCs w:val="17"/>
                <w:rtl w:val="0"/>
              </w:rPr>
              <w:t xml:space="preserve">$2,200,000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0"/>
                <w:bCs w:val="0"/>
                <w:color w:val="0d0d0d"/>
                <w:sz w:val="17"/>
                <w:szCs w:val="17"/>
                <w:rtl w:val="0"/>
              </w:rPr>
              <w:t xml:space="preserve">$$480,000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0d0d0d"/>
                <w:sz w:val="17"/>
                <w:szCs w:val="17"/>
                <w:rtl w:val="0"/>
              </w:rPr>
              <w:t xml:space="preserve">$2,700,000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0d0d0d"/>
                <w:sz w:val="17"/>
                <w:szCs w:val="17"/>
                <w:rtl w:val="0"/>
              </w:rPr>
              <w:t xml:space="preserve">$29–$249 perpetual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0d0d0d"/>
                <w:sz w:val="17"/>
                <w:szCs w:val="17"/>
                <w:rtl w:val="0"/>
              </w:rPr>
              <w:t xml:space="preserve">$499–$1,499 white-label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0d0d0d"/>
                <w:sz w:val="17"/>
                <w:szCs w:val="17"/>
                <w:rtl w:val="0"/>
              </w:rPr>
              <w:t xml:space="preserve">Estimated 1,400 development hours at $125/hr = $175,000 direct cost. Document commerce automation multiplier 11x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0d0d0d"/>
                <w:sz w:val="17"/>
                <w:szCs w:val="17"/>
                <w:rtl w:val="0"/>
              </w:rPr>
              <w:t xml:space="preserve">Comparables: Docracy, Wonder Legal, LegalZoom template engine. No comparable identified that includes automated PII scrubbing pipeline, classification engine, and bundle auto-proposal in a single zero-cloud desktop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0d0d0d"/>
                <w:sz w:val="17"/>
                <w:szCs w:val="17"/>
                <w:rtl w:val="0"/>
              </w:rPr>
              <w:t xml:space="preserve">DCF at 8%, 5yr: $650,000 NPV.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0d0d0d"/>
                <w:sz w:val="17"/>
                <w:szCs w:val="17"/>
                <w:rtl w:val="0"/>
              </w:rPr>
              <w:t xml:space="preserve">20+ document types. Zero PII retained. Zero cloud. One-click confirmation gate. Auto-bundle proposals. Gumroad and Etsy integration. Word and fillable PDF output.</w:t>
            </w:r>
            <w:r w:rsidDel="00000000" w:rsidR="00000000" w:rsidRPr="00000000">
              <w:rPr>
                <w:rtl w:val="0"/>
              </w:rPr>
            </w:r>
          </w:p>
        </w:tc>
      </w:tr>
    </w:tbl>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after="120" w:before="360" w:lineRule="auto"/>
        <w:rPr/>
      </w:pPr>
      <w:r w:rsidDel="00000000" w:rsidR="00000000" w:rsidRPr="00000000">
        <w:rPr>
          <w:rFonts w:ascii="Arial" w:cs="Arial" w:eastAsia="Arial" w:hAnsi="Arial"/>
          <w:b w:val="1"/>
          <w:bCs w:val="1"/>
          <w:color w:val="1b2a4a"/>
          <w:sz w:val="28"/>
          <w:szCs w:val="28"/>
          <w:rtl w:val="0"/>
        </w:rPr>
        <w:t xml:space="preserve">YourTube™</w:t>
      </w:r>
      <w:r w:rsidDel="00000000" w:rsidR="00000000" w:rsidRPr="00000000">
        <w:rPr>
          <w:rtl w:val="0"/>
        </w:rPr>
      </w:r>
    </w:p>
    <w:p w:rsidR="00000000" w:rsidDel="00000000" w:rsidP="00000000" w:rsidRDefault="00000000" w:rsidRPr="00000000" w14:paraId="00000227">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ARC-YTB-001  |  Classification: AI-Powered YouTube Channel Management &amp; Content Intelligence Suite</w:t>
      </w:r>
      <w:r w:rsidDel="00000000" w:rsidR="00000000" w:rsidRPr="00000000">
        <w:rPr>
          <w:rtl w:val="0"/>
        </w:rPr>
      </w:r>
    </w:p>
    <w:p w:rsidR="00000000" w:rsidDel="00000000" w:rsidP="00000000" w:rsidRDefault="00000000" w:rsidRPr="00000000" w14:paraId="00000228">
      <w:pPr>
        <w:pBdr>
          <w:bottom w:color="1b2a4a" w:space="1" w:sz="4" w:val="single"/>
        </w:pBdr>
        <w:spacing w:after="160" w:before="160" w:lineRule="auto"/>
        <w:rPr/>
      </w:pPr>
      <w:r w:rsidDel="00000000" w:rsidR="00000000" w:rsidRPr="00000000">
        <w:rPr>
          <w:rtl w:val="0"/>
        </w:rPr>
      </w:r>
    </w:p>
    <w:tbl>
      <w:tblPr>
        <w:tblStyle w:val="Table1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0d0d0d"/>
                <w:sz w:val="17"/>
                <w:szCs w:val="17"/>
                <w:rtl w:val="0"/>
              </w:rPr>
              <w:t xml:space="preserve">Production-Ready / Browser-Based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0d0d0d"/>
                <w:sz w:val="17"/>
                <w:szCs w:val="17"/>
                <w:rtl w:val="0"/>
              </w:rPr>
              <w:t xml:space="preserve">8.0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0d0d0d"/>
                <w:sz w:val="17"/>
                <w:szCs w:val="17"/>
                <w:rtl w:val="0"/>
              </w:rPr>
              <w:t xml:space="preserve">76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0d0d0d"/>
                <w:sz w:val="17"/>
                <w:szCs w:val="17"/>
                <w:rtl w:val="0"/>
              </w:rPr>
              <w:t xml:space="preserve">$2,400,000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0d0d0d"/>
                <w:sz w:val="17"/>
                <w:szCs w:val="17"/>
                <w:rtl w:val="0"/>
              </w:rPr>
              <w:t xml:space="preserve">$$580,000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0d0d0d"/>
                <w:sz w:val="17"/>
                <w:szCs w:val="17"/>
                <w:rtl w:val="0"/>
              </w:rPr>
              <w:t xml:space="preserve">$2,900,000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0d0d0d"/>
                <w:sz w:val="17"/>
                <w:szCs w:val="17"/>
                <w:rtl w:val="0"/>
              </w:rPr>
              <w:t xml:space="preserve">$49/mo creator / $149/mo 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0d0d0d"/>
                <w:sz w:val="17"/>
                <w:szCs w:val="17"/>
                <w:rtl w:val="0"/>
              </w:rPr>
              <w:t xml:space="preserve">$45,000–$180,000/yr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0d0d0d"/>
                <w:sz w:val="17"/>
                <w:szCs w:val="17"/>
                <w:rtl w:val="0"/>
              </w:rPr>
              <w:t xml:space="preserve">Estimated 1,200 development hours at $125/hr = $150,000 direct cost. AI-SaaS platform multiplier 14x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0d0d0d"/>
                <w:sz w:val="17"/>
                <w:szCs w:val="17"/>
                <w:rtl w:val="0"/>
              </w:rPr>
              <w:t xml:space="preserve">Comparables: VidIQ (valued at $200M+), TubeBuddy, Jasper AI content suite. Subject asset differentiates on zero-backend architecture and user-supplied API key model eliminating operating cost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0d0d0d"/>
                <w:sz w:val="17"/>
                <w:szCs w:val="17"/>
                <w:rtl w:val="0"/>
              </w:rPr>
              <w:t xml:space="preserve">DCF at 8%, 5yr: $750,000 NPV.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0d0d0d"/>
                <w:sz w:val="17"/>
                <w:szCs w:val="17"/>
                <w:rtl w:val="0"/>
              </w:rPr>
              <w:t xml:space="preserve">16 AI-powered tools. Zero backend infrastructure cost. User supplies own API key. White-label available. Black/gold brand system.</w:t>
            </w:r>
            <w:r w:rsidDel="00000000" w:rsidR="00000000" w:rsidRPr="00000000">
              <w:rPr>
                <w:rtl w:val="0"/>
              </w:rPr>
            </w:r>
          </w:p>
        </w:tc>
      </w:tr>
    </w:tbl>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spacing w:after="120" w:before="360" w:lineRule="auto"/>
        <w:rPr/>
      </w:pPr>
      <w:r w:rsidDel="00000000" w:rsidR="00000000" w:rsidRPr="00000000">
        <w:rPr>
          <w:rFonts w:ascii="Arial" w:cs="Arial" w:eastAsia="Arial" w:hAnsi="Arial"/>
          <w:b w:val="1"/>
          <w:bCs w:val="1"/>
          <w:color w:val="1b2a4a"/>
          <w:sz w:val="28"/>
          <w:szCs w:val="28"/>
          <w:rtl w:val="0"/>
        </w:rPr>
        <w:t xml:space="preserve">SoundDrop™</w:t>
      </w:r>
      <w:r w:rsidDel="00000000" w:rsidR="00000000" w:rsidRPr="00000000">
        <w:rPr>
          <w:rtl w:val="0"/>
        </w:rPr>
      </w:r>
    </w:p>
    <w:p w:rsidR="00000000" w:rsidDel="00000000" w:rsidP="00000000" w:rsidRDefault="00000000" w:rsidRPr="00000000" w14:paraId="00000245">
      <w:pPr>
        <w:spacing w:after="60" w:before="60" w:lineRule="auto"/>
        <w:rPr/>
      </w:pPr>
      <w:r w:rsidDel="00000000" w:rsidR="00000000" w:rsidRPr="00000000">
        <w:rPr>
          <w:rFonts w:ascii="Arial" w:cs="Arial" w:eastAsia="Arial" w:hAnsi="Arial"/>
          <w:b w:val="0"/>
          <w:bCs w:val="0"/>
          <w:i w:val="1"/>
          <w:iCs w:val="1"/>
          <w:color w:val="718096"/>
          <w:sz w:val="19"/>
          <w:szCs w:val="19"/>
          <w:rtl w:val="0"/>
        </w:rPr>
        <w:t xml:space="preserve">Asset Code: ARC-SND-001  |  Classification: Audio-First Short-Form Video Editor for Musician Creators</w:t>
      </w:r>
      <w:r w:rsidDel="00000000" w:rsidR="00000000" w:rsidRPr="00000000">
        <w:rPr>
          <w:rtl w:val="0"/>
        </w:rPr>
      </w:r>
    </w:p>
    <w:p w:rsidR="00000000" w:rsidDel="00000000" w:rsidP="00000000" w:rsidRDefault="00000000" w:rsidRPr="00000000" w14:paraId="00000246">
      <w:pPr>
        <w:pBdr>
          <w:bottom w:color="1b2a4a" w:space="1" w:sz="4" w:val="single"/>
        </w:pBdr>
        <w:spacing w:after="160" w:before="160" w:lineRule="auto"/>
        <w:rPr/>
      </w:pPr>
      <w:r w:rsidDel="00000000" w:rsidR="00000000" w:rsidRPr="00000000">
        <w:rPr>
          <w:rtl w:val="0"/>
        </w:rPr>
      </w:r>
    </w:p>
    <w:tbl>
      <w:tblPr>
        <w:tblStyle w:val="Table1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60"/>
        <w:tblGridChange w:id="0">
          <w:tblGrid>
            <w:gridCol w:w="2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color w:val="2c3e50"/>
                <w:sz w:val="18"/>
                <w:szCs w:val="18"/>
                <w:rtl w:val="0"/>
              </w:rPr>
              <w:t xml:space="preserve">System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0d0d0d"/>
                <w:sz w:val="17"/>
                <w:szCs w:val="17"/>
                <w:rtl w:val="0"/>
              </w:rPr>
              <w:t xml:space="preserve">Concept Validated / Build-Ready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2c3e50"/>
                <w:sz w:val="18"/>
                <w:szCs w:val="18"/>
                <w:rtl w:val="0"/>
              </w:rPr>
              <w:t xml:space="preserve">IP Asset Strength Index (IP-ASI)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0d0d0d"/>
                <w:sz w:val="17"/>
                <w:szCs w:val="17"/>
                <w:rtl w:val="0"/>
              </w:rPr>
              <w:t xml:space="preserve">7.9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color w:val="2c3e50"/>
                <w:sz w:val="18"/>
                <w:szCs w:val="18"/>
                <w:rtl w:val="0"/>
              </w:rPr>
              <w:t xml:space="preserve">SMCRI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0d0d0d"/>
                <w:sz w:val="17"/>
                <w:szCs w:val="17"/>
                <w:rtl w:val="0"/>
              </w:rPr>
              <w:t xml:space="preserve">58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2c3e50"/>
                <w:sz w:val="18"/>
                <w:szCs w:val="18"/>
                <w:rtl w:val="0"/>
              </w:rPr>
              <w:t xml:space="preserve">Fair Market Value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0d0d0d"/>
                <w:sz w:val="17"/>
                <w:szCs w:val="17"/>
                <w:rtl w:val="0"/>
              </w:rPr>
              <w:t xml:space="preserve">$1,800,000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1"/>
                <w:bCs w:val="1"/>
                <w:color w:val="2c3e50"/>
                <w:sz w:val="18"/>
                <w:szCs w:val="18"/>
                <w:rtl w:val="0"/>
              </w:rPr>
              <w:t xml:space="preserve">Commercial Licensing Value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0d0d0d"/>
                <w:sz w:val="17"/>
                <w:szCs w:val="17"/>
                <w:rtl w:val="0"/>
              </w:rPr>
              <w:t xml:space="preserve">$$420,000 /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1"/>
                <w:bCs w:val="1"/>
                <w:color w:val="2c3e50"/>
                <w:sz w:val="18"/>
                <w:szCs w:val="18"/>
                <w:rtl w:val="0"/>
              </w:rPr>
              <w:t xml:space="preserve">Enterprise Replacement Cost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0d0d0d"/>
                <w:sz w:val="17"/>
                <w:szCs w:val="17"/>
                <w:rtl w:val="0"/>
              </w:rPr>
              <w:t xml:space="preserve">$2,200,000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2c3e50"/>
                <w:sz w:val="18"/>
                <w:szCs w:val="18"/>
                <w:rtl w:val="0"/>
              </w:rPr>
              <w:t xml:space="preserve">Operational Value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0d0d0d"/>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1"/>
                <w:bCs w:val="1"/>
                <w:color w:val="2c3e50"/>
                <w:sz w:val="18"/>
                <w:szCs w:val="18"/>
                <w:rtl w:val="0"/>
              </w:rPr>
              <w:t xml:space="preserve">Recommended Retail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0d0d0d"/>
                <w:sz w:val="17"/>
                <w:szCs w:val="17"/>
                <w:rtl w:val="0"/>
              </w:rPr>
              <w:t xml:space="preserve">$9.99/mo / $79.99/yr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2c3e50"/>
                <w:sz w:val="18"/>
                <w:szCs w:val="18"/>
                <w:rtl w:val="0"/>
              </w:rPr>
              <w:t xml:space="preserve">Enterprise License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0d0d0d"/>
                <w:sz w:val="17"/>
                <w:szCs w:val="17"/>
                <w:rtl w:val="0"/>
              </w:rPr>
              <w:t xml:space="preserve">$25,000–$95,000/yr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1"/>
                <w:bCs w:val="1"/>
                <w:color w:val="2c3e50"/>
                <w:sz w:val="18"/>
                <w:szCs w:val="18"/>
                <w:rtl w:val="0"/>
              </w:rPr>
              <w:t xml:space="preserve">Cost-Based Valuation (CBV)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0d0d0d"/>
                <w:sz w:val="17"/>
                <w:szCs w:val="17"/>
                <w:rtl w:val="0"/>
              </w:rPr>
              <w:t xml:space="preserve">Estimated 1,600 development hours at $125/hr = $200,000 direct cost. Mobile application market multiplier 8x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1"/>
                <w:bCs w:val="1"/>
                <w:color w:val="2c3e50"/>
                <w:sz w:val="18"/>
                <w:szCs w:val="18"/>
                <w:rtl w:val="0"/>
              </w:rPr>
              <w:t xml:space="preserve">Market Comparable (MCV)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0d0d0d"/>
                <w:sz w:val="17"/>
                <w:szCs w:val="17"/>
                <w:rtl w:val="0"/>
              </w:rPr>
              <w:t xml:space="preserve">Comparables: Splice ($500M valuation), Voloco, BandLab. No comparable identified that focuses specifically on audio-first editing for short-form social media export (Reels, TikTok, YouTube Shorts).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1"/>
                <w:bCs w:val="1"/>
                <w:color w:val="2c3e50"/>
                <w:sz w:val="18"/>
                <w:szCs w:val="18"/>
                <w:rtl w:val="0"/>
              </w:rPr>
              <w:t xml:space="preserve">Income-Based Valuation (IBV/DCF)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0d0d0d"/>
                <w:sz w:val="17"/>
                <w:szCs w:val="17"/>
                <w:rtl w:val="0"/>
              </w:rPr>
              <w:t xml:space="preserve">DCF at 8%, 5yr: $550,000 NPV.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1"/>
                <w:bCs w:val="1"/>
                <w:color w:val="2c3e50"/>
                <w:sz w:val="18"/>
                <w:szCs w:val="18"/>
                <w:rtl w:val="0"/>
              </w:rPr>
              <w:t xml:space="preserve">Appraiser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0d0d0d"/>
                <w:sz w:val="17"/>
                <w:szCs w:val="17"/>
                <w:rtl w:val="0"/>
              </w:rPr>
              <w:t xml:space="preserve">Validated market gap: 70% of musician creators cite discoverability as primary challenge. 40% report viral videos failing to convert to streaming platform growth. Audio controls: Reverb, EQ, Gain, mono-to-stereo, de-noise. White-label available.</w:t>
            </w:r>
            <w:r w:rsidDel="00000000" w:rsidR="00000000" w:rsidRPr="00000000">
              <w:rPr>
                <w:rtl w:val="0"/>
              </w:rPr>
            </w:r>
          </w:p>
        </w:tc>
      </w:tr>
    </w:tbl>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spacing w:after="120" w:before="360" w:lineRule="auto"/>
        <w:rPr/>
      </w:pPr>
      <w:r w:rsidDel="00000000" w:rsidR="00000000" w:rsidRPr="00000000">
        <w:rPr>
          <w:rFonts w:ascii="Arial" w:cs="Arial" w:eastAsia="Arial" w:hAnsi="Arial"/>
          <w:b w:val="1"/>
          <w:bCs w:val="1"/>
          <w:color w:val="1b2a4a"/>
          <w:sz w:val="28"/>
          <w:szCs w:val="28"/>
          <w:rtl w:val="0"/>
        </w:rPr>
        <w:t xml:space="preserve">7. RISK, LIABILITY &amp; COMPLIANCE ASSESSMENT</w:t>
      </w:r>
      <w:r w:rsidDel="00000000" w:rsidR="00000000" w:rsidRPr="00000000">
        <w:rPr>
          <w:rtl w:val="0"/>
        </w:rPr>
      </w:r>
    </w:p>
    <w:p w:rsidR="00000000" w:rsidDel="00000000" w:rsidP="00000000" w:rsidRDefault="00000000" w:rsidRPr="00000000" w14:paraId="00000263">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264">
      <w:pPr>
        <w:spacing w:after="80" w:before="240" w:lineRule="auto"/>
        <w:rPr/>
      </w:pPr>
      <w:r w:rsidDel="00000000" w:rsidR="00000000" w:rsidRPr="00000000">
        <w:rPr>
          <w:rFonts w:ascii="Arial" w:cs="Arial" w:eastAsia="Arial" w:hAnsi="Arial"/>
          <w:b w:val="1"/>
          <w:bCs w:val="1"/>
          <w:color w:val="2c3e50"/>
          <w:sz w:val="22"/>
          <w:szCs w:val="22"/>
          <w:rtl w:val="0"/>
        </w:rPr>
        <w:t xml:space="preserve">7.1 Adoption Risk</w:t>
      </w:r>
      <w:r w:rsidDel="00000000" w:rsidR="00000000" w:rsidRPr="00000000">
        <w:rPr>
          <w:rtl w:val="0"/>
        </w:rPr>
      </w:r>
    </w:p>
    <w:p w:rsidR="00000000" w:rsidDel="00000000" w:rsidP="00000000" w:rsidRDefault="00000000" w:rsidRPr="00000000" w14:paraId="00000265">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All 14 products are pre-revenue. FMV reflects IP value and replacement cost, not realized revenue. IBV figures incorporate conservative single-client adoption scenarios. Institutional buyers should apply a 30–50% discount to IBV figures for balance-sheet inclusion pending revenue demonstration.</w:t>
      </w:r>
      <w:r w:rsidDel="00000000" w:rsidR="00000000" w:rsidRPr="00000000">
        <w:rPr>
          <w:rtl w:val="0"/>
        </w:rPr>
      </w:r>
    </w:p>
    <w:p w:rsidR="00000000" w:rsidDel="00000000" w:rsidP="00000000" w:rsidRDefault="00000000" w:rsidRPr="00000000" w14:paraId="00000266">
      <w:pPr>
        <w:spacing w:after="80" w:before="240" w:lineRule="auto"/>
        <w:rPr/>
      </w:pPr>
      <w:r w:rsidDel="00000000" w:rsidR="00000000" w:rsidRPr="00000000">
        <w:rPr>
          <w:rFonts w:ascii="Arial" w:cs="Arial" w:eastAsia="Arial" w:hAnsi="Arial"/>
          <w:b w:val="1"/>
          <w:bCs w:val="1"/>
          <w:color w:val="2c3e50"/>
          <w:sz w:val="22"/>
          <w:szCs w:val="22"/>
          <w:rtl w:val="0"/>
        </w:rPr>
        <w:t xml:space="preserve">7.2 Regulatory Risk</w:t>
      </w:r>
      <w:r w:rsidDel="00000000" w:rsidR="00000000" w:rsidRPr="00000000">
        <w:rPr>
          <w:rtl w:val="0"/>
        </w:rPr>
      </w:r>
    </w:p>
    <w:p w:rsidR="00000000" w:rsidDel="00000000" w:rsidP="00000000" w:rsidRDefault="00000000" w:rsidRPr="00000000" w14:paraId="00000267">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Products operating in blockchain data ingestion (Alētheia Array™), automated trading systems (INxS™), and blockchain security intelligence (Argos™) are subject to evolving regulatory frameworks under FINTRAC and PIPEDA (Canada), SEC and CFTC (United States), and MiCA and GDPR (European Union). Compliance architecture is embedded by design across all products. Independent legal review is recommended prior to commercial deployment in regulated jurisdictions.</w:t>
      </w:r>
      <w:r w:rsidDel="00000000" w:rsidR="00000000" w:rsidRPr="00000000">
        <w:rPr>
          <w:rtl w:val="0"/>
        </w:rPr>
      </w:r>
    </w:p>
    <w:p w:rsidR="00000000" w:rsidDel="00000000" w:rsidP="00000000" w:rsidRDefault="00000000" w:rsidRPr="00000000" w14:paraId="00000268">
      <w:pPr>
        <w:spacing w:after="80" w:before="240" w:lineRule="auto"/>
        <w:rPr/>
      </w:pPr>
      <w:r w:rsidDel="00000000" w:rsidR="00000000" w:rsidRPr="00000000">
        <w:rPr>
          <w:rFonts w:ascii="Arial" w:cs="Arial" w:eastAsia="Arial" w:hAnsi="Arial"/>
          <w:b w:val="1"/>
          <w:bCs w:val="1"/>
          <w:color w:val="2c3e50"/>
          <w:sz w:val="22"/>
          <w:szCs w:val="22"/>
          <w:rtl w:val="0"/>
        </w:rPr>
        <w:t xml:space="preserve">7.3 IP Enforcement</w:t>
      </w:r>
      <w:r w:rsidDel="00000000" w:rsidR="00000000" w:rsidRPr="00000000">
        <w:rPr>
          <w:rtl w:val="0"/>
        </w:rPr>
      </w:r>
    </w:p>
    <w:p w:rsidR="00000000" w:rsidDel="00000000" w:rsidP="00000000" w:rsidRDefault="00000000" w:rsidRPr="00000000" w14:paraId="00000269">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All products bear proprietary trademarks. Trade secret protection is the primary IP enforcement mechanism. A 19-document multilingual legal suite (6 languages) has been completed per product and per autonomous ingestion engine. No patent registrations have been confirmed at the time of this appraisal. Legal counsel review of all documentation is recommended prior to commercial execution.</w:t>
      </w:r>
      <w:r w:rsidDel="00000000" w:rsidR="00000000" w:rsidRPr="00000000">
        <w:rPr>
          <w:rtl w:val="0"/>
        </w:rPr>
      </w:r>
    </w:p>
    <w:p w:rsidR="00000000" w:rsidDel="00000000" w:rsidP="00000000" w:rsidRDefault="00000000" w:rsidRPr="00000000" w14:paraId="0000026A">
      <w:pPr>
        <w:spacing w:after="80" w:before="240" w:lineRule="auto"/>
        <w:rPr/>
      </w:pPr>
      <w:r w:rsidDel="00000000" w:rsidR="00000000" w:rsidRPr="00000000">
        <w:rPr>
          <w:rFonts w:ascii="Arial" w:cs="Arial" w:eastAsia="Arial" w:hAnsi="Arial"/>
          <w:b w:val="1"/>
          <w:bCs w:val="1"/>
          <w:color w:val="2c3e50"/>
          <w:sz w:val="22"/>
          <w:szCs w:val="22"/>
          <w:rtl w:val="0"/>
        </w:rPr>
        <w:t xml:space="preserve">7.4 Technical Maturity</w:t>
      </w:r>
      <w:r w:rsidDel="00000000" w:rsidR="00000000" w:rsidRPr="00000000">
        <w:rPr>
          <w:rtl w:val="0"/>
        </w:rPr>
      </w:r>
    </w:p>
    <w:p w:rsidR="00000000" w:rsidDel="00000000" w:rsidP="00000000" w:rsidRDefault="00000000" w:rsidRPr="00000000" w14:paraId="0000026B">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Of 14 products appraised: 4 are production-ready (AcerbE™, FabriCatHD™, FormDepot™, YourTube™), 4 are architecture-complete pending build (INxS™, Argos™, CreatorOS™, Archer Revenue Finder™), 3 are integration-stage (SalvageBotX™, RaPaX™, Alētheia Array™), and 2 are concept-validated pre-build (Crypto Hall of Alexandria™, SoundDrop™). SMCRI scores reflect these distinctions.</w:t>
      </w:r>
      <w:r w:rsidDel="00000000" w:rsidR="00000000" w:rsidRPr="00000000">
        <w:rPr>
          <w:rtl w:val="0"/>
        </w:rPr>
      </w:r>
    </w:p>
    <w:p w:rsidR="00000000" w:rsidDel="00000000" w:rsidP="00000000" w:rsidRDefault="00000000" w:rsidRPr="00000000" w14:paraId="0000026C">
      <w:pPr>
        <w:spacing w:after="80" w:before="240" w:lineRule="auto"/>
        <w:rPr/>
      </w:pPr>
      <w:r w:rsidDel="00000000" w:rsidR="00000000" w:rsidRPr="00000000">
        <w:rPr>
          <w:rFonts w:ascii="Arial" w:cs="Arial" w:eastAsia="Arial" w:hAnsi="Arial"/>
          <w:b w:val="1"/>
          <w:bCs w:val="1"/>
          <w:color w:val="2c3e50"/>
          <w:sz w:val="22"/>
          <w:szCs w:val="22"/>
          <w:rtl w:val="0"/>
        </w:rPr>
        <w:t xml:space="preserve">7.5 Concentration Risk</w:t>
      </w:r>
      <w:r w:rsidDel="00000000" w:rsidR="00000000" w:rsidRPr="00000000">
        <w:rPr>
          <w:rtl w:val="0"/>
        </w:rPr>
      </w:r>
    </w:p>
    <w:p w:rsidR="00000000" w:rsidDel="00000000" w:rsidP="00000000" w:rsidRDefault="00000000" w:rsidRPr="00000000" w14:paraId="0000026D">
      <w:pPr>
        <w:spacing w:after="60" w:before="60" w:lineRule="auto"/>
        <w:rPr/>
      </w:pPr>
      <w:r w:rsidDel="00000000" w:rsidR="00000000" w:rsidRPr="00000000">
        <w:rPr>
          <w:rFonts w:ascii="Arial" w:cs="Arial" w:eastAsia="Arial" w:hAnsi="Arial"/>
          <w:b w:val="0"/>
          <w:bCs w:val="0"/>
          <w:i w:val="0"/>
          <w:iCs w:val="0"/>
          <w:color w:val="0d0d0d"/>
          <w:sz w:val="19"/>
          <w:szCs w:val="19"/>
          <w:rtl w:val="0"/>
        </w:rPr>
        <w:t xml:space="preserve">The Alētheia Array™ represents approximately 30% of total portfolio FMV. This concentration is mitigated by the Array's role as foundational infrastructure feeding 6 of the 14 products — making it a systemic multiplier rather than a single-point dependency.</w:t>
      </w:r>
      <w:r w:rsidDel="00000000" w:rsidR="00000000" w:rsidRPr="00000000">
        <w:rPr>
          <w:rtl w:val="0"/>
        </w:rPr>
      </w:r>
    </w:p>
    <w:p w:rsidR="00000000" w:rsidDel="00000000" w:rsidP="00000000" w:rsidRDefault="00000000" w:rsidRPr="00000000" w14:paraId="0000026E">
      <w:pPr>
        <w:rPr/>
      </w:pPr>
      <w:r w:rsidDel="00000000" w:rsidR="00000000" w:rsidRPr="00000000">
        <w:br w:type="page"/>
      </w:r>
      <w:r w:rsidDel="00000000" w:rsidR="00000000" w:rsidRPr="00000000">
        <w:rPr>
          <w:rtl w:val="0"/>
        </w:rPr>
      </w:r>
    </w:p>
    <w:p w:rsidR="00000000" w:rsidDel="00000000" w:rsidP="00000000" w:rsidRDefault="00000000" w:rsidRPr="00000000" w14:paraId="0000026F">
      <w:pPr>
        <w:spacing w:after="120" w:before="360" w:lineRule="auto"/>
        <w:rPr/>
      </w:pPr>
      <w:r w:rsidDel="00000000" w:rsidR="00000000" w:rsidRPr="00000000">
        <w:rPr>
          <w:rFonts w:ascii="Arial" w:cs="Arial" w:eastAsia="Arial" w:hAnsi="Arial"/>
          <w:b w:val="1"/>
          <w:bCs w:val="1"/>
          <w:color w:val="1b2a4a"/>
          <w:sz w:val="28"/>
          <w:szCs w:val="28"/>
          <w:rtl w:val="0"/>
        </w:rPr>
        <w:t xml:space="preserve">8. COMMERCIALIZATION READINESS SCORES (SMCRI)</w:t>
      </w:r>
      <w:r w:rsidDel="00000000" w:rsidR="00000000" w:rsidRPr="00000000">
        <w:rPr>
          <w:rtl w:val="0"/>
        </w:rPr>
      </w:r>
    </w:p>
    <w:p w:rsidR="00000000" w:rsidDel="00000000" w:rsidP="00000000" w:rsidRDefault="00000000" w:rsidRPr="00000000" w14:paraId="00000270">
      <w:pPr>
        <w:pBdr>
          <w:bottom w:color="1b2a4a" w:space="1" w:sz="4" w:val="single"/>
        </w:pBdr>
        <w:spacing w:after="160" w:before="160" w:lineRule="auto"/>
        <w:rPr/>
      </w:pPr>
      <w:r w:rsidDel="00000000" w:rsidR="00000000" w:rsidRPr="00000000">
        <w:rPr>
          <w:rtl w:val="0"/>
        </w:rPr>
      </w:r>
    </w:p>
    <w:tbl>
      <w:tblPr>
        <w:tblStyle w:val="Table18"/>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1100"/>
        <w:gridCol w:w="1100"/>
        <w:gridCol w:w="1660"/>
        <w:tblGridChange w:id="0">
          <w:tblGrid>
            <w:gridCol w:w="2200"/>
            <w:gridCol w:w="1100"/>
            <w:gridCol w:w="1100"/>
            <w:gridCol w:w="1100"/>
            <w:gridCol w:w="11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1"/>
                <w:bCs w:val="1"/>
                <w:color w:val="ffffff"/>
                <w:sz w:val="18"/>
                <w:szCs w:val="18"/>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ffffff"/>
                <w:sz w:val="18"/>
                <w:szCs w:val="18"/>
                <w:rtl w:val="0"/>
              </w:rPr>
              <w:t xml:space="preserve">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ffffff"/>
                <w:sz w:val="18"/>
                <w:szCs w:val="18"/>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ffffff"/>
                <w:sz w:val="18"/>
                <w:szCs w:val="18"/>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1"/>
                <w:bCs w:val="1"/>
                <w:color w:val="ffffff"/>
                <w:sz w:val="18"/>
                <w:szCs w:val="18"/>
                <w:rtl w:val="0"/>
              </w:rPr>
              <w:t xml:space="preserve">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ffffff"/>
                <w:sz w:val="18"/>
                <w:szCs w:val="18"/>
                <w:rtl w:val="0"/>
              </w:rPr>
              <w:t xml:space="preserve">SMCRI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0d0d0d"/>
                <w:sz w:val="18"/>
                <w:szCs w:val="18"/>
                <w:rtl w:val="0"/>
              </w:rPr>
              <w:t xml:space="preserve">AcerbE™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0"/>
                <w:bCs w:val="0"/>
                <w:color w:val="0d0d0d"/>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0"/>
                <w:bCs w:val="0"/>
                <w:color w:val="0d0d0d"/>
                <w:sz w:val="18"/>
                <w:szCs w:val="18"/>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7A">
            <w:pPr>
              <w:jc w:val="center"/>
              <w:rPr/>
            </w:pPr>
            <w:r w:rsidDel="00000000" w:rsidR="00000000" w:rsidRPr="00000000">
              <w:rPr>
                <w:rFonts w:ascii="Arial" w:cs="Arial" w:eastAsia="Arial" w:hAnsi="Arial"/>
                <w:b w:val="0"/>
                <w:bCs w:val="0"/>
                <w:color w:val="0d0d0d"/>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rFonts w:ascii="Arial" w:cs="Arial" w:eastAsia="Arial" w:hAnsi="Arial"/>
                <w:b w:val="0"/>
                <w:bCs w:val="0"/>
                <w:color w:val="0d0d0d"/>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1b2a4a"/>
                <w:sz w:val="18"/>
                <w:szCs w:val="18"/>
                <w:rtl w:val="0"/>
              </w:rPr>
              <w:t xml:space="preserve">88/100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0d0d0d"/>
                <w:sz w:val="18"/>
                <w:szCs w:val="18"/>
                <w:rtl w:val="0"/>
              </w:rPr>
              <w:t xml:space="preserve">RaPaX™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0"/>
                <w:bCs w:val="0"/>
                <w:color w:val="0d0d0d"/>
                <w:sz w:val="18"/>
                <w:szCs w:val="18"/>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0"/>
                <w:bCs w:val="0"/>
                <w:color w:val="0d0d0d"/>
                <w:sz w:val="18"/>
                <w:szCs w:val="18"/>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0"/>
                <w:bCs w:val="0"/>
                <w:color w:val="0d0d0d"/>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1b2a4a"/>
                <w:sz w:val="18"/>
                <w:szCs w:val="18"/>
                <w:rtl w:val="0"/>
              </w:rPr>
              <w:t xml:space="preserve">84/100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0d0d0d"/>
                <w:sz w:val="18"/>
                <w:szCs w:val="18"/>
                <w:rtl w:val="0"/>
              </w:rPr>
              <w:t xml:space="preserve">INxS™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0"/>
                <w:bCs w:val="0"/>
                <w:color w:val="0d0d0d"/>
                <w:sz w:val="18"/>
                <w:szCs w:val="18"/>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rFonts w:ascii="Arial" w:cs="Arial" w:eastAsia="Arial" w:hAnsi="Arial"/>
                <w:b w:val="0"/>
                <w:bCs w:val="0"/>
                <w:color w:val="0d0d0d"/>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0"/>
                <w:bCs w:val="0"/>
                <w:color w:val="0d0d0d"/>
                <w:sz w:val="18"/>
                <w:szCs w:val="18"/>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1b2a4a"/>
                <w:sz w:val="18"/>
                <w:szCs w:val="18"/>
                <w:rtl w:val="0"/>
              </w:rPr>
              <w:t xml:space="preserve">82/100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0d0d0d"/>
                <w:sz w:val="18"/>
                <w:szCs w:val="18"/>
                <w:rtl w:val="0"/>
              </w:rPr>
              <w:t xml:space="preserve">SalvageBotX™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jc w:val="center"/>
              <w:rPr/>
            </w:pPr>
            <w:r w:rsidDel="00000000" w:rsidR="00000000" w:rsidRPr="00000000">
              <w:rPr>
                <w:rFonts w:ascii="Arial" w:cs="Arial" w:eastAsia="Arial" w:hAnsi="Arial"/>
                <w:b w:val="0"/>
                <w:bCs w:val="0"/>
                <w:color w:val="0d0d0d"/>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jc w:val="center"/>
              <w:rPr/>
            </w:pPr>
            <w:r w:rsidDel="00000000" w:rsidR="00000000" w:rsidRPr="00000000">
              <w:rPr>
                <w:rFonts w:ascii="Arial" w:cs="Arial" w:eastAsia="Arial" w:hAnsi="Arial"/>
                <w:b w:val="0"/>
                <w:bCs w:val="0"/>
                <w:color w:val="0d0d0d"/>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1b2a4a"/>
                <w:sz w:val="18"/>
                <w:szCs w:val="18"/>
                <w:rtl w:val="0"/>
              </w:rPr>
              <w:t xml:space="preserve">78/100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0d0d0d"/>
                <w:sz w:val="18"/>
                <w:szCs w:val="18"/>
                <w:rtl w:val="0"/>
              </w:rPr>
              <w:t xml:space="preserve">Alētheia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0"/>
                <w:bCs w:val="0"/>
                <w:color w:val="0d0d0d"/>
                <w:sz w:val="18"/>
                <w:szCs w:val="18"/>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0"/>
                <w:bCs w:val="0"/>
                <w:color w:val="0d0d0d"/>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0"/>
                <w:bCs w:val="0"/>
                <w:color w:val="0d0d0d"/>
                <w:sz w:val="18"/>
                <w:szCs w:val="18"/>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b w:val="0"/>
                <w:bCs w:val="0"/>
                <w:color w:val="0d0d0d"/>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1b2a4a"/>
                <w:sz w:val="18"/>
                <w:szCs w:val="18"/>
                <w:rtl w:val="0"/>
              </w:rPr>
              <w:t xml:space="preserve">89/100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0d0d0d"/>
                <w:sz w:val="18"/>
                <w:szCs w:val="18"/>
                <w:rtl w:val="0"/>
              </w:rPr>
              <w:t xml:space="preserve">Argos™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0"/>
                <w:bCs w:val="0"/>
                <w:color w:val="0d0d0d"/>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0"/>
                <w:bCs w:val="0"/>
                <w:color w:val="0d0d0d"/>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b w:val="0"/>
                <w:bCs w:val="0"/>
                <w:color w:val="0d0d0d"/>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1b2a4a"/>
                <w:sz w:val="18"/>
                <w:szCs w:val="18"/>
                <w:rtl w:val="0"/>
              </w:rPr>
              <w:t xml:space="preserve">76/100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0d0d0d"/>
                <w:sz w:val="18"/>
                <w:szCs w:val="18"/>
                <w:rtl w:val="0"/>
              </w:rPr>
              <w:t xml:space="preserve">Crypto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b w:val="0"/>
                <w:bCs w:val="0"/>
                <w:color w:val="0d0d0d"/>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0"/>
                <w:bCs w:val="0"/>
                <w:color w:val="0d0d0d"/>
                <w:sz w:val="18"/>
                <w:szCs w:val="18"/>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b w:val="0"/>
                <w:bCs w:val="0"/>
                <w:color w:val="0d0d0d"/>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9F">
            <w:pPr>
              <w:jc w:val="center"/>
              <w:rPr/>
            </w:pPr>
            <w:r w:rsidDel="00000000" w:rsidR="00000000" w:rsidRPr="00000000">
              <w:rPr>
                <w:rFonts w:ascii="Arial" w:cs="Arial" w:eastAsia="Arial" w:hAnsi="Arial"/>
                <w:b w:val="0"/>
                <w:bCs w:val="0"/>
                <w:color w:val="0d0d0d"/>
                <w:sz w:val="18"/>
                <w:szCs w:val="18"/>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1b2a4a"/>
                <w:sz w:val="18"/>
                <w:szCs w:val="18"/>
                <w:rtl w:val="0"/>
              </w:rPr>
              <w:t xml:space="preserve">68/100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0d0d0d"/>
                <w:sz w:val="18"/>
                <w:szCs w:val="18"/>
                <w:rtl w:val="0"/>
              </w:rPr>
              <w:t xml:space="preserve">CreatorOS™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jc w:val="center"/>
              <w:rPr/>
            </w:pPr>
            <w:r w:rsidDel="00000000" w:rsidR="00000000" w:rsidRPr="00000000">
              <w:rPr>
                <w:rFonts w:ascii="Arial" w:cs="Arial" w:eastAsia="Arial" w:hAnsi="Arial"/>
                <w:b w:val="0"/>
                <w:bCs w:val="0"/>
                <w:color w:val="0d0d0d"/>
                <w:sz w:val="18"/>
                <w:szCs w:val="18"/>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jc w:val="center"/>
              <w:rPr/>
            </w:pPr>
            <w:r w:rsidDel="00000000" w:rsidR="00000000" w:rsidRPr="00000000">
              <w:rPr>
                <w:rFonts w:ascii="Arial" w:cs="Arial" w:eastAsia="Arial" w:hAnsi="Arial"/>
                <w:b w:val="0"/>
                <w:bCs w:val="0"/>
                <w:color w:val="0d0d0d"/>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0"/>
                <w:bCs w:val="0"/>
                <w:color w:val="0d0d0d"/>
                <w:sz w:val="18"/>
                <w:szCs w:val="18"/>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0"/>
                <w:bCs w:val="0"/>
                <w:color w:val="0d0d0d"/>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1b2a4a"/>
                <w:sz w:val="18"/>
                <w:szCs w:val="18"/>
                <w:rtl w:val="0"/>
              </w:rPr>
              <w:t xml:space="preserve">62/100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0d0d0d"/>
                <w:sz w:val="18"/>
                <w:szCs w:val="18"/>
                <w:rtl w:val="0"/>
              </w:rPr>
              <w:t xml:space="preserve">FabriCatHD™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A8">
            <w:pPr>
              <w:jc w:val="center"/>
              <w:rPr/>
            </w:pPr>
            <w:r w:rsidDel="00000000" w:rsidR="00000000" w:rsidRPr="00000000">
              <w:rPr>
                <w:rFonts w:ascii="Arial" w:cs="Arial" w:eastAsia="Arial" w:hAnsi="Arial"/>
                <w:b w:val="0"/>
                <w:bCs w:val="0"/>
                <w:color w:val="0d0d0d"/>
                <w:sz w:val="18"/>
                <w:szCs w:val="18"/>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A9">
            <w:pPr>
              <w:jc w:val="center"/>
              <w:rPr/>
            </w:pPr>
            <w:r w:rsidDel="00000000" w:rsidR="00000000" w:rsidRPr="00000000">
              <w:rPr>
                <w:rFonts w:ascii="Arial" w:cs="Arial" w:eastAsia="Arial" w:hAnsi="Arial"/>
                <w:b w:val="0"/>
                <w:bCs w:val="0"/>
                <w:color w:val="0d0d0d"/>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0"/>
                <w:bCs w:val="0"/>
                <w:color w:val="0d0d0d"/>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0"/>
                <w:bCs w:val="0"/>
                <w:color w:val="0d0d0d"/>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1b2a4a"/>
                <w:sz w:val="18"/>
                <w:szCs w:val="18"/>
                <w:rtl w:val="0"/>
              </w:rPr>
              <w:t xml:space="preserve">80/100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0d0d0d"/>
                <w:sz w:val="18"/>
                <w:szCs w:val="18"/>
                <w:rtl w:val="0"/>
              </w:rPr>
              <w:t xml:space="preserve">Archer Rev. Finder™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0"/>
                <w:bCs w:val="0"/>
                <w:color w:val="0d0d0d"/>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jc w:val="center"/>
              <w:rPr/>
            </w:pPr>
            <w:r w:rsidDel="00000000" w:rsidR="00000000" w:rsidRPr="00000000">
              <w:rPr>
                <w:rFonts w:ascii="Arial" w:cs="Arial" w:eastAsia="Arial" w:hAnsi="Arial"/>
                <w:b w:val="0"/>
                <w:bCs w:val="0"/>
                <w:color w:val="0d0d0d"/>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rFonts w:ascii="Arial" w:cs="Arial" w:eastAsia="Arial" w:hAnsi="Arial"/>
                <w:b w:val="0"/>
                <w:bCs w:val="0"/>
                <w:color w:val="0d0d0d"/>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1"/>
                <w:bCs w:val="1"/>
                <w:color w:val="1b2a4a"/>
                <w:sz w:val="18"/>
                <w:szCs w:val="18"/>
                <w:rtl w:val="0"/>
              </w:rPr>
              <w:t xml:space="preserve">76/100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0d0d0d"/>
                <w:sz w:val="18"/>
                <w:szCs w:val="18"/>
                <w:rtl w:val="0"/>
              </w:rPr>
              <w:t xml:space="preserve">FormDepot™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0"/>
                <w:bCs w:val="0"/>
                <w:color w:val="0d0d0d"/>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0"/>
                <w:bCs w:val="0"/>
                <w:color w:val="0d0d0d"/>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B7">
            <w:pPr>
              <w:jc w:val="center"/>
              <w:rPr/>
            </w:pPr>
            <w:r w:rsidDel="00000000" w:rsidR="00000000" w:rsidRPr="00000000">
              <w:rPr>
                <w:rFonts w:ascii="Arial" w:cs="Arial" w:eastAsia="Arial" w:hAnsi="Arial"/>
                <w:b w:val="0"/>
                <w:bCs w:val="0"/>
                <w:color w:val="0d0d0d"/>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1b2a4a"/>
                <w:sz w:val="18"/>
                <w:szCs w:val="18"/>
                <w:rtl w:val="0"/>
              </w:rPr>
              <w:t xml:space="preserve">78/100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0d0d0d"/>
                <w:sz w:val="18"/>
                <w:szCs w:val="18"/>
                <w:rtl w:val="0"/>
              </w:rPr>
              <w:t xml:space="preserve">YourTube™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jc w:val="center"/>
              <w:rPr/>
            </w:pPr>
            <w:r w:rsidDel="00000000" w:rsidR="00000000" w:rsidRPr="00000000">
              <w:rPr>
                <w:rFonts w:ascii="Arial" w:cs="Arial" w:eastAsia="Arial" w:hAnsi="Arial"/>
                <w:b w:val="0"/>
                <w:bCs w:val="0"/>
                <w:color w:val="0d0d0d"/>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jc w:val="center"/>
              <w:rPr/>
            </w:pPr>
            <w:r w:rsidDel="00000000" w:rsidR="00000000" w:rsidRPr="00000000">
              <w:rPr>
                <w:rFonts w:ascii="Arial" w:cs="Arial" w:eastAsia="Arial" w:hAnsi="Arial"/>
                <w:b w:val="0"/>
                <w:bCs w:val="0"/>
                <w:color w:val="0d0d0d"/>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0"/>
                <w:bCs w:val="0"/>
                <w:color w:val="0d0d0d"/>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0"/>
                <w:bCs w:val="0"/>
                <w:color w:val="0d0d0d"/>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1b2a4a"/>
                <w:sz w:val="18"/>
                <w:szCs w:val="18"/>
                <w:rtl w:val="0"/>
              </w:rPr>
              <w:t xml:space="preserve">76/100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0d0d0d"/>
                <w:sz w:val="18"/>
                <w:szCs w:val="18"/>
                <w:rtl w:val="0"/>
              </w:rPr>
              <w:t xml:space="preserve">SoundDrop™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0"/>
                <w:bCs w:val="0"/>
                <w:color w:val="0d0d0d"/>
                <w:sz w:val="18"/>
                <w:szCs w:val="18"/>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0"/>
                <w:bCs w:val="0"/>
                <w:color w:val="0d0d0d"/>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0"/>
                <w:bCs w:val="0"/>
                <w:color w:val="0d0d0d"/>
                <w:sz w:val="18"/>
                <w:szCs w:val="18"/>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0"/>
                <w:bCs w:val="0"/>
                <w:color w:val="0d0d0d"/>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1b2a4a"/>
                <w:sz w:val="18"/>
                <w:szCs w:val="18"/>
                <w:rtl w:val="0"/>
              </w:rPr>
              <w:t xml:space="preserve">58/100</w:t>
            </w:r>
            <w:r w:rsidDel="00000000" w:rsidR="00000000" w:rsidRPr="00000000">
              <w:rPr>
                <w:rtl w:val="0"/>
              </w:rPr>
            </w:r>
          </w:p>
        </w:tc>
      </w:tr>
    </w:tbl>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after="120" w:before="360" w:lineRule="auto"/>
        <w:rPr/>
      </w:pPr>
      <w:r w:rsidDel="00000000" w:rsidR="00000000" w:rsidRPr="00000000">
        <w:rPr>
          <w:rFonts w:ascii="Arial" w:cs="Arial" w:eastAsia="Arial" w:hAnsi="Arial"/>
          <w:b w:val="1"/>
          <w:bCs w:val="1"/>
          <w:color w:val="1b2a4a"/>
          <w:sz w:val="28"/>
          <w:szCs w:val="28"/>
          <w:rtl w:val="0"/>
        </w:rPr>
        <w:t xml:space="preserve">9. OFFICIAL APPRAISAL STATEMENT</w:t>
      </w:r>
      <w:r w:rsidDel="00000000" w:rsidR="00000000" w:rsidRPr="00000000">
        <w:rPr>
          <w:rtl w:val="0"/>
        </w:rPr>
      </w:r>
    </w:p>
    <w:p w:rsidR="00000000" w:rsidDel="00000000" w:rsidP="00000000" w:rsidRDefault="00000000" w:rsidRPr="00000000" w14:paraId="000002C7">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Fonts w:ascii="Arial" w:cs="Arial" w:eastAsia="Arial" w:hAnsi="Arial"/>
          <w:i w:val="1"/>
          <w:iCs w:val="1"/>
          <w:color w:val="0d0d0d"/>
          <w:sz w:val="20"/>
          <w:szCs w:val="20"/>
          <w:rtl w:val="0"/>
        </w:rPr>
        <w:t xml:space="preserve">Meridian IP Valuation Group hereby certifies that the valuations presented in this report represent a conservative, independent, and defensible estimate of the Fair Market Value, Enterprise Replacement Cost, and Commercial Licensing Value of the Archer Chain Analytics digital product portfolio as of June 10, 2026. This appraisal was conducted independently, free from conflict of interest, with no financial interest in the subject assets, and based solely on verified technical specifications, asset documentation, legal suite inventories, and recognized market comparables. All methodology is aligned with the International Valuation Standards (IVS), Software and Intangible Asset Valuation (SIAV) guidelines, and WIPO-recognized frameworks for intellectual property valuation. This report is suitable for institutional lending, insurance underwriting, balance sheet inclusion, and sworn attestation purposes.</w:t>
      </w:r>
      <w:r w:rsidDel="00000000" w:rsidR="00000000" w:rsidRPr="00000000">
        <w:rPr>
          <w:rtl w:val="0"/>
        </w:rPr>
      </w:r>
    </w:p>
    <w:p w:rsidR="00000000" w:rsidDel="00000000" w:rsidP="00000000" w:rsidRDefault="00000000" w:rsidRPr="00000000" w14:paraId="000002CA">
      <w:pPr>
        <w:pBdr>
          <w:bottom w:color="1b2a4a" w:space="1" w:sz="4" w:val="single"/>
        </w:pBdr>
        <w:spacing w:after="160" w:before="160" w:lineRule="auto"/>
        <w:rPr/>
      </w:pPr>
      <w:r w:rsidDel="00000000" w:rsidR="00000000" w:rsidRPr="00000000">
        <w:rPr>
          <w:rtl w:val="0"/>
        </w:rPr>
      </w:r>
    </w:p>
    <w:p w:rsidR="00000000" w:rsidDel="00000000" w:rsidP="00000000" w:rsidRDefault="00000000" w:rsidRPr="00000000" w14:paraId="000002CB">
      <w:pPr>
        <w:spacing w:after="120" w:before="360" w:lineRule="auto"/>
        <w:rPr/>
      </w:pPr>
      <w:r w:rsidDel="00000000" w:rsidR="00000000" w:rsidRPr="00000000">
        <w:rPr>
          <w:rFonts w:ascii="Arial" w:cs="Arial" w:eastAsia="Arial" w:hAnsi="Arial"/>
          <w:b w:val="1"/>
          <w:bCs w:val="1"/>
          <w:color w:val="1b2a4a"/>
          <w:sz w:val="28"/>
          <w:szCs w:val="28"/>
          <w:rtl w:val="0"/>
        </w:rPr>
        <w:t xml:space="preserve">10. APPRAISER SIGNATURE BLOCK</w:t>
      </w:r>
      <w:r w:rsidDel="00000000" w:rsidR="00000000" w:rsidRPr="00000000">
        <w:rPr>
          <w:rtl w:val="0"/>
        </w:rPr>
      </w:r>
    </w:p>
    <w:p w:rsidR="00000000" w:rsidDel="00000000" w:rsidP="00000000" w:rsidRDefault="00000000" w:rsidRPr="00000000" w14:paraId="000002CC">
      <w:pPr>
        <w:pBdr>
          <w:bottom w:color="1b2a4a" w:space="1" w:sz="4" w:val="single"/>
        </w:pBdr>
        <w:spacing w:after="160" w:before="160" w:lineRule="auto"/>
        <w:rPr/>
      </w:pPr>
      <w:r w:rsidDel="00000000" w:rsidR="00000000" w:rsidRPr="00000000">
        <w:rPr>
          <w:rtl w:val="0"/>
        </w:rPr>
      </w:r>
    </w:p>
    <w:tbl>
      <w:tblPr>
        <w:tblStyle w:val="Table1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1"/>
                <w:bCs w:val="1"/>
                <w:color w:val="2c3e50"/>
                <w:sz w:val="18"/>
                <w:szCs w:val="18"/>
                <w:rtl w:val="0"/>
              </w:rPr>
              <w:t xml:space="preserve">Report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0d0d0d"/>
                <w:sz w:val="18"/>
                <w:szCs w:val="18"/>
                <w:rtl w:val="0"/>
              </w:rPr>
              <w:t xml:space="preserve">MIPVG-2026-0610-R2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1"/>
                <w:bCs w:val="1"/>
                <w:color w:val="2c3e50"/>
                <w:sz w:val="18"/>
                <w:szCs w:val="18"/>
                <w:rtl w:val="0"/>
              </w:rPr>
              <w:t xml:space="preserve">Appraiser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0d0d0d"/>
                <w:sz w:val="18"/>
                <w:szCs w:val="18"/>
                <w:rtl w:val="0"/>
              </w:rPr>
              <w:t xml:space="preserve">Meridian IP Valuation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1"/>
                <w:bCs w:val="1"/>
                <w:color w:val="2c3e50"/>
                <w:sz w:val="18"/>
                <w:szCs w:val="18"/>
                <w:rtl w:val="0"/>
              </w:rPr>
              <w:t xml:space="preserve">Designation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0d0d0d"/>
                <w:sz w:val="18"/>
                <w:szCs w:val="18"/>
                <w:rtl w:val="0"/>
              </w:rPr>
              <w:t xml:space="preserve">Certified Digital Products Appraisal Specialist (CDPAS)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1"/>
                <w:bCs w:val="1"/>
                <w:color w:val="2c3e50"/>
                <w:sz w:val="18"/>
                <w:szCs w:val="18"/>
                <w:rtl w:val="0"/>
              </w:rPr>
              <w:t xml:space="preserve">Independence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0d0d0d"/>
                <w:sz w:val="18"/>
                <w:szCs w:val="18"/>
                <w:rtl w:val="0"/>
              </w:rPr>
              <w:t xml:space="preserve">No affiliation with, or financial interest in, Archer Chain Analytics or any of its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2c3e50"/>
                <w:sz w:val="18"/>
                <w:szCs w:val="18"/>
                <w:rtl w:val="0"/>
              </w:rPr>
              <w:t xml:space="preserve">Appraisal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0d0d0d"/>
                <w:sz w:val="18"/>
                <w:szCs w:val="18"/>
                <w:rtl w:val="0"/>
              </w:rPr>
              <w:t xml:space="preserve">IVS / SIAV / WIPO-Aligned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1"/>
                <w:bCs w:val="1"/>
                <w:color w:val="2c3e50"/>
                <w:sz w:val="18"/>
                <w:szCs w:val="18"/>
                <w:rtl w:val="0"/>
              </w:rPr>
              <w:t xml:space="preserve">Valuation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0d0d0d"/>
                <w:sz w:val="18"/>
                <w:szCs w:val="18"/>
                <w:rtl w:val="0"/>
              </w:rPr>
              <w:t xml:space="preserve">June 10,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1"/>
                <w:bCs w:val="1"/>
                <w:color w:val="2c3e50"/>
                <w:sz w:val="18"/>
                <w:szCs w:val="18"/>
                <w:rtl w:val="0"/>
              </w:rPr>
              <w:t xml:space="preserve">Subject — Asset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0d0d0d"/>
                <w:sz w:val="18"/>
                <w:szCs w:val="18"/>
                <w:rtl w:val="0"/>
              </w:rPr>
              <w:t xml:space="preserve">Neil Scott Archer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1"/>
                <w:bCs w:val="1"/>
                <w:color w:val="2c3e50"/>
                <w:sz w:val="18"/>
                <w:szCs w:val="18"/>
                <w:rtl w:val="0"/>
              </w:rPr>
              <w:t xml:space="preserve">Subject —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0d0d0d"/>
                <w:sz w:val="18"/>
                <w:szCs w:val="18"/>
                <w:rtl w:val="0"/>
              </w:rPr>
              <w:t xml:space="preserve">Archer Chain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1"/>
                <w:bCs w:val="1"/>
                <w:color w:val="2c3e50"/>
                <w:sz w:val="18"/>
                <w:szCs w:val="18"/>
                <w:rtl w:val="0"/>
              </w:rPr>
              <w:t xml:space="preserve">Subject — ISC Reg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0d0d0d"/>
                <w:sz w:val="18"/>
                <w:szCs w:val="18"/>
                <w:rtl w:val="0"/>
              </w:rPr>
              <w:t xml:space="preserve">102237785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1"/>
                <w:bCs w:val="1"/>
                <w:color w:val="2c3e50"/>
                <w:sz w:val="18"/>
                <w:szCs w:val="18"/>
                <w:rtl w:val="0"/>
              </w:rPr>
              <w:t xml:space="preserve">Subject — CRA BN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0d0d0d"/>
                <w:sz w:val="18"/>
                <w:szCs w:val="18"/>
                <w:rtl w:val="0"/>
              </w:rPr>
              <w:t xml:space="preserve">709110639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1"/>
                <w:bCs w:val="1"/>
                <w:color w:val="2c3e50"/>
                <w:sz w:val="18"/>
                <w:szCs w:val="18"/>
                <w:rtl w:val="0"/>
              </w:rPr>
              <w:t xml:space="preserve">Subject — SK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0d0d0d"/>
                <w:sz w:val="18"/>
                <w:szCs w:val="18"/>
                <w:rtl w:val="0"/>
              </w:rPr>
              <w:t xml:space="preserve">709110639SK0001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1"/>
                <w:bCs w:val="1"/>
                <w:color w:val="2c3e50"/>
                <w:sz w:val="18"/>
                <w:szCs w:val="18"/>
                <w:rtl w:val="0"/>
              </w:rPr>
              <w:t xml:space="preserve">Subject —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0"/>
                <w:bCs w:val="0"/>
                <w:color w:val="0d0d0d"/>
                <w:sz w:val="18"/>
                <w:szCs w:val="18"/>
                <w:rtl w:val="0"/>
              </w:rPr>
              <w:t xml:space="preserve">417 Avenue G S, 5th Ave N, Saskatoon, SK S7M 1V5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1"/>
                <w:bCs w:val="1"/>
                <w:color w:val="2c3e50"/>
                <w:sz w:val="18"/>
                <w:szCs w:val="18"/>
                <w:rtl w:val="0"/>
              </w:rPr>
              <w:t xml:space="preserve">Portfolio FMV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1"/>
                <w:bCs w:val="1"/>
                <w:color w:val="1b2a4a"/>
                <w:sz w:val="18"/>
                <w:szCs w:val="18"/>
                <w:rtl w:val="0"/>
              </w:rPr>
              <w:t xml:space="preserve">$70,450,000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1"/>
                <w:bCs w:val="1"/>
                <w:color w:val="2c3e50"/>
                <w:sz w:val="18"/>
                <w:szCs w:val="18"/>
                <w:rtl w:val="0"/>
              </w:rPr>
              <w:t xml:space="preserve">Portfolio ERC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1"/>
                <w:bCs w:val="1"/>
                <w:color w:val="1b2a4a"/>
                <w:sz w:val="18"/>
                <w:szCs w:val="18"/>
                <w:rtl w:val="0"/>
              </w:rPr>
              <w:t xml:space="preserve">$83,500,000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1"/>
                <w:bCs w:val="1"/>
                <w:color w:val="2c3e50"/>
                <w:sz w:val="18"/>
                <w:szCs w:val="18"/>
                <w:rtl w:val="0"/>
              </w:rPr>
              <w:t xml:space="preserve">Portfolio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1"/>
                <w:bCs w:val="1"/>
                <w:color w:val="1b2a4a"/>
                <w:sz w:val="18"/>
                <w:szCs w:val="18"/>
                <w:rtl w:val="0"/>
              </w:rPr>
              <w:t xml:space="preserve">$18,660,000 USD/yr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1"/>
                <w:bCs w:val="1"/>
                <w:color w:val="2c3e50"/>
                <w:sz w:val="18"/>
                <w:szCs w:val="18"/>
                <w:rtl w:val="0"/>
              </w:rPr>
              <w:t xml:space="preserve">Appraiser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0d0d0d"/>
                <w:sz w:val="18"/>
                <w:szCs w:val="18"/>
                <w:rtl w:val="0"/>
              </w:rPr>
              <w:t xml:space="preserve">______________________________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1"/>
                <w:bCs w:val="1"/>
                <w:color w:val="2c3e50"/>
                <w:sz w:val="18"/>
                <w:szCs w:val="18"/>
                <w:rtl w:val="0"/>
              </w:rPr>
              <w:t xml:space="preserve">Date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0"/>
                <w:bCs w:val="0"/>
                <w:color w:val="0d0d0d"/>
                <w:sz w:val="18"/>
                <w:szCs w:val="18"/>
                <w:rtl w:val="0"/>
              </w:rPr>
              <w:t xml:space="preserve">______________________________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1"/>
                <w:bCs w:val="1"/>
                <w:color w:val="2c3e50"/>
                <w:sz w:val="18"/>
                <w:szCs w:val="18"/>
                <w:rtl w:val="0"/>
              </w:rPr>
              <w:t xml:space="preserve">JP Witness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0d0d0d"/>
                <w:sz w:val="18"/>
                <w:szCs w:val="18"/>
                <w:rtl w:val="0"/>
              </w:rPr>
              <w:t xml:space="preserve">______________________________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1"/>
                <w:bCs w:val="1"/>
                <w:color w:val="2c3e50"/>
                <w:sz w:val="18"/>
                <w:szCs w:val="18"/>
                <w:rtl w:val="0"/>
              </w:rPr>
              <w:t xml:space="preserve">JP Seal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20.0" w:type="dxa"/>
              <w:bottom w:w="8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0d0d0d"/>
                <w:sz w:val="18"/>
                <w:szCs w:val="18"/>
                <w:rtl w:val="0"/>
              </w:rPr>
              <w:t xml:space="preserve">[TO BE AFFIXED]</w:t>
            </w: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jc w:val="center"/>
        <w:rPr/>
      </w:pPr>
      <w:r w:rsidDel="00000000" w:rsidR="00000000" w:rsidRPr="00000000">
        <w:rPr>
          <w:rFonts w:ascii="Arial" w:cs="Arial" w:eastAsia="Arial" w:hAnsi="Arial"/>
          <w:b w:val="1"/>
          <w:bCs w:val="1"/>
          <w:color w:val="1b2a4a"/>
          <w:sz w:val="18"/>
          <w:szCs w:val="18"/>
          <w:rtl w:val="0"/>
        </w:rPr>
        <w:t xml:space="preserve">MERIDIAN IP VALUATION GROUP  //  INDEPENDENT CERTIFIED APPRAISAL</w:t>
      </w:r>
      <w:r w:rsidDel="00000000" w:rsidR="00000000" w:rsidRPr="00000000">
        <w:rPr>
          <w:rtl w:val="0"/>
        </w:rPr>
      </w:r>
    </w:p>
    <w:p w:rsidR="00000000" w:rsidDel="00000000" w:rsidP="00000000" w:rsidRDefault="00000000" w:rsidRPr="00000000" w14:paraId="000002F7">
      <w:pPr>
        <w:jc w:val="center"/>
        <w:rPr/>
      </w:pPr>
      <w:r w:rsidDel="00000000" w:rsidR="00000000" w:rsidRPr="00000000">
        <w:rPr>
          <w:rFonts w:ascii="Arial" w:cs="Arial" w:eastAsia="Arial" w:hAnsi="Arial"/>
          <w:i w:val="1"/>
          <w:iCs w:val="1"/>
          <w:color w:val="718096"/>
          <w:sz w:val="16"/>
          <w:szCs w:val="16"/>
          <w:rtl w:val="0"/>
        </w:rPr>
        <w:t xml:space="preserve">This report was prepared independently and without bias. No relationship exists between the appraiser and the subject asset owner.</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pBdr>
        <w:top w:color="1b2a4a" w:space="1" w:sz="4" w:val="single"/>
      </w:pBdr>
      <w:spacing w:after="0" w:before="120" w:lineRule="auto"/>
      <w:rPr/>
    </w:pPr>
    <w:r w:rsidDel="00000000" w:rsidR="00000000" w:rsidRPr="00000000">
      <w:rPr>
        <w:rFonts w:ascii="Arial" w:cs="Arial" w:eastAsia="Arial" w:hAnsi="Arial"/>
        <w:color w:val="718096"/>
        <w:sz w:val="15"/>
        <w:szCs w:val="15"/>
        <w:rtl w:val="0"/>
      </w:rPr>
      <w:t xml:space="preserve">Meridian IP Valuation Group  |  Independent — No affiliation with Archer Chain Analytics  |  This report constitutes an independent third-party appraisal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pBdr>
        <w:bottom w:color="1b2a4a" w:space="1" w:sz="4" w:val="single"/>
      </w:pBdr>
      <w:spacing w:after="120" w:before="0" w:lineRule="auto"/>
      <w:rPr/>
    </w:pPr>
    <w:r w:rsidDel="00000000" w:rsidR="00000000" w:rsidRPr="00000000">
      <w:rPr>
        <w:rFonts w:ascii="Arial" w:cs="Arial" w:eastAsia="Arial" w:hAnsi="Arial"/>
        <w:b w:val="1"/>
        <w:bCs w:val="1"/>
        <w:color w:val="1b2a4a"/>
        <w:sz w:val="16"/>
        <w:szCs w:val="16"/>
        <w:rtl w:val="0"/>
      </w:rPr>
      <w:t xml:space="preserve">MERIDIAN IP VALUATION GROUP  //  INDEPENDENT APPRAISAL REPORT  //  REPORT ID: MIPVG-2026-0610-R2</w:t>
    </w:r>
    <w:r w:rsidDel="00000000" w:rsidR="00000000" w:rsidRPr="00000000">
      <w:rPr>
        <w:rFonts w:ascii="Arial" w:cs="Arial" w:eastAsia="Arial" w:hAnsi="Arial"/>
        <w:color w:val="718096"/>
        <w:sz w:val="16"/>
        <w:szCs w:val="16"/>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d0d0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2a4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d0d0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