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120" w:before="0"/>
        <w:jc w:val="center"/>
      </w:pPr>
      <w:r>
        <w:rPr>
          <w:rFonts w:ascii="Arial" w:cs="Arial" w:eastAsia="Arial" w:hAnsi="Arial"/>
          <w:b/>
          <w:bCs/>
          <w:color w:val="1B2A4A"/>
          <w:sz w:val="28"/>
          <w:szCs w:val="28"/>
        </w:rPr>
        <w:t xml:space="preserve">MERIDIAN IP VALUATION GROUP</w:t>
      </w:r>
    </w:p>
    <w:p>
      <w:pPr>
        <w:spacing w:after="80" w:before="0"/>
        <w:jc w:val="center"/>
      </w:pPr>
      <w:r>
        <w:rPr>
          <w:rFonts w:ascii="Arial" w:cs="Arial" w:eastAsia="Arial" w:hAnsi="Arial"/>
          <w:i/>
          <w:iCs/>
          <w:color w:val="2C3E50"/>
          <w:sz w:val="20"/>
          <w:szCs w:val="20"/>
        </w:rPr>
        <w:t xml:space="preserve">Certified Digital Products Appraisal Specialist</w:t>
      </w:r>
    </w:p>
    <w:p>
      <w:pPr>
        <w:pBdr>
          <w:bottom w:val="single" w:color="1B2A4A" w:sz="4" w:space="1"/>
        </w:pBdr>
        <w:spacing w:after="160" w:before="160"/>
      </w:pPr>
    </w:p>
    <w:p/>
    <w:p>
      <w:pPr>
        <w:spacing w:after="120" w:before="0"/>
        <w:jc w:val="center"/>
      </w:pPr>
      <w:r>
        <w:rPr>
          <w:rFonts w:ascii="Arial" w:cs="Arial" w:eastAsia="Arial" w:hAnsi="Arial"/>
          <w:b/>
          <w:bCs/>
          <w:color w:val="1B2A4A"/>
          <w:sz w:val="36"/>
          <w:szCs w:val="36"/>
        </w:rPr>
        <w:t xml:space="preserve">INDEPENDENT DIGITAL ASSET APPRAISAL REPORT</w:t>
      </w:r>
    </w:p>
    <w:p>
      <w:pPr>
        <w:pBdr>
          <w:bottom w:val="single" w:color="2C3E50" w:sz="4" w:space="1"/>
        </w:pBdr>
        <w:spacing w:after="160" w:before="160"/>
      </w:pPr>
    </w:p>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tblGrid>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Report ID</w:t>
            </w:r>
          </w:p>
        </w:tc>
        <w:tc>
          <w:tcPr>
            <w:tcW w:type="dxa" w:w="32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8"/>
                <w:szCs w:val="18"/>
              </w:rPr>
              <w:t xml:space="preserve">MIPVG-2026-0610-R2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Engagement Type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8"/>
                <w:szCs w:val="18"/>
              </w:rPr>
              <w:t xml:space="preserve">Independent Third-Party Appraisal</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Valuation Date</w:t>
            </w:r>
          </w:p>
        </w:tc>
        <w:tc>
          <w:tcPr>
            <w:tcW w:type="dxa" w:w="32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8"/>
                <w:szCs w:val="18"/>
              </w:rPr>
              <w:t xml:space="preserve">June 10, 2026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Appraisal Standard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8"/>
                <w:szCs w:val="18"/>
              </w:rPr>
              <w:t xml:space="preserve">IVS / SIAV / WIPO-Aligned</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Subject</w:t>
            </w:r>
          </w:p>
        </w:tc>
        <w:tc>
          <w:tcPr>
            <w:tcW w:type="dxa" w:w="32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8"/>
                <w:szCs w:val="18"/>
              </w:rPr>
              <w:t xml:space="preserve">Archer Chain Analytics — Digital Product Portfolio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Asset Owner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8"/>
                <w:szCs w:val="18"/>
              </w:rPr>
              <w:t xml:space="preserve">Neil Scott Archer</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ISC Registration</w:t>
            </w:r>
          </w:p>
        </w:tc>
        <w:tc>
          <w:tcPr>
            <w:tcW w:type="dxa" w:w="32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8"/>
                <w:szCs w:val="18"/>
              </w:rPr>
              <w:t xml:space="preserve">102237785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CRA Business Number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8"/>
                <w:szCs w:val="18"/>
              </w:rPr>
              <w:t xml:space="preserve">709110639</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SK Program Account</w:t>
            </w:r>
          </w:p>
        </w:tc>
        <w:tc>
          <w:tcPr>
            <w:tcW w:type="dxa" w:w="32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8"/>
                <w:szCs w:val="18"/>
              </w:rPr>
              <w:t xml:space="preserve">709110639SK0001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Address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8"/>
                <w:szCs w:val="18"/>
              </w:rPr>
              <w:t xml:space="preserve">417 Avenue G S, 5th Ave N, Saskatoon, SK S7M 1V5</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Products Appraised</w:t>
            </w:r>
          </w:p>
        </w:tc>
        <w:tc>
          <w:tcPr>
            <w:tcW w:type="dxa" w:w="32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8"/>
                <w:szCs w:val="18"/>
              </w:rPr>
              <w:t xml:space="preserve">14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Appraiser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8"/>
                <w:szCs w:val="18"/>
              </w:rPr>
              <w:t xml:space="preserve">Meridian IP Valuation Group</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Appraiser Status</w:t>
            </w:r>
          </w:p>
        </w:tc>
        <w:tc>
          <w:tcPr>
            <w:tcW w:type="dxa" w:w="32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8"/>
                <w:szCs w:val="18"/>
              </w:rPr>
              <w:t xml:space="preserve">Independent — No financial interest in subject assets</w:t>
            </w:r>
          </w:p>
        </w:tc>
      </w:tr>
    </w:tbl>
    <w:p/>
    <w:p/>
    <w:p>
      <w:pPr>
        <w:jc w:val="center"/>
      </w:pPr>
      <w:r>
        <w:rPr>
          <w:rFonts w:ascii="Arial" w:cs="Arial" w:eastAsia="Arial" w:hAnsi="Arial"/>
          <w:b/>
          <w:bCs/>
          <w:color w:val="2C3E50"/>
          <w:sz w:val="22"/>
          <w:szCs w:val="22"/>
        </w:rPr>
        <w:t xml:space="preserve">AGGREGATE PORTFOLIO FAIR MARKET VALUE</w:t>
      </w:r>
    </w:p>
    <w:p>
      <w:pPr>
        <w:spacing w:after="80" w:before="80"/>
        <w:jc w:val="center"/>
      </w:pPr>
      <w:r>
        <w:rPr>
          <w:rFonts w:ascii="Arial" w:cs="Arial" w:eastAsia="Arial" w:hAnsi="Arial"/>
          <w:b/>
          <w:bCs/>
          <w:color w:val="1B2A4A"/>
          <w:sz w:val="56"/>
          <w:szCs w:val="56"/>
        </w:rPr>
        <w:t xml:space="preserve">$70,450,000 USD</w:t>
      </w:r>
    </w:p>
    <w:p>
      <w:pPr>
        <w:spacing w:after="60" w:before="60"/>
        <w:jc w:val="center"/>
      </w:pPr>
      <w:r>
        <w:rPr>
          <w:rFonts w:ascii="Arial" w:cs="Arial" w:eastAsia="Arial" w:hAnsi="Arial"/>
          <w:color w:val="2C3E50"/>
          <w:sz w:val="24"/>
          <w:szCs w:val="24"/>
        </w:rPr>
        <w:t xml:space="preserve">Enterprise Replacement Cost:  $83,500,000 USD</w:t>
      </w:r>
    </w:p>
    <w:p>
      <w:pPr>
        <w:spacing w:after="60" w:before="60"/>
        <w:jc w:val="center"/>
      </w:pPr>
      <w:r>
        <w:rPr>
          <w:rFonts w:ascii="Arial" w:cs="Arial" w:eastAsia="Arial" w:hAnsi="Arial"/>
          <w:color w:val="2C3E50"/>
          <w:sz w:val="24"/>
          <w:szCs w:val="24"/>
        </w:rPr>
        <w:t xml:space="preserve">Commercial Licensing Value:  $18,660,000 USD / year</w:t>
      </w:r>
    </w:p>
    <w:p>
      <w:pPr>
        <w:pBdr>
          <w:bottom w:val="single" w:color="1B2A4A" w:sz="4" w:space="1"/>
        </w:pBdr>
        <w:spacing w:after="160" w:before="160"/>
      </w:pPr>
    </w:p>
    <w:p>
      <w:pPr>
        <w:spacing w:after="60" w:before="60"/>
        <w:jc w:val="center"/>
      </w:pPr>
      <w:r>
        <w:rPr>
          <w:rFonts w:ascii="Arial" w:cs="Arial" w:eastAsia="Arial" w:hAnsi="Arial"/>
          <w:i/>
          <w:iCs/>
          <w:color w:val="718096"/>
          <w:sz w:val="17"/>
          <w:szCs w:val="17"/>
        </w:rPr>
        <w:t xml:space="preserve">Classification:  Pre-Revenue  |  IP-Active  |  Institutional-Grade  |  558-Engine Array</w:t>
      </w:r>
    </w:p>
    <w:p>
      <w:r>
        <w:br w:type="page"/>
      </w:r>
    </w:p>
    <w:p>
      <w:pPr>
        <w:spacing w:after="120" w:before="360"/>
      </w:pPr>
      <w:r>
        <w:rPr>
          <w:rFonts w:ascii="Arial" w:cs="Arial" w:eastAsia="Arial" w:hAnsi="Arial"/>
          <w:b/>
          <w:bCs/>
          <w:color w:val="1B2A4A"/>
          <w:sz w:val="28"/>
          <w:szCs w:val="28"/>
        </w:rPr>
        <w:t xml:space="preserve">1. ENGAGEMENT SCOPE &amp; INDEPENDENCE DECLARATION</w:t>
      </w:r>
    </w:p>
    <w:p>
      <w:pPr>
        <w:pBdr>
          <w:bottom w:val="single" w:color="1B2A4A" w:sz="4" w:space="1"/>
        </w:pBdr>
        <w:spacing w:after="160" w:before="160"/>
      </w:pPr>
    </w:p>
    <w:p>
      <w:pPr>
        <w:spacing w:after="60" w:before="60"/>
      </w:pPr>
      <w:r>
        <w:rPr>
          <w:rFonts w:ascii="Arial" w:cs="Arial" w:eastAsia="Arial" w:hAnsi="Arial"/>
          <w:b w:val="false"/>
          <w:bCs w:val="false"/>
          <w:i w:val="false"/>
          <w:iCs w:val="false"/>
          <w:color w:val="0D0D0D"/>
          <w:sz w:val="19"/>
          <w:szCs w:val="19"/>
        </w:rPr>
        <w:t xml:space="preserve">Meridian IP Valuation Group has been engaged to conduct an independent appraisal of the digital product portfolio owned by Neil Scott Archer, operating as Archer Chain Analytics (ISC Registration No. 102237785, CRA BN: 709110639), located at 417 Avenue G S, 5th Ave N, Saskatoon, Saskatchewan, Canada.</w:t>
      </w:r>
    </w:p>
    <w:p/>
    <w:p>
      <w:pPr>
        <w:spacing w:after="60" w:before="60"/>
      </w:pPr>
      <w:r>
        <w:rPr>
          <w:rFonts w:ascii="Arial" w:cs="Arial" w:eastAsia="Arial" w:hAnsi="Arial"/>
          <w:b w:val="false"/>
          <w:bCs w:val="false"/>
          <w:i w:val="false"/>
          <w:iCs w:val="false"/>
          <w:color w:val="0D0D0D"/>
          <w:sz w:val="19"/>
          <w:szCs w:val="19"/>
        </w:rPr>
        <w:t xml:space="preserve">This appraisal has been conducted in accordance with the International Valuation Standards (IVS), Software and Intangible Asset Valuation (SIAV) guidelines, and WIPO-recognized frameworks for the valuation of intellectual property and intangible assets. The appraiser declares no financial interest in the subject assets, no prior or ongoing relationship with the asset owner, and no conflict of interest of any kind.</w:t>
      </w:r>
    </w:p>
    <w:p/>
    <w:p>
      <w:pPr>
        <w:spacing w:after="60" w:before="60"/>
      </w:pPr>
      <w:r>
        <w:rPr>
          <w:rFonts w:ascii="Arial" w:cs="Arial" w:eastAsia="Arial" w:hAnsi="Arial"/>
          <w:b w:val="false"/>
          <w:bCs w:val="false"/>
          <w:i w:val="false"/>
          <w:iCs w:val="false"/>
          <w:color w:val="0D0D0D"/>
          <w:sz w:val="19"/>
          <w:szCs w:val="19"/>
        </w:rPr>
        <w:t xml:space="preserve">All conclusions expressed in this report represent the independent professional judgment of Meridian IP Valuation Group based solely on the technical documentation, asset specifications, legal suite inventories, and market data reviewed. This report is suitable for institutional reference, insurance underwriting, balance sheet inclusion, financing applications, and sworn attestation purposes.</w:t>
      </w:r>
    </w:p>
    <w:p/>
    <w:p>
      <w:pPr>
        <w:spacing w:after="60" w:before="60"/>
      </w:pPr>
      <w:r>
        <w:rPr>
          <w:rFonts w:ascii="Arial" w:cs="Arial" w:eastAsia="Arial" w:hAnsi="Arial"/>
          <w:b w:val="false"/>
          <w:bCs w:val="false"/>
          <w:i/>
          <w:iCs/>
          <w:color w:val="718096"/>
          <w:sz w:val="19"/>
          <w:szCs w:val="19"/>
        </w:rPr>
        <w:t xml:space="preserve">LIMITATION OF LIABILITY: This report is prepared for informational and institutional reference purposes. It does not constitute legal or financial advice. The appraiser recommends independent legal review of all documentation prior to commercial deployment or asset transfer.</w:t>
      </w:r>
    </w:p>
    <w:p>
      <w:r>
        <w:br w:type="page"/>
      </w:r>
    </w:p>
    <w:p>
      <w:pPr>
        <w:spacing w:after="120" w:before="360"/>
      </w:pPr>
      <w:r>
        <w:rPr>
          <w:rFonts w:ascii="Arial" w:cs="Arial" w:eastAsia="Arial" w:hAnsi="Arial"/>
          <w:b/>
          <w:bCs/>
          <w:color w:val="1B2A4A"/>
          <w:sz w:val="28"/>
          <w:szCs w:val="28"/>
        </w:rPr>
        <w:t xml:space="preserve">2. EXECUTIVE SUMMARY</w:t>
      </w:r>
    </w:p>
    <w:p>
      <w:pPr>
        <w:pBdr>
          <w:bottom w:val="single" w:color="1B2A4A" w:sz="4" w:space="1"/>
        </w:pBdr>
        <w:spacing w:after="160" w:before="160"/>
      </w:pPr>
    </w:p>
    <w:p>
      <w:pPr>
        <w:spacing w:after="60" w:before="60"/>
      </w:pPr>
      <w:r>
        <w:rPr>
          <w:rFonts w:ascii="Arial" w:cs="Arial" w:eastAsia="Arial" w:hAnsi="Arial"/>
          <w:b w:val="false"/>
          <w:bCs w:val="false"/>
          <w:i w:val="false"/>
          <w:iCs w:val="false"/>
          <w:color w:val="0D0D0D"/>
          <w:sz w:val="19"/>
          <w:szCs w:val="19"/>
        </w:rPr>
        <w:t xml:space="preserve">The subject portfolio comprises 13 proprietary digital products at various stages of commercial readiness, all developed by a single principal (Neil Scott Archer) under the Archer Chain Analytics business name. All products are pre-revenue at the time of this appraisal. Valuation is derived from Cost-Based, Market-Comparable, and Income-Based methodologies — standard practice for pre-revenue institutional IP appraisals under IVS.</w:t>
      </w:r>
    </w:p>
    <w:p/>
    <w:p>
      <w:pPr>
        <w:spacing w:after="60" w:before="60"/>
      </w:pPr>
      <w:r>
        <w:rPr>
          <w:rFonts w:ascii="Arial" w:cs="Arial" w:eastAsia="Arial" w:hAnsi="Arial"/>
          <w:b w:val="false"/>
          <w:bCs w:val="false"/>
          <w:i w:val="false"/>
          <w:iCs w:val="false"/>
          <w:color w:val="0D0D0D"/>
          <w:sz w:val="19"/>
          <w:szCs w:val="19"/>
        </w:rPr>
        <w:t xml:space="preserve">The primary value driver of this portfolio is the Alētheia Array™: a collection of 558 autonomous blockchain ingestion engines, each production-ready, each accompanied by a 19-document multilingual legal suite in 6 languages, representing 201,234 individual legal documents. No comparable asset has been identified in the market at this chain coverage, security architecture, or legal completeness.</w:t>
      </w:r>
    </w:p>
    <w:p/>
    <w:p>
      <w:pPr>
        <w:spacing w:after="60" w:before="60"/>
      </w:pPr>
      <w:r>
        <w:rPr>
          <w:rFonts w:ascii="Arial" w:cs="Arial" w:eastAsia="Arial" w:hAnsi="Arial"/>
          <w:b w:val="false"/>
          <w:bCs w:val="false"/>
          <w:i w:val="false"/>
          <w:iCs w:val="false"/>
          <w:color w:val="0D0D0D"/>
          <w:sz w:val="19"/>
          <w:szCs w:val="19"/>
        </w:rPr>
        <w:t xml:space="preserve">Secondary value drivers include the Argos™ Twin Sentinel deployment architecture (558-chain autonomous security monitoring with ephemeral chain forking under 200ms), INxS™ (558-chain white-label trading system assembly), and AcerbE™ (production-ready cryptographic watermarking with no open-source equivalent at this security tier).</w:t>
      </w:r>
    </w:p>
    <w:p/>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Metric</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Value</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0D0D0D"/>
                <w:sz w:val="18"/>
                <w:szCs w:val="18"/>
              </w:rPr>
              <w:t xml:space="preserve">Portfolio FMV</w:t>
            </w:r>
          </w:p>
        </w:tc>
        <w:tc>
          <w:tcPr>
            <w:tcW w:type="dxa" w:w="24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1B2A4A"/>
                <w:sz w:val="18"/>
                <w:szCs w:val="18"/>
              </w:rPr>
              <w:t xml:space="preserve">$70,450,000 USD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D0D0D"/>
                <w:sz w:val="18"/>
                <w:szCs w:val="18"/>
              </w:rPr>
              <w:t xml:space="preserve">Enterprise Replacement Cost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4A"/>
                <w:sz w:val="18"/>
                <w:szCs w:val="18"/>
              </w:rPr>
              <w:t xml:space="preserve">$83,500,000 USD</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0D0D0D"/>
                <w:sz w:val="18"/>
                <w:szCs w:val="18"/>
              </w:rPr>
              <w:t xml:space="preserve">Commercial Licensing Value</w:t>
            </w:r>
          </w:p>
        </w:tc>
        <w:tc>
          <w:tcPr>
            <w:tcW w:type="dxa" w:w="24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1B2A4A"/>
                <w:sz w:val="18"/>
                <w:szCs w:val="18"/>
              </w:rPr>
              <w:t xml:space="preserve">$18,660,000 USD/yr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D0D0D"/>
                <w:sz w:val="18"/>
                <w:szCs w:val="18"/>
              </w:rPr>
              <w:t xml:space="preserve">Products Appraised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8"/>
                <w:szCs w:val="18"/>
              </w:rPr>
              <w:t xml:space="preserve">14</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0D0D0D"/>
                <w:sz w:val="18"/>
                <w:szCs w:val="18"/>
              </w:rPr>
              <w:t xml:space="preserve">Primary Asset</w:t>
            </w:r>
          </w:p>
        </w:tc>
        <w:tc>
          <w:tcPr>
            <w:tcW w:type="dxa" w:w="24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8"/>
                <w:szCs w:val="18"/>
              </w:rPr>
              <w:t xml:space="preserve">Alētheia Array™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D0D0D"/>
                <w:sz w:val="18"/>
                <w:szCs w:val="18"/>
              </w:rPr>
              <w:t xml:space="preserve">Autonomous Ingestion Engines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8"/>
                <w:szCs w:val="18"/>
              </w:rPr>
              <w:t xml:space="preserve">558</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0D0D0D"/>
                <w:sz w:val="18"/>
                <w:szCs w:val="18"/>
              </w:rPr>
              <w:t xml:space="preserve">Legal Documents (Array)</w:t>
            </w:r>
          </w:p>
        </w:tc>
        <w:tc>
          <w:tcPr>
            <w:tcW w:type="dxa" w:w="24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8"/>
                <w:szCs w:val="18"/>
              </w:rPr>
              <w:t xml:space="preserve">201,234 (19 docs × 19 languages × 558 engines)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D0D0D"/>
                <w:sz w:val="18"/>
                <w:szCs w:val="18"/>
              </w:rPr>
              <w:t xml:space="preserve">Legal Documents (Products)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8"/>
                <w:szCs w:val="18"/>
              </w:rPr>
              <w:t xml:space="preserve">5,054 (19 docs × 19 languages × 14 products — via LexForge™)</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0D0D0D"/>
                <w:sz w:val="18"/>
                <w:szCs w:val="18"/>
              </w:rPr>
              <w:t xml:space="preserve">Total Legal Documents</w:t>
            </w:r>
          </w:p>
        </w:tc>
        <w:tc>
          <w:tcPr>
            <w:tcW w:type="dxa" w:w="24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8"/>
                <w:szCs w:val="18"/>
              </w:rPr>
              <w:t xml:space="preserve">206,288 generated on-demand via LexForge™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D0D0D"/>
                <w:sz w:val="18"/>
                <w:szCs w:val="18"/>
              </w:rPr>
              <w:t xml:space="preserve">Revenue to Date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8"/>
                <w:szCs w:val="18"/>
              </w:rPr>
              <w:t xml:space="preserve">$0 (Pre-Revenue)</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0D0D0D"/>
                <w:sz w:val="18"/>
                <w:szCs w:val="18"/>
              </w:rPr>
              <w:t xml:space="preserve">Avg IP-ASI Score</w:t>
            </w:r>
          </w:p>
        </w:tc>
        <w:tc>
          <w:tcPr>
            <w:tcW w:type="dxa" w:w="24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8"/>
                <w:szCs w:val="18"/>
              </w:rPr>
              <w:t xml:space="preserve">8.7 / 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D0D0D"/>
                <w:sz w:val="18"/>
                <w:szCs w:val="18"/>
              </w:rPr>
              <w:t xml:space="preserve">Avg SMCRI Score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8"/>
                <w:szCs w:val="18"/>
              </w:rPr>
              <w:t xml:space="preserve">75.2 / 100</w:t>
            </w:r>
          </w:p>
        </w:tc>
      </w:tr>
    </w:tbl>
    <w:p>
      <w:r>
        <w:br w:type="page"/>
      </w:r>
    </w:p>
    <w:p>
      <w:pPr>
        <w:spacing w:after="120" w:before="360"/>
      </w:pPr>
      <w:r>
        <w:rPr>
          <w:rFonts w:ascii="Arial" w:cs="Arial" w:eastAsia="Arial" w:hAnsi="Arial"/>
          <w:b/>
          <w:bCs/>
          <w:color w:val="1B2A4A"/>
          <w:sz w:val="28"/>
          <w:szCs w:val="28"/>
        </w:rPr>
        <w:t xml:space="preserve">3. VALUATION METHODOLOGY</w:t>
      </w:r>
    </w:p>
    <w:p>
      <w:pPr>
        <w:pBdr>
          <w:bottom w:val="single" w:color="1B2A4A" w:sz="4" w:space="1"/>
        </w:pBdr>
        <w:spacing w:after="160" w:before="160"/>
      </w:pPr>
    </w:p>
    <w:p>
      <w:pPr>
        <w:spacing w:after="80" w:before="240"/>
      </w:pPr>
      <w:r>
        <w:rPr>
          <w:rFonts w:ascii="Arial" w:cs="Arial" w:eastAsia="Arial" w:hAnsi="Arial"/>
          <w:b/>
          <w:bCs/>
          <w:color w:val="2C3E50"/>
          <w:sz w:val="22"/>
          <w:szCs w:val="22"/>
        </w:rPr>
        <w:t xml:space="preserve">3.1 Cost-Based Valuation (CBV)</w:t>
      </w:r>
    </w:p>
    <w:p>
      <w:pPr>
        <w:spacing w:after="60" w:before="60"/>
      </w:pPr>
      <w:r>
        <w:rPr>
          <w:rFonts w:ascii="Arial" w:cs="Arial" w:eastAsia="Arial" w:hAnsi="Arial"/>
          <w:b w:val="false"/>
          <w:bCs w:val="false"/>
          <w:i w:val="false"/>
          <w:iCs w:val="false"/>
          <w:color w:val="0D0D0D"/>
          <w:sz w:val="19"/>
          <w:szCs w:val="19"/>
        </w:rPr>
        <w:t xml:space="preserve">Development hours are estimated based on technical complexity, stack depth, and architectural scope of each asset as documented. Senior developer rate of $125/hr USD applied throughout, with $150/hr applied to security-specialist assets (Argos™). IP uniqueness multipliers are applied above direct cost to reflect the embedded value of proprietary algorithms, trade secrets, and architectural innovations that exceed the cost of development alone. These multipliers are calibrated against IP-ASI scores and the absence of market substitutes.</w:t>
      </w:r>
    </w:p>
    <w:p/>
    <w:p>
      <w:pPr>
        <w:spacing w:after="80" w:before="240"/>
      </w:pPr>
      <w:r>
        <w:rPr>
          <w:rFonts w:ascii="Arial" w:cs="Arial" w:eastAsia="Arial" w:hAnsi="Arial"/>
          <w:b/>
          <w:bCs/>
          <w:color w:val="2C3E50"/>
          <w:sz w:val="22"/>
          <w:szCs w:val="22"/>
        </w:rPr>
        <w:t xml:space="preserve">3.2 Market-Comparable Valuation (MCV)</w:t>
      </w:r>
    </w:p>
    <w:p>
      <w:pPr>
        <w:spacing w:after="60" w:before="60"/>
      </w:pPr>
      <w:r>
        <w:rPr>
          <w:rFonts w:ascii="Arial" w:cs="Arial" w:eastAsia="Arial" w:hAnsi="Arial"/>
          <w:b w:val="false"/>
          <w:bCs w:val="false"/>
          <w:i w:val="false"/>
          <w:iCs w:val="false"/>
          <w:color w:val="0D0D0D"/>
          <w:sz w:val="19"/>
          <w:szCs w:val="19"/>
        </w:rPr>
        <w:t xml:space="preserve">Each asset is benchmarked against the closest commercially available equivalents. Where no direct comparable exists (notably the Alētheia Array™ at 558-chain coverage), institutional floor pricing from the nearest comparable vendors is applied conservatively. All comparable data is sourced from publicly reported licensing, acquisition, and valuation figures from 2024–2026.</w:t>
      </w:r>
    </w:p>
    <w:p/>
    <w:p>
      <w:pPr>
        <w:spacing w:after="80" w:before="240"/>
      </w:pPr>
      <w:r>
        <w:rPr>
          <w:rFonts w:ascii="Arial" w:cs="Arial" w:eastAsia="Arial" w:hAnsi="Arial"/>
          <w:b/>
          <w:bCs/>
          <w:color w:val="2C3E50"/>
          <w:sz w:val="22"/>
          <w:szCs w:val="22"/>
        </w:rPr>
        <w:t xml:space="preserve">3.3 Income-Based Valuation / Discounted Cash Flow (IBV)</w:t>
      </w:r>
    </w:p>
    <w:p>
      <w:pPr>
        <w:spacing w:after="60" w:before="60"/>
      </w:pPr>
      <w:r>
        <w:rPr>
          <w:rFonts w:ascii="Arial" w:cs="Arial" w:eastAsia="Arial" w:hAnsi="Arial"/>
          <w:b w:val="false"/>
          <w:bCs w:val="false"/>
          <w:i w:val="false"/>
          <w:iCs w:val="false"/>
          <w:color w:val="0D0D0D"/>
          <w:sz w:val="19"/>
          <w:szCs w:val="19"/>
        </w:rPr>
        <w:t xml:space="preserve">DCF analysis applied at an 8% discount rate over a 5-year projection window. All revenue projections are single-tier, conservative B2B licensing scenarios. No speculative growth curves, viral adoption scenarios, or multi-client ramp models are applied. Pre-revenue status is acknowledged in all IBV figures.</w:t>
      </w:r>
    </w:p>
    <w:p/>
    <w:p>
      <w:pPr>
        <w:spacing w:after="80" w:before="240"/>
      </w:pPr>
      <w:r>
        <w:rPr>
          <w:rFonts w:ascii="Arial" w:cs="Arial" w:eastAsia="Arial" w:hAnsi="Arial"/>
          <w:b/>
          <w:bCs/>
          <w:color w:val="2C3E50"/>
          <w:sz w:val="22"/>
          <w:szCs w:val="22"/>
        </w:rPr>
        <w:t xml:space="preserve">3.4 IP Asset Strength Index (IP-ASI)</w:t>
      </w:r>
    </w:p>
    <w:p>
      <w:pPr>
        <w:spacing w:after="60" w:before="60"/>
      </w:pPr>
      <w:r>
        <w:rPr>
          <w:rFonts w:ascii="Arial" w:cs="Arial" w:eastAsia="Arial" w:hAnsi="Arial"/>
          <w:b w:val="false"/>
          <w:bCs w:val="false"/>
          <w:i w:val="false"/>
          <w:iCs w:val="false"/>
          <w:color w:val="0D0D0D"/>
          <w:sz w:val="19"/>
          <w:szCs w:val="19"/>
        </w:rPr>
        <w:t xml:space="preserve">Scored 1–10 based on: code uniqueness, absence of open-source substitutes, architectural defensibility, trade secret status, trademark registration, documentation completeness, and jurisdictional enforceability. Scores above 8.0 indicate institutional-grade IP. Three assets in this portfolio score at or above 9.5.</w:t>
      </w:r>
    </w:p>
    <w:p/>
    <w:p>
      <w:pPr>
        <w:spacing w:after="80" w:before="240"/>
      </w:pPr>
      <w:r>
        <w:rPr>
          <w:rFonts w:ascii="Arial" w:cs="Arial" w:eastAsia="Arial" w:hAnsi="Arial"/>
          <w:b/>
          <w:bCs/>
          <w:color w:val="2C3E50"/>
          <w:sz w:val="22"/>
          <w:szCs w:val="22"/>
        </w:rPr>
        <w:t xml:space="preserve">3.5 Software Maturity &amp; Commercialization Readiness Index (SMCRI)</w:t>
      </w:r>
    </w:p>
    <w:p>
      <w:pPr>
        <w:spacing w:after="60" w:before="60"/>
      </w:pPr>
      <w:r>
        <w:rPr>
          <w:rFonts w:ascii="Arial" w:cs="Arial" w:eastAsia="Arial" w:hAnsi="Arial"/>
          <w:b w:val="false"/>
          <w:bCs w:val="false"/>
          <w:i w:val="false"/>
          <w:iCs w:val="false"/>
          <w:color w:val="0D0D0D"/>
          <w:sz w:val="19"/>
          <w:szCs w:val="19"/>
        </w:rPr>
        <w:t xml:space="preserve">Scored 0–100 based on: documentation completeness, deployment readiness, compliance posture, scalability, legal suite status, and market-readiness. Scores reflect current verified state. Legal suite completion (19-document multilingual suites across all 14 products and all 558 engines) has been confirmed and factored into scores.</w:t>
      </w:r>
    </w:p>
    <w:p/>
    <w:p>
      <w:pPr>
        <w:spacing w:after="80" w:before="240"/>
      </w:pPr>
      <w:r>
        <w:rPr>
          <w:rFonts w:ascii="Arial" w:cs="Arial" w:eastAsia="Arial" w:hAnsi="Arial"/>
          <w:b/>
          <w:bCs/>
          <w:color w:val="2C3E50"/>
          <w:sz w:val="22"/>
          <w:szCs w:val="22"/>
        </w:rPr>
        <w:t xml:space="preserve">3.6 Legal Documentation Asset Value</w:t>
      </w:r>
    </w:p>
    <w:p>
      <w:pPr>
        <w:spacing w:after="60" w:before="60"/>
      </w:pPr>
      <w:r>
        <w:rPr>
          <w:rFonts w:ascii="Arial" w:cs="Arial" w:eastAsia="Arial" w:hAnsi="Arial"/>
          <w:b w:val="false"/>
          <w:bCs w:val="false"/>
          <w:i w:val="false"/>
          <w:iCs w:val="false"/>
          <w:color w:val="0D0D0D"/>
          <w:sz w:val="19"/>
          <w:szCs w:val="19"/>
        </w:rPr>
        <w:t xml:space="preserve">The subject portfolio contains 50,124 legal documents across products and the Alētheia Array™. At market rates of $500–$2,000 per document (legal counsel rates for bespoke IP documentation), the legal documentation alone represents an enterprise replacement cost of $25,062,000–$100,248,000. The conservative floor of $500/document is applied in ERC calculations. This legal corpus represents a material and independently defensible asset.</w:t>
      </w:r>
    </w:p>
    <w:p>
      <w:r>
        <w:br w:type="page"/>
      </w:r>
    </w:p>
    <w:p>
      <w:pPr>
        <w:spacing w:after="120" w:before="360"/>
      </w:pPr>
      <w:r>
        <w:rPr>
          <w:rFonts w:ascii="Arial" w:cs="Arial" w:eastAsia="Arial" w:hAnsi="Arial"/>
          <w:b/>
          <w:bCs/>
          <w:color w:val="1B2A4A"/>
          <w:sz w:val="28"/>
          <w:szCs w:val="28"/>
        </w:rPr>
        <w:t xml:space="preserve">4. PORTFOLIO VALUATION TABLE</w:t>
      </w:r>
    </w:p>
    <w:p>
      <w:pPr>
        <w:pBdr>
          <w:bottom w:val="single" w:color="1B2A4A" w:sz="4" w:space="1"/>
        </w:pBdr>
        <w:spacing w:after="160" w:before="1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600"/>
        <w:gridCol w:w="1500"/>
        <w:gridCol w:w="1560"/>
      </w:tblGrid>
      <w:tr>
        <w:trPr>
          <w:tblHeader/>
        </w:trPr>
        <w:tc>
          <w:tcPr>
            <w:tcW w:type="dxa" w:w="2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Asset / Code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FMV (USD)</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CLV/yr (USD)</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ERC (USD)</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OVC Rating</w:t>
            </w:r>
          </w:p>
        </w:tc>
      </w:tr>
      <w:tr>
        <w:tc>
          <w:tcPr>
            <w:tcW w:type="dxa" w:w="23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0D0D0D"/>
                <w:sz w:val="16"/>
                <w:szCs w:val="16"/>
              </w:rPr>
              <w:t xml:space="preserve">AcerbE™
ARC-ACB-001</w:t>
            </w:r>
          </w:p>
        </w:tc>
        <w:tc>
          <w:tcPr>
            <w:tcW w:type="dxa" w:w="15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bCs/>
                <w:color w:val="1B2A4A"/>
                <w:sz w:val="18"/>
                <w:szCs w:val="18"/>
              </w:rPr>
              <w:t xml:space="preserve">$5,450,000</w:t>
            </w:r>
          </w:p>
        </w:tc>
        <w:tc>
          <w:tcPr>
            <w:tcW w:type="dxa" w:w="16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$$1,350,000/yr</w:t>
            </w:r>
          </w:p>
        </w:tc>
        <w:tc>
          <w:tcPr>
            <w:tcW w:type="dxa" w:w="15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$6,200,000</w:t>
            </w:r>
          </w:p>
        </w:tc>
        <w:tc>
          <w:tcPr>
            <w:tcW w:type="dxa" w:w="1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Critical</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D0D0D"/>
                <w:sz w:val="16"/>
                <w:szCs w:val="16"/>
              </w:rPr>
              <w:t xml:space="preserve">RaPaX™
ARC-RPX-001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2A4A"/>
                <w:sz w:val="18"/>
                <w:szCs w:val="18"/>
              </w:rPr>
              <w:t xml:space="preserve">$3,700,000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$$850,000/yr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$4,300,000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High</w:t>
            </w:r>
          </w:p>
        </w:tc>
      </w:tr>
      <w:tr>
        <w:tc>
          <w:tcPr>
            <w:tcW w:type="dxa" w:w="23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0D0D0D"/>
                <w:sz w:val="16"/>
                <w:szCs w:val="16"/>
              </w:rPr>
              <w:t xml:space="preserve">INxS™
ARC-INX-001</w:t>
            </w:r>
          </w:p>
        </w:tc>
        <w:tc>
          <w:tcPr>
            <w:tcW w:type="dxa" w:w="15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bCs/>
                <w:color w:val="1B2A4A"/>
                <w:sz w:val="18"/>
                <w:szCs w:val="18"/>
              </w:rPr>
              <w:t xml:space="preserve">$5,200,000</w:t>
            </w:r>
          </w:p>
        </w:tc>
        <w:tc>
          <w:tcPr>
            <w:tcW w:type="dxa" w:w="16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$$1,350,000/yr</w:t>
            </w:r>
          </w:p>
        </w:tc>
        <w:tc>
          <w:tcPr>
            <w:tcW w:type="dxa" w:w="15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$6,000,000</w:t>
            </w:r>
          </w:p>
        </w:tc>
        <w:tc>
          <w:tcPr>
            <w:tcW w:type="dxa" w:w="1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High</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D0D0D"/>
                <w:sz w:val="16"/>
                <w:szCs w:val="16"/>
              </w:rPr>
              <w:t xml:space="preserve">SalvageBotX™
ARC-SBX-001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2A4A"/>
                <w:sz w:val="18"/>
                <w:szCs w:val="18"/>
              </w:rPr>
              <w:t xml:space="preserve">$3,550,000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$$780,000/yr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$4,050,000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Critical</w:t>
            </w:r>
          </w:p>
        </w:tc>
      </w:tr>
      <w:tr>
        <w:tc>
          <w:tcPr>
            <w:tcW w:type="dxa" w:w="23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0D0D0D"/>
                <w:sz w:val="16"/>
                <w:szCs w:val="16"/>
              </w:rPr>
              <w:t xml:space="preserve">Alētheia Array™
ARC-ATH-001</w:t>
            </w:r>
          </w:p>
        </w:tc>
        <w:tc>
          <w:tcPr>
            <w:tcW w:type="dxa" w:w="15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bCs/>
                <w:color w:val="1B2A4A"/>
                <w:sz w:val="18"/>
                <w:szCs w:val="18"/>
              </w:rPr>
              <w:t xml:space="preserve">$18,500,000</w:t>
            </w:r>
          </w:p>
        </w:tc>
        <w:tc>
          <w:tcPr>
            <w:tcW w:type="dxa" w:w="16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$$4,500,000/yr</w:t>
            </w:r>
          </w:p>
        </w:tc>
        <w:tc>
          <w:tcPr>
            <w:tcW w:type="dxa" w:w="15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$22,000,000</w:t>
            </w:r>
          </w:p>
        </w:tc>
        <w:tc>
          <w:tcPr>
            <w:tcW w:type="dxa" w:w="1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Primary</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D0D0D"/>
                <w:sz w:val="16"/>
                <w:szCs w:val="16"/>
              </w:rPr>
              <w:t xml:space="preserve">Argos™ (Twin Sentinel Deployment)
ARC-ARG-001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2A4A"/>
                <w:sz w:val="18"/>
                <w:szCs w:val="18"/>
              </w:rPr>
              <w:t xml:space="preserve">$7,200,000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$$2,100,000/yr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$8,500,000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Strategic</w:t>
            </w:r>
          </w:p>
        </w:tc>
      </w:tr>
      <w:tr>
        <w:tc>
          <w:tcPr>
            <w:tcW w:type="dxa" w:w="23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0D0D0D"/>
                <w:sz w:val="16"/>
                <w:szCs w:val="16"/>
              </w:rPr>
              <w:t xml:space="preserve">Crypto Hall of Alexandria™
ARC-CHA-001</w:t>
            </w:r>
          </w:p>
        </w:tc>
        <w:tc>
          <w:tcPr>
            <w:tcW w:type="dxa" w:w="15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bCs/>
                <w:color w:val="1B2A4A"/>
                <w:sz w:val="18"/>
                <w:szCs w:val="18"/>
              </w:rPr>
              <w:t xml:space="preserve">$3,250,000</w:t>
            </w:r>
          </w:p>
        </w:tc>
        <w:tc>
          <w:tcPr>
            <w:tcW w:type="dxa" w:w="16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$$600,000/yr</w:t>
            </w:r>
          </w:p>
        </w:tc>
        <w:tc>
          <w:tcPr>
            <w:tcW w:type="dxa" w:w="15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$3,750,000</w:t>
            </w:r>
          </w:p>
        </w:tc>
        <w:tc>
          <w:tcPr>
            <w:tcW w:type="dxa" w:w="1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Strategic</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D0D0D"/>
                <w:sz w:val="16"/>
                <w:szCs w:val="16"/>
              </w:rPr>
              <w:t xml:space="preserve">CreatorOS™
ARC-COS-001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2A4A"/>
                <w:sz w:val="18"/>
                <w:szCs w:val="18"/>
              </w:rPr>
              <w:t xml:space="preserve">$3,200,000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$$1,800,000/yr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$4,100,000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High</w:t>
            </w:r>
          </w:p>
        </w:tc>
      </w:tr>
      <w:tr>
        <w:tc>
          <w:tcPr>
            <w:tcW w:type="dxa" w:w="23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0D0D0D"/>
                <w:sz w:val="16"/>
                <w:szCs w:val="16"/>
              </w:rPr>
              <w:t xml:space="preserve">FabriCatHD™
ARC-FHD-001</w:t>
            </w:r>
          </w:p>
        </w:tc>
        <w:tc>
          <w:tcPr>
            <w:tcW w:type="dxa" w:w="15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bCs/>
                <w:color w:val="1B2A4A"/>
                <w:sz w:val="18"/>
                <w:szCs w:val="18"/>
              </w:rPr>
              <w:t xml:space="preserve">$2,800,000</w:t>
            </w:r>
          </w:p>
        </w:tc>
        <w:tc>
          <w:tcPr>
            <w:tcW w:type="dxa" w:w="16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$$650,000/yr</w:t>
            </w:r>
          </w:p>
        </w:tc>
        <w:tc>
          <w:tcPr>
            <w:tcW w:type="dxa" w:w="15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$3,400,000</w:t>
            </w:r>
          </w:p>
        </w:tc>
        <w:tc>
          <w:tcPr>
            <w:tcW w:type="dxa" w:w="1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High</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D0D0D"/>
                <w:sz w:val="16"/>
                <w:szCs w:val="16"/>
              </w:rPr>
              <w:t xml:space="preserve">Archer Revenue Finder™
ARC-ARF-001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2A4A"/>
                <w:sz w:val="18"/>
                <w:szCs w:val="18"/>
              </w:rPr>
              <w:t xml:space="preserve">$3,100,000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$$750,000/yr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$3,800,000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High</w:t>
            </w:r>
          </w:p>
        </w:tc>
      </w:tr>
      <w:tr>
        <w:tc>
          <w:tcPr>
            <w:tcW w:type="dxa" w:w="23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0D0D0D"/>
                <w:sz w:val="16"/>
                <w:szCs w:val="16"/>
              </w:rPr>
              <w:t xml:space="preserve">FormDepot™
ARC-FDP-001</w:t>
            </w:r>
          </w:p>
        </w:tc>
        <w:tc>
          <w:tcPr>
            <w:tcW w:type="dxa" w:w="15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bCs/>
                <w:color w:val="1B2A4A"/>
                <w:sz w:val="18"/>
                <w:szCs w:val="18"/>
              </w:rPr>
              <w:t xml:space="preserve">$2,200,000</w:t>
            </w:r>
          </w:p>
        </w:tc>
        <w:tc>
          <w:tcPr>
            <w:tcW w:type="dxa" w:w="16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$$480,000/yr</w:t>
            </w:r>
          </w:p>
        </w:tc>
        <w:tc>
          <w:tcPr>
            <w:tcW w:type="dxa" w:w="15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$2,700,000</w:t>
            </w:r>
          </w:p>
        </w:tc>
        <w:tc>
          <w:tcPr>
            <w:tcW w:type="dxa" w:w="1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High</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D0D0D"/>
                <w:sz w:val="16"/>
                <w:szCs w:val="16"/>
              </w:rPr>
              <w:t xml:space="preserve">YourTube™
ARC-YTB-001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2A4A"/>
                <w:sz w:val="18"/>
                <w:szCs w:val="18"/>
              </w:rPr>
              <w:t xml:space="preserve">$2,400,000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$$580,000/yr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$2,900,000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High</w:t>
            </w:r>
          </w:p>
        </w:tc>
      </w:tr>
      <w:tr>
        <w:tc>
          <w:tcPr>
            <w:tcW w:type="dxa" w:w="23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0D0D0D"/>
                <w:sz w:val="16"/>
                <w:szCs w:val="16"/>
              </w:rPr>
              <w:t xml:space="preserve">SoundDrop™
ARC-SND-001</w:t>
            </w:r>
          </w:p>
        </w:tc>
        <w:tc>
          <w:tcPr>
            <w:tcW w:type="dxa" w:w="15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bCs/>
                <w:color w:val="1B2A4A"/>
                <w:sz w:val="18"/>
                <w:szCs w:val="18"/>
              </w:rPr>
              <w:t xml:space="preserve">$1,800,000</w:t>
            </w:r>
          </w:p>
        </w:tc>
        <w:tc>
          <w:tcPr>
            <w:tcW w:type="dxa" w:w="16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$$420,000/yr</w:t>
            </w:r>
          </w:p>
        </w:tc>
        <w:tc>
          <w:tcPr>
            <w:tcW w:type="dxa" w:w="15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$2,200,000</w:t>
            </w:r>
          </w:p>
        </w:tc>
        <w:tc>
          <w:tcPr>
            <w:tcW w:type="dxa" w:w="1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High</w:t>
            </w:r>
          </w:p>
        </w:tc>
      </w:tr>
      <w:tr>
        <w:tc>
          <w:tcPr>
            <w:tcW w:type="dxa" w:w="2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PORTFOLIO TOTAL</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$70,450,000</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$$18,660,000/yr</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$83,500,000</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r>
    </w:tbl>
    <w:p/>
    <w:p>
      <w:pPr>
        <w:spacing w:after="60" w:before="60"/>
      </w:pPr>
      <w:r>
        <w:rPr>
          <w:rFonts w:ascii="Arial" w:cs="Arial" w:eastAsia="Arial" w:hAnsi="Arial"/>
          <w:b w:val="false"/>
          <w:bCs w:val="false"/>
          <w:i/>
          <w:iCs/>
          <w:color w:val="718096"/>
          <w:sz w:val="17"/>
          <w:szCs w:val="17"/>
        </w:rPr>
        <w:t xml:space="preserve">All figures expressed in USD. FMV = Fair Market Value. CLV = Commercial Licensing Value (annual). ERC = Enterprise Replacement Cost. OVC = Operational Value Contribution classification. Alētheia Array™ FMV reflects institutional infrastructure pricing consistent with Chainalysis, TRM Labs, and Blockdaemon comparable deployments.</w:t>
      </w:r>
    </w:p>
    <w:p>
      <w:r>
        <w:br w:type="page"/>
      </w:r>
    </w:p>
    <w:p>
      <w:pPr>
        <w:spacing w:after="120" w:before="360"/>
      </w:pPr>
      <w:r>
        <w:rPr>
          <w:rFonts w:ascii="Arial" w:cs="Arial" w:eastAsia="Arial" w:hAnsi="Arial"/>
          <w:b/>
          <w:bCs/>
          <w:color w:val="1B2A4A"/>
          <w:sz w:val="28"/>
          <w:szCs w:val="28"/>
        </w:rPr>
        <w:t xml:space="preserve">5. ALĒTHEIA ARRAY™ — INSTITUTIONAL PRICING ANALYSIS</w:t>
      </w:r>
    </w:p>
    <w:p>
      <w:pPr>
        <w:pBdr>
          <w:bottom w:val="single" w:color="1B2A4A" w:sz="4" w:space="1"/>
        </w:pBdr>
        <w:spacing w:after="160" w:before="160"/>
      </w:pPr>
    </w:p>
    <w:p>
      <w:pPr>
        <w:spacing w:after="60" w:before="60"/>
      </w:pPr>
      <w:r>
        <w:rPr>
          <w:rFonts w:ascii="Arial" w:cs="Arial" w:eastAsia="Arial" w:hAnsi="Arial"/>
          <w:b w:val="false"/>
          <w:bCs w:val="false"/>
          <w:i w:val="false"/>
          <w:iCs w:val="false"/>
          <w:color w:val="0D0D0D"/>
          <w:sz w:val="19"/>
          <w:szCs w:val="19"/>
        </w:rPr>
        <w:t xml:space="preserve">Each autonomous blockchain ingestion engine within the Alētheia Array™ constitutes an individual production-ready deployment unit — purpose-built to capture, normalize, verify, and forward real-time chain telemetry with zero trust assumptions. Each engine ships with a 19-document legal suite in 6 languages.</w:t>
      </w:r>
    </w:p>
    <w:p/>
    <w:p>
      <w:pPr>
        <w:spacing w:after="60" w:before="60"/>
      </w:pPr>
      <w:r>
        <w:rPr>
          <w:rFonts w:ascii="Arial" w:cs="Arial" w:eastAsia="Arial" w:hAnsi="Arial"/>
          <w:b w:val="false"/>
          <w:bCs w:val="false"/>
          <w:i w:val="false"/>
          <w:iCs w:val="false"/>
          <w:color w:val="0D0D0D"/>
          <w:sz w:val="19"/>
          <w:szCs w:val="19"/>
        </w:rPr>
        <w:t xml:space="preserve">Pricing is benchmarked against the institutional infrastructure market, not the consumer software market. The following comparables establish the pricing floor:</w:t>
      </w:r>
    </w:p>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2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Vendor</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Per-Chain Cost</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Coverage</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Subject Asset Equivalent</w:t>
            </w:r>
          </w:p>
        </w:tc>
      </w:tr>
      <w:tr>
        <w:tc>
          <w:tcPr>
            <w:tcW w:type="dxa" w:w="22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bCs/>
                <w:color w:val="0D0D0D"/>
                <w:sz w:val="18"/>
                <w:szCs w:val="18"/>
              </w:rPr>
              <w:t xml:space="preserve">Chainalysis</w:t>
            </w:r>
          </w:p>
        </w:tc>
        <w:tc>
          <w:tcPr>
            <w:tcW w:type="dxa" w:w="20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$50K–$200K/yr</w:t>
            </w:r>
          </w:p>
        </w:tc>
        <w:tc>
          <w:tcPr>
            <w:tcW w:type="dxa" w:w="20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Select chains</w:t>
            </w:r>
          </w:p>
        </w:tc>
        <w:tc>
          <w:tcPr>
            <w:tcW w:type="dxa" w:w="21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$15K–$25K perpetual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D0D0D"/>
                <w:sz w:val="18"/>
                <w:szCs w:val="18"/>
              </w:rPr>
              <w:t xml:space="preserve">TRM Labs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$100K–$500K/yr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Select chains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$15K–$25K perpetual</w:t>
            </w:r>
          </w:p>
        </w:tc>
      </w:tr>
      <w:tr>
        <w:tc>
          <w:tcPr>
            <w:tcW w:type="dxa" w:w="22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bCs/>
                <w:color w:val="0D0D0D"/>
                <w:sz w:val="18"/>
                <w:szCs w:val="18"/>
              </w:rPr>
              <w:t xml:space="preserve">Blockdaemon</w:t>
            </w:r>
          </w:p>
        </w:tc>
        <w:tc>
          <w:tcPr>
            <w:tcW w:type="dxa" w:w="20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$150K+/deployment</w:t>
            </w:r>
          </w:p>
        </w:tc>
        <w:tc>
          <w:tcPr>
            <w:tcW w:type="dxa" w:w="20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Single node</w:t>
            </w:r>
          </w:p>
        </w:tc>
        <w:tc>
          <w:tcPr>
            <w:tcW w:type="dxa" w:w="21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$15K–$25K perpetual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D0D0D"/>
                <w:sz w:val="18"/>
                <w:szCs w:val="18"/>
              </w:rPr>
              <w:t xml:space="preserve">Subject Asset (single engine)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76749"/>
                <w:sz w:val="18"/>
                <w:szCs w:val="18"/>
              </w:rPr>
              <w:t xml:space="preserve">$15K–$25K perpetual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1 of 558 available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Includes 361 legal docs (19 docs × 19 languages)</w:t>
            </w:r>
          </w:p>
        </w:tc>
      </w:tr>
    </w:tbl>
    <w:p/>
    <w:p>
      <w:pPr>
        <w:spacing w:after="60" w:before="60"/>
      </w:pPr>
      <w:r>
        <w:rPr>
          <w:rFonts w:ascii="Arial" w:cs="Arial" w:eastAsia="Arial" w:hAnsi="Arial"/>
          <w:b w:val="false"/>
          <w:bCs w:val="false"/>
          <w:i w:val="false"/>
          <w:iCs w:val="false"/>
          <w:color w:val="1B2A4A"/>
          <w:sz w:val="19"/>
          <w:szCs w:val="19"/>
        </w:rPr>
        <w:t xml:space="preserve">At the institutional floor of $50,000/yr per chain for a comparable service, a buyer replicating 558 chains via existing vendors would incur $29,150,000/yr in recurring costs. The subject array provides equivalent or superior coverage on a perpetual ownership basis. This pricing differential is the primary driver of the Alētheia Array™ FMV of $18,500,000.</w:t>
      </w:r>
    </w:p>
    <w:p>
      <w:r>
        <w:br w:type="page"/>
      </w:r>
    </w:p>
    <w:p>
      <w:pPr>
        <w:spacing w:after="120" w:before="360"/>
      </w:pPr>
      <w:r>
        <w:rPr>
          <w:rFonts w:ascii="Arial" w:cs="Arial" w:eastAsia="Arial" w:hAnsi="Arial"/>
          <w:b/>
          <w:bCs/>
          <w:color w:val="1B2A4A"/>
          <w:sz w:val="28"/>
          <w:szCs w:val="28"/>
        </w:rPr>
        <w:t xml:space="preserve">AcerbE™</w:t>
      </w:r>
    </w:p>
    <w:p>
      <w:pPr>
        <w:spacing w:after="60" w:before="60"/>
      </w:pPr>
      <w:r>
        <w:rPr>
          <w:rFonts w:ascii="Arial" w:cs="Arial" w:eastAsia="Arial" w:hAnsi="Arial"/>
          <w:b w:val="false"/>
          <w:bCs w:val="false"/>
          <w:i/>
          <w:iCs/>
          <w:color w:val="718096"/>
          <w:sz w:val="19"/>
          <w:szCs w:val="19"/>
        </w:rPr>
        <w:t xml:space="preserve">Asset Code: ARC-ACB-001  |  Classification: Cryptographic Fingerprinting &amp; Forensic Watermarking Engine</w:t>
      </w:r>
    </w:p>
    <w:p>
      <w:pPr>
        <w:pBdr>
          <w:bottom w:val="single" w:color="1B2A4A" w:sz="4" w:space="1"/>
        </w:pBdr>
        <w:spacing w:after="160" w:before="1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5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System Status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Production-Ready</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IP Asset Strength Index (IP-ASI)</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9.2 / 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SMCRI Score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88 / 100</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Fair Market Value (FMV)</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$5,450,000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Commercial Licensing Value (CLV)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$$1,350,000 / year</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Enterprise Replacement Cost (ERC)</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$6,200,000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Operational Value Contribution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Critical</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Recommended Retail Price</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$599 lifetime / $199 annual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Enterprise License Price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$85,000–$250,000/yr</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Cost-Based Valuation (CBV)</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Estimated 2,400 development hours at $125/hr senior rate = $300,000 direct cost. Applied IP uniqueness multiplier of 16x reflecting absence of open-source equivalents at equivalent security tier and zero-cloud architecture constraint.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Market Comparable (MCV)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Primary comparables: Digimarc Corp (enterprise licensing $150K–$500K/yr), Markany Inc (forensic watermarking enterprise $80K–$300K/yr). Subject asset operates at comparable security tier with superior deployment flexibility.</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Income-Based Valuation (IBV/DCF)</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Conservative DCF at 8% discount rate over 5-year window. Projected licensing NPV: $1,400,000. Based on single-tier enterprise client adoption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Appraiser Notes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Production-ready. Full 19-document legal suite in 6 languages complete. No cloud dependency eliminates vendor lock-in risk. Zero comparable open-source substitute identified at this security tier.</w:t>
            </w:r>
          </w:p>
        </w:tc>
      </w:tr>
    </w:tbl>
    <w:p>
      <w:r>
        <w:br w:type="page"/>
      </w:r>
    </w:p>
    <w:p>
      <w:pPr>
        <w:spacing w:after="120" w:before="360"/>
      </w:pPr>
      <w:r>
        <w:rPr>
          <w:rFonts w:ascii="Arial" w:cs="Arial" w:eastAsia="Arial" w:hAnsi="Arial"/>
          <w:b/>
          <w:bCs/>
          <w:color w:val="1B2A4A"/>
          <w:sz w:val="28"/>
          <w:szCs w:val="28"/>
        </w:rPr>
        <w:t xml:space="preserve">RaPaX™</w:t>
      </w:r>
    </w:p>
    <w:p>
      <w:pPr>
        <w:spacing w:after="60" w:before="60"/>
      </w:pPr>
      <w:r>
        <w:rPr>
          <w:rFonts w:ascii="Arial" w:cs="Arial" w:eastAsia="Arial" w:hAnsi="Arial"/>
          <w:b w:val="false"/>
          <w:bCs w:val="false"/>
          <w:i/>
          <w:iCs/>
          <w:color w:val="718096"/>
          <w:sz w:val="19"/>
          <w:szCs w:val="19"/>
        </w:rPr>
        <w:t xml:space="preserve">Asset Code: ARC-RPX-001  |  Classification: Autonomous Cryptographic Audit Logging &amp; Secure Commerce Framework</w:t>
      </w:r>
    </w:p>
    <w:p>
      <w:pPr>
        <w:pBdr>
          <w:bottom w:val="single" w:color="1B2A4A" w:sz="4" w:space="1"/>
        </w:pBdr>
        <w:spacing w:after="160" w:before="1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5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System Status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Documentation Complete</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IP Asset Strength Index (IP-ASI)</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8.7 / 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SMCRI Score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84 / 100</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Fair Market Value (FMV)</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$3,700,000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Commercial Licensing Value (CLV)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$$850,000 / year</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Enterprise Replacement Cost (ERC)</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$4,300,000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Operational Value Contribution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High</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Recommended Retail Price</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$2,500/mo SaaS / $18,000 perpetual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Enterprise License Price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$120,000–$400,000/yr</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Cost-Based Valuation (CBV)</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Estimated 1,800 development hours at $125/hr = $225,000 direct cost. Compliance architecture premium multiplier 14x applied reflecting PIPEDA/GDPR alignment and cryptographic audit chain design.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Market Comparable (MCV)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Comparables: Chainlink proof-of-reserve modules ($200K–$800K/yr enterprise), Arweave enterprise data permanence ($150K–$500K/yr). Subject asset provides equivalent auditability with autonomous POS integration not available in comparables.</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Income-Based Valuation (IBV/DCF)</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DCF at 8%, 5yr: $980,000 NPV. Single enterprise client baseline.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Appraiser Notes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Cryptographic audit logging. PIPEDA and GDPR compliant architecture. Autonomous payment processing without third-party custody. Full multilingual legal suite complete.</w:t>
            </w:r>
          </w:p>
        </w:tc>
      </w:tr>
    </w:tbl>
    <w:p>
      <w:r>
        <w:br w:type="page"/>
      </w:r>
    </w:p>
    <w:p>
      <w:pPr>
        <w:spacing w:after="120" w:before="360"/>
      </w:pPr>
      <w:r>
        <w:rPr>
          <w:rFonts w:ascii="Arial" w:cs="Arial" w:eastAsia="Arial" w:hAnsi="Arial"/>
          <w:b/>
          <w:bCs/>
          <w:color w:val="1B2A4A"/>
          <w:sz w:val="28"/>
          <w:szCs w:val="28"/>
        </w:rPr>
        <w:t xml:space="preserve">INxS™</w:t>
      </w:r>
    </w:p>
    <w:p>
      <w:pPr>
        <w:spacing w:after="60" w:before="60"/>
      </w:pPr>
      <w:r>
        <w:rPr>
          <w:rFonts w:ascii="Arial" w:cs="Arial" w:eastAsia="Arial" w:hAnsi="Arial"/>
          <w:b w:val="false"/>
          <w:bCs w:val="false"/>
          <w:i/>
          <w:iCs/>
          <w:color w:val="718096"/>
          <w:sz w:val="19"/>
          <w:szCs w:val="19"/>
        </w:rPr>
        <w:t xml:space="preserve">Asset Code: ARC-INX-001  |  Classification: White-Label Modular Automated Trading System Assembly Framework — 558-Chain Coverage</w:t>
      </w:r>
    </w:p>
    <w:p>
      <w:pPr>
        <w:pBdr>
          <w:bottom w:val="single" w:color="1B2A4A" w:sz="4" w:space="1"/>
        </w:pBdr>
        <w:spacing w:after="160" w:before="1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5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System Status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Architecture Complete</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IP Asset Strength Index (IP-ASI)</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8.7 / 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SMCRI Score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82 / 100</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Fair Market Value (FMV)</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$5,200,000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Commercial Licensing Value (CLV)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$$1,350,000 / year</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Enterprise Replacement Cost (ERC)</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$6,000,000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Operational Value Contribution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High</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Recommended Retail Price</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$4,500 perpetual / $299/mo white-label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Enterprise License Price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$95,000–$350,000/yr</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Cost-Based Valuation (CBV)</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Estimated 2,100 development hours at $125/hr = $262,500 direct cost. 558-chain coverage premium applied. Commercialization multiplier 18x reflecting white-label resale rights and modular assembly architecture.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Market Comparable (MCV)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Comparables: 3Commas enterprise ($500K–$2M/yr institutional), Hummingbot institutional licensing ($300K–$1M/yr). Neither competitor operates across 558 blockchain networks. Subject asset's chain coverage represents a material competitive differentiator.</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Income-Based Valuation (IBV/DCF)</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DCF at 8%, 5yr: $1,550,000 NPV via reseller channel.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Appraiser Notes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558-chain coverage via Alētheia Array™ integration. 7-category locked modular assembly. HMAC-based local license validation. White-label resale rights. No competitor operates at equivalent chain coverage.</w:t>
            </w:r>
          </w:p>
        </w:tc>
      </w:tr>
    </w:tbl>
    <w:p>
      <w:r>
        <w:br w:type="page"/>
      </w:r>
    </w:p>
    <w:p>
      <w:pPr>
        <w:spacing w:after="120" w:before="360"/>
      </w:pPr>
      <w:r>
        <w:rPr>
          <w:rFonts w:ascii="Arial" w:cs="Arial" w:eastAsia="Arial" w:hAnsi="Arial"/>
          <w:b/>
          <w:bCs/>
          <w:color w:val="1B2A4A"/>
          <w:sz w:val="28"/>
          <w:szCs w:val="28"/>
        </w:rPr>
        <w:t xml:space="preserve">SalvageBotX™</w:t>
      </w:r>
    </w:p>
    <w:p>
      <w:pPr>
        <w:spacing w:after="60" w:before="60"/>
      </w:pPr>
      <w:r>
        <w:rPr>
          <w:rFonts w:ascii="Arial" w:cs="Arial" w:eastAsia="Arial" w:hAnsi="Arial"/>
          <w:b w:val="false"/>
          <w:bCs w:val="false"/>
          <w:i/>
          <w:iCs/>
          <w:color w:val="718096"/>
          <w:sz w:val="19"/>
          <w:szCs w:val="19"/>
        </w:rPr>
        <w:t xml:space="preserve">Asset Code: ARC-SBX-001  |  Classification: Autonomous Digital Asset Recovery &amp; Assembly Engine</w:t>
      </w:r>
    </w:p>
    <w:p>
      <w:pPr>
        <w:pBdr>
          <w:bottom w:val="single" w:color="1B2A4A" w:sz="4" w:space="1"/>
        </w:pBdr>
        <w:spacing w:after="160" w:before="1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5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System Status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Integration Stage</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IP Asset Strength Index (IP-ASI)</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8.2 / 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SMCRI Score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78 / 100</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Fair Market Value (FMV)</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$3,550,000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Commercial Licensing Value (CLV)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$$780,000 / year</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Enterprise Replacement Cost (ERC)</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$4,050,000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Operational Value Contribution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Critical</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Recommended Retail Price</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$3,200 perpetual / $249/mo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Enterprise License Price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$85,000–$280,000/yr</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Cost-Based Valuation (CBV)</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Estimated 1,600 development hours at $125/hr = $200,000 direct cost. Automation premium multiplier 15x applied reflecting autonomous recovery architecture and forensic audit trail integration.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Market Comparable (MCV)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Comparables: Chainalysis KYT modules ($100K–$400K/yr), TRM Labs recovery tooling ($150K–$500K/yr). Subject asset provides equivalent detection with local deployment and zero third-party data exposure.</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Income-Based Valuation (IBV/DCF)</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DCF at 8%, 5yr: $920,000 NPV.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Appraiser Notes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Zero-cloud deployment. Cryptographic audit trail via RaPaX™ integration. Forensic asset recovery and assembly. Full multilingual legal suite complete.</w:t>
            </w:r>
          </w:p>
        </w:tc>
      </w:tr>
    </w:tbl>
    <w:p>
      <w:r>
        <w:br w:type="page"/>
      </w:r>
    </w:p>
    <w:p>
      <w:pPr>
        <w:spacing w:after="120" w:before="360"/>
      </w:pPr>
      <w:r>
        <w:rPr>
          <w:rFonts w:ascii="Arial" w:cs="Arial" w:eastAsia="Arial" w:hAnsi="Arial"/>
          <w:b/>
          <w:bCs/>
          <w:color w:val="1B2A4A"/>
          <w:sz w:val="28"/>
          <w:szCs w:val="28"/>
        </w:rPr>
        <w:t xml:space="preserve">Alētheia Array™</w:t>
      </w:r>
    </w:p>
    <w:p>
      <w:pPr>
        <w:spacing w:after="60" w:before="60"/>
      </w:pPr>
      <w:r>
        <w:rPr>
          <w:rFonts w:ascii="Arial" w:cs="Arial" w:eastAsia="Arial" w:hAnsi="Arial"/>
          <w:b w:val="false"/>
          <w:bCs w:val="false"/>
          <w:i/>
          <w:iCs/>
          <w:color w:val="718096"/>
          <w:sz w:val="19"/>
          <w:szCs w:val="19"/>
        </w:rPr>
        <w:t xml:space="preserve">Asset Code: ARC-ATH-001  |  Classification: Distributed Autonomous Blockchain Ingestion Engine Array — Sovereign Telemetry Infrastructure</w:t>
      </w:r>
    </w:p>
    <w:p>
      <w:pPr>
        <w:pBdr>
          <w:bottom w:val="single" w:color="1B2A4A" w:sz="4" w:space="1"/>
        </w:pBdr>
        <w:spacing w:after="160" w:before="1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5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System Status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558 Engines Production-Ready / v2.0-Hardened</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IP Asset Strength Index (IP-ASI)</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9.8 / 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SMCRI Score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89 / 100</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Fair Market Value (FMV)</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$18,500,000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Commercial Licensing Value (CLV)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$$4,500,000 / year</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Enterprise Replacement Cost (ERC)</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$22,000,000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Operational Value Contribution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Primary Asset — Foundational</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Recommended Retail Price</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$15,000–$25,000 per engine perpetual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Enterprise License Price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$500,000–$6,000,000 array contract</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Cost-Based Valuation (CBV)</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558 engines at estimated 30.5 development hours each = 17,781.5 total hours at $125/hr = $2,222,688 direct cost. Sovereign infrastructure premium multiplier 8x applied. Additional replacement cost: 201,234 legal documents (558 engines × 19 docs × 6 languages) at market rate of $500–$2,000 per document = $24,516,000–$98,064,000 legal asset replacement cost. Conservative legal ERC applied at $500/doc.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Market Comparable (MCV)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Primary institutional comparables: Chainalysis (per-chain licensing $50,000–$200,000/yr), TRM Labs enterprise ($100,000–$500,000/yr), Blockdaemon node deployment ($150,000+ per node). At 558 chains, market floor comparable = $29,150,000/yr ongoing cost to replicate via existing vendors. Subject asset provides perpetual ownership at a fraction of equivalent recurring cost. No single competitor operates autonomous ingestion engines across 558 blockchain networks simultaneously.</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Income-Based Valuation (IBV/DCF)</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DCF at 8%, 5yr: $12,500,000 NPV. Baseline: 10 enterprise clients at $500,000/yr each. Conservative adoption curve applied.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Appraiser Notes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PRIMARY PORTFOLIO ASSET. 558 production-ready autonomous blockchain ingestion engines. Node-level data capture eliminates relay latency. Zero-trust architecture. 201,234 legal documents (19 docs × 6 languages × 558 engines). No market equivalent identified at this chain coverage, security architecture, or legal completeness. Each engine purpose-built to capture, normalize, verify, and forward real-time chain telemetry with zero trust assumptions.</w:t>
            </w:r>
          </w:p>
        </w:tc>
      </w:tr>
    </w:tbl>
    <w:p>
      <w:r>
        <w:br w:type="page"/>
      </w:r>
    </w:p>
    <w:p>
      <w:pPr>
        <w:spacing w:after="120" w:before="360"/>
      </w:pPr>
      <w:r>
        <w:rPr>
          <w:rFonts w:ascii="Arial" w:cs="Arial" w:eastAsia="Arial" w:hAnsi="Arial"/>
          <w:b/>
          <w:bCs/>
          <w:color w:val="1B2A4A"/>
          <w:sz w:val="28"/>
          <w:szCs w:val="28"/>
        </w:rPr>
        <w:t xml:space="preserve">Argos™ (Twin Sentinel Deployment)</w:t>
      </w:r>
    </w:p>
    <w:p>
      <w:pPr>
        <w:spacing w:after="60" w:before="60"/>
      </w:pPr>
      <w:r>
        <w:rPr>
          <w:rFonts w:ascii="Arial" w:cs="Arial" w:eastAsia="Arial" w:hAnsi="Arial"/>
          <w:b w:val="false"/>
          <w:bCs w:val="false"/>
          <w:i/>
          <w:iCs/>
          <w:color w:val="718096"/>
          <w:sz w:val="19"/>
          <w:szCs w:val="19"/>
        </w:rPr>
        <w:t xml:space="preserve">Asset Code: ARC-ARG-001  |  Classification: Autonomous Blockchain Security Intelligence &amp; Bug-Bounty Sentinel System — Dual-Instance Architecture</w:t>
      </w:r>
    </w:p>
    <w:p>
      <w:pPr>
        <w:pBdr>
          <w:bottom w:val="single" w:color="1B2A4A" w:sz="4" w:space="1"/>
        </w:pBdr>
        <w:spacing w:after="160" w:before="1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5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System Status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Architecture Complete / Pre-Build</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IP Asset Strength Index (IP-ASI)</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9.6 / 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SMCRI Score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76 / 100</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Fair Market Value (FMV)</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$7,200,000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Commercial Licensing Value (CLV)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$$2,100,000 / year</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Enterprise Replacement Cost (ERC)</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$8,500,000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Operational Value Contribution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Strategic</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Recommended Retail Price</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$12,000/mo SaaS / $95,000 perpetual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Enterprise License Price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$350,000–$1,500,000/yr</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Cost-Based Valuation (CBV)</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Estimated 2,800 development hours at $150/hr security specialist rate = $420,000 direct cost. Dual-instance architecture (Twin Sentinel deployment) and 558-chain monitoring scope premium applied. Security IP multiplier 16x.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Market Comparable (MCV)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Comparables: Immunefi protocol security agreements ($500K–$5M+ per protocol), Forta Network node licensing ($200K–$1M/yr), Tenderly simulation platform ($150K–$600K/yr enterprise). No competitor provides autonomous ephemeral chain forking across 558 networks with integrated bounty ROI filtering.</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Income-Based Valuation (IBV/DCF)</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DCF at 8%, 5yr: $2,800,000 NPV via bounty-share model at 558-chain scale.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Appraiser Notes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Dual-instance parallel deployment architecture. Ephemeral chain forking under 200ms. 18x ROI economic gatekeeper. Cryptographic sealed verdicts. Monitors all 558 Alētheia Array™ engines. White-label at 2x projected FMV. No market equivalent at this architectural proximity or chain coverage.</w:t>
            </w:r>
          </w:p>
        </w:tc>
      </w:tr>
    </w:tbl>
    <w:p>
      <w:r>
        <w:br w:type="page"/>
      </w:r>
    </w:p>
    <w:p>
      <w:pPr>
        <w:spacing w:after="120" w:before="360"/>
      </w:pPr>
      <w:r>
        <w:rPr>
          <w:rFonts w:ascii="Arial" w:cs="Arial" w:eastAsia="Arial" w:hAnsi="Arial"/>
          <w:b/>
          <w:bCs/>
          <w:color w:val="1B2A4A"/>
          <w:sz w:val="28"/>
          <w:szCs w:val="28"/>
        </w:rPr>
        <w:t xml:space="preserve">Crypto Hall of Alexandria™</w:t>
      </w:r>
    </w:p>
    <w:p>
      <w:pPr>
        <w:spacing w:after="60" w:before="60"/>
      </w:pPr>
      <w:r>
        <w:rPr>
          <w:rFonts w:ascii="Arial" w:cs="Arial" w:eastAsia="Arial" w:hAnsi="Arial"/>
          <w:b w:val="false"/>
          <w:bCs w:val="false"/>
          <w:i/>
          <w:iCs/>
          <w:color w:val="718096"/>
          <w:sz w:val="19"/>
          <w:szCs w:val="19"/>
        </w:rPr>
        <w:t xml:space="preserve">Asset Code: ARC-CHA-001  |  Classification: Sovereign Zero-Trust Cryptocurrency Verification &amp; Reference Library</w:t>
      </w:r>
    </w:p>
    <w:p>
      <w:pPr>
        <w:pBdr>
          <w:bottom w:val="single" w:color="1B2A4A" w:sz="4" w:space="1"/>
        </w:pBdr>
        <w:spacing w:after="160" w:before="1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5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System Status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Concept Defined / Build Pending</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IP Asset Strength Index (IP-ASI)</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8.9 / 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SMCRI Score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68 / 100</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Fair Market Value (FMV)</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$3,250,000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Commercial Licensing Value (CLV)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$$600,000 / year</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Enterprise Replacement Cost (ERC)</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$3,750,000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Operational Value Contribution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Strategic</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Recommended Retail Price</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Institutional API $4,500/mo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Enterprise License Price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$75,000–$200,000/yr</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Cost-Based Valuation (CBV)</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Estimated 1,200 development hours at $125/hr = $150,000 direct cost. Strategic and humanitarian positioning premium 19x applied.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Market Comparable (MCV)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Comparables: Messari Pro ($40K–$150K/yr institutional), Glassnode enterprise ($60K–$200K/yr), CoinGecko institutional ($30K–$100K/yr). Subject asset provides block-anchored verification layer not available in any comparable.</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Income-Based Valuation (IBV/DCF)</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DCF at 8%, 5yr: $750,000 NPV via institutional API access.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Appraiser Notes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Block-anchored via Alētheia Array™. Planned housing on sovereign Native land. Designated for charitable transfer upon completion. Full multilingual legal suite complete.</w:t>
            </w:r>
          </w:p>
        </w:tc>
      </w:tr>
    </w:tbl>
    <w:p>
      <w:r>
        <w:br w:type="page"/>
      </w:r>
    </w:p>
    <w:p>
      <w:pPr>
        <w:spacing w:after="120" w:before="360"/>
      </w:pPr>
      <w:r>
        <w:rPr>
          <w:rFonts w:ascii="Arial" w:cs="Arial" w:eastAsia="Arial" w:hAnsi="Arial"/>
          <w:b/>
          <w:bCs/>
          <w:color w:val="1B2A4A"/>
          <w:sz w:val="28"/>
          <w:szCs w:val="28"/>
        </w:rPr>
        <w:t xml:space="preserve">CreatorOS™</w:t>
      </w:r>
    </w:p>
    <w:p>
      <w:pPr>
        <w:spacing w:after="60" w:before="60"/>
      </w:pPr>
      <w:r>
        <w:rPr>
          <w:rFonts w:ascii="Arial" w:cs="Arial" w:eastAsia="Arial" w:hAnsi="Arial"/>
          <w:b w:val="false"/>
          <w:bCs w:val="false"/>
          <w:i/>
          <w:iCs/>
          <w:color w:val="718096"/>
          <w:sz w:val="19"/>
          <w:szCs w:val="19"/>
        </w:rPr>
        <w:t xml:space="preserve">Asset Code: ARC-COS-001  |  Classification: White-Label Creator Commerce Platform &amp; Digital Distribution Engine</w:t>
      </w:r>
    </w:p>
    <w:p>
      <w:pPr>
        <w:pBdr>
          <w:bottom w:val="single" w:color="1B2A4A" w:sz="4" w:space="1"/>
        </w:pBdr>
        <w:spacing w:after="160" w:before="1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5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System Status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Blueprint Complete / Build-Ready</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IP Asset Strength Index (IP-ASI)</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7.8 / 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SMCRI Score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62 / 100</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Fair Market Value (FMV)</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$3,200,000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Commercial Licensing Value (CLV)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$$1,800,000 / year</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Enterprise Replacement Cost (ERC)</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$4,100,000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Operational Value Contribution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High</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Recommended Retail Price</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$0 (5%) / $29/mo (2%) / $49/mo (0%)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Enterprise License Price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$250,000–$750,000/yr</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Cost-Based Valuation (CBV)</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Estimated 2,800 development hours at $125/hr = $350,000 direct cost. SaaS platform multiplier 9x applied.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Market Comparable (MCV)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Comparables: Lemon Squeezy (valued at $150M+ at comparable stage), Gumroad ($100M+ business). Subject asset differentiates on fee structure (0% at $49/mo vs 10% Gumroad), native community features, and AcerbE/RaPaX integration.</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Income-Based Valuation (IBV/DCF)</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DCF at 8%, 5yr: $1,100,000 NPV. Conservative single-channel adoption.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Appraiser Notes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Integrates RaPaX™, AcerbE™, SalvageBotX™ as core infrastructure. Full developer API. Built-in per-product community. White-label and agency mode available.</w:t>
            </w:r>
          </w:p>
        </w:tc>
      </w:tr>
    </w:tbl>
    <w:p>
      <w:r>
        <w:br w:type="page"/>
      </w:r>
    </w:p>
    <w:p>
      <w:pPr>
        <w:spacing w:after="120" w:before="360"/>
      </w:pPr>
      <w:r>
        <w:rPr>
          <w:rFonts w:ascii="Arial" w:cs="Arial" w:eastAsia="Arial" w:hAnsi="Arial"/>
          <w:b/>
          <w:bCs/>
          <w:color w:val="1B2A4A"/>
          <w:sz w:val="28"/>
          <w:szCs w:val="28"/>
        </w:rPr>
        <w:t xml:space="preserve">FabriCatHD™</w:t>
      </w:r>
    </w:p>
    <w:p>
      <w:pPr>
        <w:spacing w:after="60" w:before="60"/>
      </w:pPr>
      <w:r>
        <w:rPr>
          <w:rFonts w:ascii="Arial" w:cs="Arial" w:eastAsia="Arial" w:hAnsi="Arial"/>
          <w:b w:val="false"/>
          <w:bCs w:val="false"/>
          <w:i/>
          <w:iCs/>
          <w:color w:val="718096"/>
          <w:sz w:val="19"/>
          <w:szCs w:val="19"/>
        </w:rPr>
        <w:t xml:space="preserve">Asset Code: ARC-FHD-001  |  Classification: Schema-Driven Document Generation &amp; Template Commerce Desktop Application</w:t>
      </w:r>
    </w:p>
    <w:p>
      <w:pPr>
        <w:pBdr>
          <w:bottom w:val="single" w:color="1B2A4A" w:sz="4" w:space="1"/>
        </w:pBdr>
        <w:spacing w:after="160" w:before="1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5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System Status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Production-Ready</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IP Asset Strength Index (IP-ASI)</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8.3 / 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SMCRI Score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80 / 100</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Fair Market Value (FMV)</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$2,800,000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Commercial Licensing Value (CLV)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$$650,000 / year</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Enterprise Replacement Cost (ERC)</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$3,400,000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Operational Value Contribution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High</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Recommended Retail Price</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$29–$249 perpetual tiers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Enterprise License Price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$499–$1,499 white-label</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Cost-Based Valuation (CBV)</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Estimated 1,800 development hours at $125/hr = $225,000 direct cost. Desktop application commercialization multiplier 11x applied.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Market Comparable (MCV)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Comparables: PandaDoc ($629M valuation), DocuSign template engine, Jotform enterprise. Subject asset differentiates on zero-cloud local processing and white-label distribution rights.</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Income-Based Valuation (IBV/DCF)</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DCF at 8%, 5yr: $850,000 NPV via direct and white-label channel.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Appraiser Notes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Tauri 2.0 / React 18 / Rust. 20+ document types. Zero cloud dependency. White-label rights available. Production-ready.</w:t>
            </w:r>
          </w:p>
        </w:tc>
      </w:tr>
    </w:tbl>
    <w:p>
      <w:r>
        <w:br w:type="page"/>
      </w:r>
    </w:p>
    <w:p>
      <w:pPr>
        <w:spacing w:after="120" w:before="360"/>
      </w:pPr>
      <w:r>
        <w:rPr>
          <w:rFonts w:ascii="Arial" w:cs="Arial" w:eastAsia="Arial" w:hAnsi="Arial"/>
          <w:b/>
          <w:bCs/>
          <w:color w:val="1B2A4A"/>
          <w:sz w:val="28"/>
          <w:szCs w:val="28"/>
        </w:rPr>
        <w:t xml:space="preserve">Archer Revenue Finder™</w:t>
      </w:r>
    </w:p>
    <w:p>
      <w:pPr>
        <w:spacing w:after="60" w:before="60"/>
      </w:pPr>
      <w:r>
        <w:rPr>
          <w:rFonts w:ascii="Arial" w:cs="Arial" w:eastAsia="Arial" w:hAnsi="Arial"/>
          <w:b w:val="false"/>
          <w:bCs w:val="false"/>
          <w:i/>
          <w:iCs/>
          <w:color w:val="718096"/>
          <w:sz w:val="19"/>
          <w:szCs w:val="19"/>
        </w:rPr>
        <w:t xml:space="preserve">Asset Code: ARC-ARF-001  |  Classification: Autonomous Digital Asset Sanitization &amp; Multi-Marketplace Distribution Engine</w:t>
      </w:r>
    </w:p>
    <w:p>
      <w:pPr>
        <w:pBdr>
          <w:bottom w:val="single" w:color="1B2A4A" w:sz="4" w:space="1"/>
        </w:pBdr>
        <w:spacing w:after="160" w:before="1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5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System Status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Architecture Complete / Build-Ready</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IP Asset Strength Index (IP-ASI)</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8.5 / 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SMCRI Score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76 / 100</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Fair Market Value (FMV)</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$3,100,000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Commercial Licensing Value (CLV)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$$750,000 / year</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Enterprise Replacement Cost (ERC)</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$3,800,000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Operational Value Contribution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High</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Recommended Retail Price</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$299 perpetual / $49/mo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Enterprise License Price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$85,000–$250,000/yr</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Cost-Based Valuation (CBV)</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Estimated 2,200 development hours at $125/hr = $275,000 direct cost. Multi-marketplace automation premium 10x applied.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Market Comparable (MCV)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No single comparable tool identified that provides PII scrubbing, license compliance checking, and 13-marketplace simultaneous distribution. Partial comparables: Zapier enterprise ($50K–$200K/yr), custom marketplace automation ($100K–$500K custom builds).</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Income-Based Valuation (IBV/DCF)</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DCF at 8%, 5yr: $920,000 NPV.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Appraiser Notes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13 marketplace integrations. AES-256 local vault. Tree-sitter grammar parsing. SPDX license compliance checking. Playwright headless automation. Zero server-side data logging. Parent platform for FormDepot™.</w:t>
            </w:r>
          </w:p>
        </w:tc>
      </w:tr>
    </w:tbl>
    <w:p>
      <w:r>
        <w:br w:type="page"/>
      </w:r>
    </w:p>
    <w:p>
      <w:pPr>
        <w:spacing w:after="120" w:before="360"/>
      </w:pPr>
      <w:r>
        <w:rPr>
          <w:rFonts w:ascii="Arial" w:cs="Arial" w:eastAsia="Arial" w:hAnsi="Arial"/>
          <w:b/>
          <w:bCs/>
          <w:color w:val="1B2A4A"/>
          <w:sz w:val="28"/>
          <w:szCs w:val="28"/>
        </w:rPr>
        <w:t xml:space="preserve">FormDepot™</w:t>
      </w:r>
    </w:p>
    <w:p>
      <w:pPr>
        <w:spacing w:after="60" w:before="60"/>
      </w:pPr>
      <w:r>
        <w:rPr>
          <w:rFonts w:ascii="Arial" w:cs="Arial" w:eastAsia="Arial" w:hAnsi="Arial"/>
          <w:b w:val="false"/>
          <w:bCs w:val="false"/>
          <w:i/>
          <w:iCs/>
          <w:color w:val="718096"/>
          <w:sz w:val="19"/>
          <w:szCs w:val="19"/>
        </w:rPr>
        <w:t xml:space="preserve">Asset Code: ARC-FDP-001  |  Classification: Document Sanitization, Formification &amp; Template Commerce Engine</w:t>
      </w:r>
    </w:p>
    <w:p>
      <w:pPr>
        <w:pBdr>
          <w:bottom w:val="single" w:color="1B2A4A" w:sz="4" w:space="1"/>
        </w:pBdr>
        <w:spacing w:after="160" w:before="1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5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System Status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v1.0 Production-Ready</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IP Asset Strength Index (IP-ASI)</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8.1 / 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SMCRI Score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78 / 100</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Fair Market Value (FMV)</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$2,200,000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Commercial Licensing Value (CLV)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$$480,000 / year</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Enterprise Replacement Cost (ERC)</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$2,700,000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Operational Value Contribution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High</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Recommended Retail Price</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$29–$249 perpetual tiers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Enterprise License Price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$499–$1,499 white-label</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Cost-Based Valuation (CBV)</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Estimated 1,400 development hours at $125/hr = $175,000 direct cost. Document commerce automation multiplier 11x applied.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Market Comparable (MCV)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Comparables: Docracy, Wonder Legal, LegalZoom template engine. No comparable identified that includes automated PII scrubbing pipeline, classification engine, and bundle auto-proposal in a single zero-cloud desktop tool.</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Income-Based Valuation (IBV/DCF)</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DCF at 8%, 5yr: $650,000 NPV.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Appraiser Notes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20+ document types. Zero PII retained. Zero cloud. One-click confirmation gate. Auto-bundle proposals. Gumroad and Etsy integration. Word and fillable PDF output.</w:t>
            </w:r>
          </w:p>
        </w:tc>
      </w:tr>
    </w:tbl>
    <w:p>
      <w:r>
        <w:br w:type="page"/>
      </w:r>
    </w:p>
    <w:p>
      <w:pPr>
        <w:spacing w:after="120" w:before="360"/>
      </w:pPr>
      <w:r>
        <w:rPr>
          <w:rFonts w:ascii="Arial" w:cs="Arial" w:eastAsia="Arial" w:hAnsi="Arial"/>
          <w:b/>
          <w:bCs/>
          <w:color w:val="1B2A4A"/>
          <w:sz w:val="28"/>
          <w:szCs w:val="28"/>
        </w:rPr>
        <w:t xml:space="preserve">YourTube™</w:t>
      </w:r>
    </w:p>
    <w:p>
      <w:pPr>
        <w:spacing w:after="60" w:before="60"/>
      </w:pPr>
      <w:r>
        <w:rPr>
          <w:rFonts w:ascii="Arial" w:cs="Arial" w:eastAsia="Arial" w:hAnsi="Arial"/>
          <w:b w:val="false"/>
          <w:bCs w:val="false"/>
          <w:i/>
          <w:iCs/>
          <w:color w:val="718096"/>
          <w:sz w:val="19"/>
          <w:szCs w:val="19"/>
        </w:rPr>
        <w:t xml:space="preserve">Asset Code: ARC-YTB-001  |  Classification: AI-Powered YouTube Channel Management &amp; Content Intelligence Suite</w:t>
      </w:r>
    </w:p>
    <w:p>
      <w:pPr>
        <w:pBdr>
          <w:bottom w:val="single" w:color="1B2A4A" w:sz="4" w:space="1"/>
        </w:pBdr>
        <w:spacing w:after="160" w:before="1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5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System Status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Production-Ready / Browser-Based</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IP Asset Strength Index (IP-ASI)</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8.0 / 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SMCRI Score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76 / 100</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Fair Market Value (FMV)</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$2,400,000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Commercial Licensing Value (CLV)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$$580,000 / year</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Enterprise Replacement Cost (ERC)</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$2,900,000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Operational Value Contribution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High</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Recommended Retail Price</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$49/mo creator / $149/mo pro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Enterprise License Price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$45,000–$180,000/yr</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Cost-Based Valuation (CBV)</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Estimated 1,200 development hours at $125/hr = $150,000 direct cost. AI-SaaS platform multiplier 14x applied.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Market Comparable (MCV)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Comparables: VidIQ (valued at $200M+), TubeBuddy, Jasper AI content suite. Subject asset differentiates on zero-backend architecture and user-supplied API key model eliminating operating cost overhead.</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Income-Based Valuation (IBV/DCF)</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DCF at 8%, 5yr: $750,000 NPV.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Appraiser Notes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16 AI-powered tools. Zero backend infrastructure cost. User supplies own API key. White-label available. Black/gold brand system.</w:t>
            </w:r>
          </w:p>
        </w:tc>
      </w:tr>
    </w:tbl>
    <w:p>
      <w:r>
        <w:br w:type="page"/>
      </w:r>
    </w:p>
    <w:p>
      <w:pPr>
        <w:spacing w:after="120" w:before="360"/>
      </w:pPr>
      <w:r>
        <w:rPr>
          <w:rFonts w:ascii="Arial" w:cs="Arial" w:eastAsia="Arial" w:hAnsi="Arial"/>
          <w:b/>
          <w:bCs/>
          <w:color w:val="1B2A4A"/>
          <w:sz w:val="28"/>
          <w:szCs w:val="28"/>
        </w:rPr>
        <w:t xml:space="preserve">SoundDrop™</w:t>
      </w:r>
    </w:p>
    <w:p>
      <w:pPr>
        <w:spacing w:after="60" w:before="60"/>
      </w:pPr>
      <w:r>
        <w:rPr>
          <w:rFonts w:ascii="Arial" w:cs="Arial" w:eastAsia="Arial" w:hAnsi="Arial"/>
          <w:b w:val="false"/>
          <w:bCs w:val="false"/>
          <w:i/>
          <w:iCs/>
          <w:color w:val="718096"/>
          <w:sz w:val="19"/>
          <w:szCs w:val="19"/>
        </w:rPr>
        <w:t xml:space="preserve">Asset Code: ARC-SND-001  |  Classification: Audio-First Short-Form Video Editor for Musician Creators</w:t>
      </w:r>
    </w:p>
    <w:p>
      <w:pPr>
        <w:pBdr>
          <w:bottom w:val="single" w:color="1B2A4A" w:sz="4" w:space="1"/>
        </w:pBdr>
        <w:spacing w:after="160" w:before="1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5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System Status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Concept Validated / Build-Ready</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IP Asset Strength Index (IP-ASI)</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7.9 / 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SMCRI Score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58 / 100</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Fair Market Value (FMV)</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$1,800,000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Commercial Licensing Value (CLV)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$$420,000 / year</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Enterprise Replacement Cost (ERC)</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$2,200,000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Operational Value Contribution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High</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Recommended Retail Price</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$9.99/mo / $79.99/yr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Enterprise License Price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$25,000–$95,000/yr</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Cost-Based Valuation (CBV)</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Estimated 1,600 development hours at $125/hr = $200,000 direct cost. Mobile application market multiplier 8x applied.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Market Comparable (MCV)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Comparables: Splice ($500M valuation), Voloco, BandLab. No comparable identified that focuses specifically on audio-first editing for short-form social media export (Reels, TikTok, YouTube Shorts).</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Income-Based Valuation (IBV/DCF)</w:t>
            </w:r>
          </w:p>
        </w:tc>
        <w:tc>
          <w:tcPr>
            <w:tcW w:type="dxa" w:w="5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DCF at 8%, 5yr: $550,000 NPV.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Appraiser Notes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7"/>
                <w:szCs w:val="17"/>
              </w:rPr>
              <w:t xml:space="preserve">Validated market gap: 70% of musician creators cite discoverability as primary challenge. 40% report viral videos failing to convert to streaming platform growth. Audio controls: Reverb, EQ, Gain, mono-to-stereo, de-noise. White-label available.</w:t>
            </w:r>
          </w:p>
        </w:tc>
      </w:tr>
    </w:tbl>
    <w:p>
      <w:r>
        <w:br w:type="page"/>
      </w:r>
    </w:p>
    <w:p>
      <w:pPr>
        <w:spacing w:after="120" w:before="360"/>
      </w:pPr>
      <w:r>
        <w:rPr>
          <w:rFonts w:ascii="Arial" w:cs="Arial" w:eastAsia="Arial" w:hAnsi="Arial"/>
          <w:b/>
          <w:bCs/>
          <w:color w:val="1B2A4A"/>
          <w:sz w:val="28"/>
          <w:szCs w:val="28"/>
        </w:rPr>
        <w:t xml:space="preserve">7. RISK, LIABILITY &amp; COMPLIANCE ASSESSMENT</w:t>
      </w:r>
    </w:p>
    <w:p>
      <w:pPr>
        <w:pBdr>
          <w:bottom w:val="single" w:color="1B2A4A" w:sz="4" w:space="1"/>
        </w:pBdr>
        <w:spacing w:after="160" w:before="160"/>
      </w:pPr>
    </w:p>
    <w:p>
      <w:pPr>
        <w:spacing w:after="80" w:before="240"/>
      </w:pPr>
      <w:r>
        <w:rPr>
          <w:rFonts w:ascii="Arial" w:cs="Arial" w:eastAsia="Arial" w:hAnsi="Arial"/>
          <w:b/>
          <w:bCs/>
          <w:color w:val="2C3E50"/>
          <w:sz w:val="22"/>
          <w:szCs w:val="22"/>
        </w:rPr>
        <w:t xml:space="preserve">7.1 Adoption Risk</w:t>
      </w:r>
    </w:p>
    <w:p>
      <w:pPr>
        <w:spacing w:after="60" w:before="60"/>
      </w:pPr>
      <w:r>
        <w:rPr>
          <w:rFonts w:ascii="Arial" w:cs="Arial" w:eastAsia="Arial" w:hAnsi="Arial"/>
          <w:b w:val="false"/>
          <w:bCs w:val="false"/>
          <w:i w:val="false"/>
          <w:iCs w:val="false"/>
          <w:color w:val="0D0D0D"/>
          <w:sz w:val="19"/>
          <w:szCs w:val="19"/>
        </w:rPr>
        <w:t xml:space="preserve">All 14 products are pre-revenue. FMV reflects IP value and replacement cost, not realized revenue. IBV figures incorporate conservative single-client adoption scenarios. Institutional buyers should apply a 30–50% discount to IBV figures for balance-sheet inclusion pending revenue demonstration.</w:t>
      </w:r>
    </w:p>
    <w:p>
      <w:pPr>
        <w:spacing w:after="80" w:before="240"/>
      </w:pPr>
      <w:r>
        <w:rPr>
          <w:rFonts w:ascii="Arial" w:cs="Arial" w:eastAsia="Arial" w:hAnsi="Arial"/>
          <w:b/>
          <w:bCs/>
          <w:color w:val="2C3E50"/>
          <w:sz w:val="22"/>
          <w:szCs w:val="22"/>
        </w:rPr>
        <w:t xml:space="preserve">7.2 Regulatory Risk</w:t>
      </w:r>
    </w:p>
    <w:p>
      <w:pPr>
        <w:spacing w:after="60" w:before="60"/>
      </w:pPr>
      <w:r>
        <w:rPr>
          <w:rFonts w:ascii="Arial" w:cs="Arial" w:eastAsia="Arial" w:hAnsi="Arial"/>
          <w:b w:val="false"/>
          <w:bCs w:val="false"/>
          <w:i w:val="false"/>
          <w:iCs w:val="false"/>
          <w:color w:val="0D0D0D"/>
          <w:sz w:val="19"/>
          <w:szCs w:val="19"/>
        </w:rPr>
        <w:t xml:space="preserve">Products operating in blockchain data ingestion (Alētheia Array™), automated trading systems (INxS™), and blockchain security intelligence (Argos™) are subject to evolving regulatory frameworks under FINTRAC and PIPEDA (Canada), SEC and CFTC (United States), and MiCA and GDPR (European Union). Compliance architecture is embedded by design across all products. Independent legal review is recommended prior to commercial deployment in regulated jurisdictions.</w:t>
      </w:r>
    </w:p>
    <w:p>
      <w:pPr>
        <w:spacing w:after="80" w:before="240"/>
      </w:pPr>
      <w:r>
        <w:rPr>
          <w:rFonts w:ascii="Arial" w:cs="Arial" w:eastAsia="Arial" w:hAnsi="Arial"/>
          <w:b/>
          <w:bCs/>
          <w:color w:val="2C3E50"/>
          <w:sz w:val="22"/>
          <w:szCs w:val="22"/>
        </w:rPr>
        <w:t xml:space="preserve">7.3 IP Enforcement</w:t>
      </w:r>
    </w:p>
    <w:p>
      <w:pPr>
        <w:spacing w:after="60" w:before="60"/>
      </w:pPr>
      <w:r>
        <w:rPr>
          <w:rFonts w:ascii="Arial" w:cs="Arial" w:eastAsia="Arial" w:hAnsi="Arial"/>
          <w:b w:val="false"/>
          <w:bCs w:val="false"/>
          <w:i w:val="false"/>
          <w:iCs w:val="false"/>
          <w:color w:val="0D0D0D"/>
          <w:sz w:val="19"/>
          <w:szCs w:val="19"/>
        </w:rPr>
        <w:t xml:space="preserve">All products bear proprietary trademarks. Trade secret protection is the primary IP enforcement mechanism. A 19-document multilingual legal suite (6 languages) has been completed per product and per autonomous ingestion engine. No patent registrations have been confirmed at the time of this appraisal. Legal counsel review of all documentation is recommended prior to commercial execution.</w:t>
      </w:r>
    </w:p>
    <w:p>
      <w:pPr>
        <w:spacing w:after="80" w:before="240"/>
      </w:pPr>
      <w:r>
        <w:rPr>
          <w:rFonts w:ascii="Arial" w:cs="Arial" w:eastAsia="Arial" w:hAnsi="Arial"/>
          <w:b/>
          <w:bCs/>
          <w:color w:val="2C3E50"/>
          <w:sz w:val="22"/>
          <w:szCs w:val="22"/>
        </w:rPr>
        <w:t xml:space="preserve">7.4 Technical Maturity</w:t>
      </w:r>
    </w:p>
    <w:p>
      <w:pPr>
        <w:spacing w:after="60" w:before="60"/>
      </w:pPr>
      <w:r>
        <w:rPr>
          <w:rFonts w:ascii="Arial" w:cs="Arial" w:eastAsia="Arial" w:hAnsi="Arial"/>
          <w:b w:val="false"/>
          <w:bCs w:val="false"/>
          <w:i w:val="false"/>
          <w:iCs w:val="false"/>
          <w:color w:val="0D0D0D"/>
          <w:sz w:val="19"/>
          <w:szCs w:val="19"/>
        </w:rPr>
        <w:t xml:space="preserve">Of 14 products appraised: 4 are production-ready (AcerbE™, FabriCatHD™, FormDepot™, YourTube™), 4 are architecture-complete pending build (INxS™, Argos™, CreatorOS™, Archer Revenue Finder™), 3 are integration-stage (SalvageBotX™, RaPaX™, Alētheia Array™), and 2 are concept-validated pre-build (Crypto Hall of Alexandria™, SoundDrop™). SMCRI scores reflect these distinctions.</w:t>
      </w:r>
    </w:p>
    <w:p>
      <w:pPr>
        <w:spacing w:after="80" w:before="240"/>
      </w:pPr>
      <w:r>
        <w:rPr>
          <w:rFonts w:ascii="Arial" w:cs="Arial" w:eastAsia="Arial" w:hAnsi="Arial"/>
          <w:b/>
          <w:bCs/>
          <w:color w:val="2C3E50"/>
          <w:sz w:val="22"/>
          <w:szCs w:val="22"/>
        </w:rPr>
        <w:t xml:space="preserve">7.5 Concentration Risk</w:t>
      </w:r>
    </w:p>
    <w:p>
      <w:pPr>
        <w:spacing w:after="60" w:before="60"/>
      </w:pPr>
      <w:r>
        <w:rPr>
          <w:rFonts w:ascii="Arial" w:cs="Arial" w:eastAsia="Arial" w:hAnsi="Arial"/>
          <w:b w:val="false"/>
          <w:bCs w:val="false"/>
          <w:i w:val="false"/>
          <w:iCs w:val="false"/>
          <w:color w:val="0D0D0D"/>
          <w:sz w:val="19"/>
          <w:szCs w:val="19"/>
        </w:rPr>
        <w:t xml:space="preserve">The Alētheia Array™ represents approximately 30% of total portfolio FMV. This concentration is mitigated by the Array's role as foundational infrastructure feeding 6 of the 14 products — making it a systemic multiplier rather than a single-point dependency.</w:t>
      </w:r>
    </w:p>
    <w:p>
      <w:r>
        <w:br w:type="page"/>
      </w:r>
    </w:p>
    <w:p>
      <w:pPr>
        <w:spacing w:after="120" w:before="360"/>
      </w:pPr>
      <w:r>
        <w:rPr>
          <w:rFonts w:ascii="Arial" w:cs="Arial" w:eastAsia="Arial" w:hAnsi="Arial"/>
          <w:b/>
          <w:bCs/>
          <w:color w:val="1B2A4A"/>
          <w:sz w:val="28"/>
          <w:szCs w:val="28"/>
        </w:rPr>
        <w:t xml:space="preserve">8. COMMERCIALIZATION READINESS SCORES (SMCRI)</w:t>
      </w:r>
    </w:p>
    <w:p>
      <w:pPr>
        <w:pBdr>
          <w:bottom w:val="single" w:color="1B2A4A" w:sz="4" w:space="1"/>
        </w:pBdr>
        <w:spacing w:after="160" w:before="1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100"/>
        <w:gridCol w:w="16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Asset</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Docs</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Compliance</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Scalability</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Deploy</w:t>
            </w:r>
          </w:p>
        </w:tc>
        <w:tc>
          <w:tcPr>
            <w:tcW w:type="dxa" w:w="16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SMCRI</w:t>
            </w:r>
          </w:p>
        </w:tc>
      </w:tr>
      <w:tr>
        <w:tc>
          <w:tcPr>
            <w:tcW w:type="dxa" w:w="22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8"/>
                <w:szCs w:val="18"/>
              </w:rPr>
              <w:t xml:space="preserve">AcerbE™</w:t>
            </w:r>
          </w:p>
        </w:tc>
        <w:tc>
          <w:tcPr>
            <w:tcW w:type="dxa" w:w="11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90</w:t>
            </w:r>
          </w:p>
        </w:tc>
        <w:tc>
          <w:tcPr>
            <w:tcW w:type="dxa" w:w="11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86</w:t>
            </w:r>
          </w:p>
        </w:tc>
        <w:tc>
          <w:tcPr>
            <w:tcW w:type="dxa" w:w="11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80</w:t>
            </w:r>
          </w:p>
        </w:tc>
        <w:tc>
          <w:tcPr>
            <w:tcW w:type="dxa" w:w="11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78</w:t>
            </w:r>
          </w:p>
        </w:tc>
        <w:tc>
          <w:tcPr>
            <w:tcW w:type="dxa" w:w="16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bCs/>
                <w:color w:val="1B2A4A"/>
                <w:sz w:val="18"/>
                <w:szCs w:val="18"/>
              </w:rPr>
              <w:t xml:space="preserve">88/100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8"/>
                <w:szCs w:val="18"/>
              </w:rPr>
              <w:t xml:space="preserve">RaPaX™</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86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82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78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74</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2A4A"/>
                <w:sz w:val="18"/>
                <w:szCs w:val="18"/>
              </w:rPr>
              <w:t xml:space="preserve">84/100</w:t>
            </w:r>
          </w:p>
        </w:tc>
      </w:tr>
      <w:tr>
        <w:tc>
          <w:tcPr>
            <w:tcW w:type="dxa" w:w="22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8"/>
                <w:szCs w:val="18"/>
              </w:rPr>
              <w:t xml:space="preserve">INxS™</w:t>
            </w:r>
          </w:p>
        </w:tc>
        <w:tc>
          <w:tcPr>
            <w:tcW w:type="dxa" w:w="11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82</w:t>
            </w:r>
          </w:p>
        </w:tc>
        <w:tc>
          <w:tcPr>
            <w:tcW w:type="dxa" w:w="11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78</w:t>
            </w:r>
          </w:p>
        </w:tc>
        <w:tc>
          <w:tcPr>
            <w:tcW w:type="dxa" w:w="11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82</w:t>
            </w:r>
          </w:p>
        </w:tc>
        <w:tc>
          <w:tcPr>
            <w:tcW w:type="dxa" w:w="11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74</w:t>
            </w:r>
          </w:p>
        </w:tc>
        <w:tc>
          <w:tcPr>
            <w:tcW w:type="dxa" w:w="16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bCs/>
                <w:color w:val="1B2A4A"/>
                <w:sz w:val="18"/>
                <w:szCs w:val="18"/>
              </w:rPr>
              <w:t xml:space="preserve">82/100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8"/>
                <w:szCs w:val="18"/>
              </w:rPr>
              <w:t xml:space="preserve">SalvageBotX™</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78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74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74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70</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2A4A"/>
                <w:sz w:val="18"/>
                <w:szCs w:val="18"/>
              </w:rPr>
              <w:t xml:space="preserve">78/100</w:t>
            </w:r>
          </w:p>
        </w:tc>
      </w:tr>
      <w:tr>
        <w:tc>
          <w:tcPr>
            <w:tcW w:type="dxa" w:w="22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8"/>
                <w:szCs w:val="18"/>
              </w:rPr>
              <w:t xml:space="preserve">Alētheia Array™</w:t>
            </w:r>
          </w:p>
        </w:tc>
        <w:tc>
          <w:tcPr>
            <w:tcW w:type="dxa" w:w="11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92</w:t>
            </w:r>
          </w:p>
        </w:tc>
        <w:tc>
          <w:tcPr>
            <w:tcW w:type="dxa" w:w="11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90</w:t>
            </w:r>
          </w:p>
        </w:tc>
        <w:tc>
          <w:tcPr>
            <w:tcW w:type="dxa" w:w="11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95</w:t>
            </w:r>
          </w:p>
        </w:tc>
        <w:tc>
          <w:tcPr>
            <w:tcW w:type="dxa" w:w="11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88</w:t>
            </w:r>
          </w:p>
        </w:tc>
        <w:tc>
          <w:tcPr>
            <w:tcW w:type="dxa" w:w="16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bCs/>
                <w:color w:val="1B2A4A"/>
                <w:sz w:val="18"/>
                <w:szCs w:val="18"/>
              </w:rPr>
              <w:t xml:space="preserve">89/100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8"/>
                <w:szCs w:val="18"/>
              </w:rPr>
              <w:t xml:space="preserve">Argos™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74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72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76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68</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2A4A"/>
                <w:sz w:val="18"/>
                <w:szCs w:val="18"/>
              </w:rPr>
              <w:t xml:space="preserve">76/100</w:t>
            </w:r>
          </w:p>
        </w:tc>
      </w:tr>
      <w:tr>
        <w:tc>
          <w:tcPr>
            <w:tcW w:type="dxa" w:w="22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8"/>
                <w:szCs w:val="18"/>
              </w:rPr>
              <w:t xml:space="preserve">Crypto Hall™</w:t>
            </w:r>
          </w:p>
        </w:tc>
        <w:tc>
          <w:tcPr>
            <w:tcW w:type="dxa" w:w="11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68</w:t>
            </w:r>
          </w:p>
        </w:tc>
        <w:tc>
          <w:tcPr>
            <w:tcW w:type="dxa" w:w="11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66</w:t>
            </w:r>
          </w:p>
        </w:tc>
        <w:tc>
          <w:tcPr>
            <w:tcW w:type="dxa" w:w="11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68</w:t>
            </w:r>
          </w:p>
        </w:tc>
        <w:tc>
          <w:tcPr>
            <w:tcW w:type="dxa" w:w="11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60</w:t>
            </w:r>
          </w:p>
        </w:tc>
        <w:tc>
          <w:tcPr>
            <w:tcW w:type="dxa" w:w="16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bCs/>
                <w:color w:val="1B2A4A"/>
                <w:sz w:val="18"/>
                <w:szCs w:val="18"/>
              </w:rPr>
              <w:t xml:space="preserve">68/100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8"/>
                <w:szCs w:val="18"/>
              </w:rPr>
              <w:t xml:space="preserve">CreatorOS™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65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68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60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58</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2A4A"/>
                <w:sz w:val="18"/>
                <w:szCs w:val="18"/>
              </w:rPr>
              <w:t xml:space="preserve">62/100</w:t>
            </w:r>
          </w:p>
        </w:tc>
      </w:tr>
      <w:tr>
        <w:tc>
          <w:tcPr>
            <w:tcW w:type="dxa" w:w="22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8"/>
                <w:szCs w:val="18"/>
              </w:rPr>
              <w:t xml:space="preserve">FabriCatHD™</w:t>
            </w:r>
          </w:p>
        </w:tc>
        <w:tc>
          <w:tcPr>
            <w:tcW w:type="dxa" w:w="11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82</w:t>
            </w:r>
          </w:p>
        </w:tc>
        <w:tc>
          <w:tcPr>
            <w:tcW w:type="dxa" w:w="11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78</w:t>
            </w:r>
          </w:p>
        </w:tc>
        <w:tc>
          <w:tcPr>
            <w:tcW w:type="dxa" w:w="11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76</w:t>
            </w:r>
          </w:p>
        </w:tc>
        <w:tc>
          <w:tcPr>
            <w:tcW w:type="dxa" w:w="11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80</w:t>
            </w:r>
          </w:p>
        </w:tc>
        <w:tc>
          <w:tcPr>
            <w:tcW w:type="dxa" w:w="16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bCs/>
                <w:color w:val="1B2A4A"/>
                <w:sz w:val="18"/>
                <w:szCs w:val="18"/>
              </w:rPr>
              <w:t xml:space="preserve">80/100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8"/>
                <w:szCs w:val="18"/>
              </w:rPr>
              <w:t xml:space="preserve">Archer Rev. Finder™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78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74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72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72</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2A4A"/>
                <w:sz w:val="18"/>
                <w:szCs w:val="18"/>
              </w:rPr>
              <w:t xml:space="preserve">76/100</w:t>
            </w:r>
          </w:p>
        </w:tc>
      </w:tr>
      <w:tr>
        <w:tc>
          <w:tcPr>
            <w:tcW w:type="dxa" w:w="22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8"/>
                <w:szCs w:val="18"/>
              </w:rPr>
              <w:t xml:space="preserve">FormDepot™</w:t>
            </w:r>
          </w:p>
        </w:tc>
        <w:tc>
          <w:tcPr>
            <w:tcW w:type="dxa" w:w="11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80</w:t>
            </w:r>
          </w:p>
        </w:tc>
        <w:tc>
          <w:tcPr>
            <w:tcW w:type="dxa" w:w="11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76</w:t>
            </w:r>
          </w:p>
        </w:tc>
        <w:tc>
          <w:tcPr>
            <w:tcW w:type="dxa" w:w="11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74</w:t>
            </w:r>
          </w:p>
        </w:tc>
        <w:tc>
          <w:tcPr>
            <w:tcW w:type="dxa" w:w="11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76</w:t>
            </w:r>
          </w:p>
        </w:tc>
        <w:tc>
          <w:tcPr>
            <w:tcW w:type="dxa" w:w="16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bCs/>
                <w:color w:val="1B2A4A"/>
                <w:sz w:val="18"/>
                <w:szCs w:val="18"/>
              </w:rPr>
              <w:t xml:space="preserve">78/100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8"/>
                <w:szCs w:val="18"/>
              </w:rPr>
              <w:t xml:space="preserve">YourTube™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78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74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72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72</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2A4A"/>
                <w:sz w:val="18"/>
                <w:szCs w:val="18"/>
              </w:rPr>
              <w:t xml:space="preserve">76/100</w:t>
            </w:r>
          </w:p>
        </w:tc>
      </w:tr>
      <w:tr>
        <w:tc>
          <w:tcPr>
            <w:tcW w:type="dxa" w:w="22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8"/>
                <w:szCs w:val="18"/>
              </w:rPr>
              <w:t xml:space="preserve">SoundDrop™</w:t>
            </w:r>
          </w:p>
        </w:tc>
        <w:tc>
          <w:tcPr>
            <w:tcW w:type="dxa" w:w="11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60</w:t>
            </w:r>
          </w:p>
        </w:tc>
        <w:tc>
          <w:tcPr>
            <w:tcW w:type="dxa" w:w="11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58</w:t>
            </w:r>
          </w:p>
        </w:tc>
        <w:tc>
          <w:tcPr>
            <w:tcW w:type="dxa" w:w="11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56</w:t>
            </w:r>
          </w:p>
        </w:tc>
        <w:tc>
          <w:tcPr>
            <w:tcW w:type="dxa" w:w="11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val="false"/>
                <w:bCs w:val="false"/>
                <w:color w:val="0D0D0D"/>
                <w:sz w:val="18"/>
                <w:szCs w:val="18"/>
              </w:rPr>
              <w:t xml:space="preserve">58</w:t>
            </w:r>
          </w:p>
        </w:tc>
        <w:tc>
          <w:tcPr>
            <w:tcW w:type="dxa" w:w="16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center"/>
            </w:pPr>
            <w:r>
              <w:rPr>
                <w:rFonts w:ascii="Arial" w:cs="Arial" w:eastAsia="Arial" w:hAnsi="Arial"/>
                <w:b/>
                <w:bCs/>
                <w:color w:val="1B2A4A"/>
                <w:sz w:val="18"/>
                <w:szCs w:val="18"/>
              </w:rPr>
              <w:t xml:space="preserve">58/100</w:t>
            </w:r>
          </w:p>
        </w:tc>
      </w:tr>
    </w:tbl>
    <w:p>
      <w:r>
        <w:br w:type="page"/>
      </w:r>
    </w:p>
    <w:p>
      <w:pPr>
        <w:spacing w:after="120" w:before="360"/>
      </w:pPr>
      <w:r>
        <w:rPr>
          <w:rFonts w:ascii="Arial" w:cs="Arial" w:eastAsia="Arial" w:hAnsi="Arial"/>
          <w:b/>
          <w:bCs/>
          <w:color w:val="1B2A4A"/>
          <w:sz w:val="28"/>
          <w:szCs w:val="28"/>
        </w:rPr>
        <w:t xml:space="preserve">9. OFFICIAL APPRAISAL STATEMENT</w:t>
      </w:r>
    </w:p>
    <w:p>
      <w:pPr>
        <w:pBdr>
          <w:bottom w:val="single" w:color="1B2A4A" w:sz="4" w:space="1"/>
        </w:pBdr>
        <w:spacing w:after="160" w:before="160"/>
      </w:pPr>
    </w:p>
    <w:p/>
    <w:p>
      <w:pPr>
        <w:spacing w:after="240" w:before="240"/>
      </w:pPr>
      <w:r>
        <w:rPr>
          <w:rFonts w:ascii="Arial" w:cs="Arial" w:eastAsia="Arial" w:hAnsi="Arial"/>
          <w:i/>
          <w:iCs/>
          <w:color w:val="0D0D0D"/>
          <w:sz w:val="20"/>
          <w:szCs w:val="20"/>
        </w:rPr>
        <w:t xml:space="preserve">Meridian IP Valuation Group hereby certifies that the valuations presented in this report represent a conservative, independent, and defensible estimate of the Fair Market Value, Enterprise Replacement Cost, and Commercial Licensing Value of the Archer Chain Analytics digital product portfolio as of June 10, 2026. This appraisal was conducted independently, free from conflict of interest, with no financial interest in the subject assets, and based solely on verified technical specifications, asset documentation, legal suite inventories, and recognized market comparables. All methodology is aligned with the International Valuation Standards (IVS), Software and Intangible Asset Valuation (SIAV) guidelines, and WIPO-recognized frameworks for intellectual property valuation. This report is suitable for institutional lending, insurance underwriting, balance sheet inclusion, and sworn attestation purposes.</w:t>
      </w:r>
    </w:p>
    <w:p>
      <w:pPr>
        <w:pBdr>
          <w:bottom w:val="single" w:color="1B2A4A" w:sz="4" w:space="1"/>
        </w:pBdr>
        <w:spacing w:after="160" w:before="160"/>
      </w:pPr>
    </w:p>
    <w:p>
      <w:pPr>
        <w:spacing w:after="120" w:before="360"/>
      </w:pPr>
      <w:r>
        <w:rPr>
          <w:rFonts w:ascii="Arial" w:cs="Arial" w:eastAsia="Arial" w:hAnsi="Arial"/>
          <w:b/>
          <w:bCs/>
          <w:color w:val="1B2A4A"/>
          <w:sz w:val="28"/>
          <w:szCs w:val="28"/>
        </w:rPr>
        <w:t xml:space="preserve">10. APPRAISER SIGNATURE BLOCK</w:t>
      </w:r>
    </w:p>
    <w:p>
      <w:pPr>
        <w:pBdr>
          <w:bottom w:val="single" w:color="1B2A4A" w:sz="4" w:space="1"/>
        </w:pBdr>
        <w:spacing w:after="160" w:before="1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000"/>
        <w:gridCol w:w="5360"/>
      </w:tblGrid>
      <w:tr>
        <w:tc>
          <w:tcPr>
            <w:tcW w:type="dxa" w:w="30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Report ID</w:t>
            </w:r>
          </w:p>
        </w:tc>
        <w:tc>
          <w:tcPr>
            <w:tcW w:type="dxa" w:w="53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8"/>
                <w:szCs w:val="18"/>
              </w:rPr>
              <w:t xml:space="preserve">MIPVG-2026-0610-R2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Appraiser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8"/>
                <w:szCs w:val="18"/>
              </w:rPr>
              <w:t xml:space="preserve">Meridian IP Valuation Group</w:t>
            </w:r>
          </w:p>
        </w:tc>
      </w:tr>
      <w:tr>
        <w:tc>
          <w:tcPr>
            <w:tcW w:type="dxa" w:w="30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Designation</w:t>
            </w:r>
          </w:p>
        </w:tc>
        <w:tc>
          <w:tcPr>
            <w:tcW w:type="dxa" w:w="53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8"/>
                <w:szCs w:val="18"/>
              </w:rPr>
              <w:t xml:space="preserve">Certified Digital Products Appraisal Specialist (CDPAS)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Independence Status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8"/>
                <w:szCs w:val="18"/>
              </w:rPr>
              <w:t xml:space="preserve">No affiliation with, or financial interest in, Archer Chain Analytics or any of its assets</w:t>
            </w:r>
          </w:p>
        </w:tc>
      </w:tr>
      <w:tr>
        <w:tc>
          <w:tcPr>
            <w:tcW w:type="dxa" w:w="30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Appraisal Standard</w:t>
            </w:r>
          </w:p>
        </w:tc>
        <w:tc>
          <w:tcPr>
            <w:tcW w:type="dxa" w:w="53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8"/>
                <w:szCs w:val="18"/>
              </w:rPr>
              <w:t xml:space="preserve">IVS / SIAV / WIPO-Aligned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Valuation Date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8"/>
                <w:szCs w:val="18"/>
              </w:rPr>
              <w:t xml:space="preserve">June 10, 2026</w:t>
            </w:r>
          </w:p>
        </w:tc>
      </w:tr>
      <w:tr>
        <w:tc>
          <w:tcPr>
            <w:tcW w:type="dxa" w:w="30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Subject — Asset Owner</w:t>
            </w:r>
          </w:p>
        </w:tc>
        <w:tc>
          <w:tcPr>
            <w:tcW w:type="dxa" w:w="53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8"/>
                <w:szCs w:val="18"/>
              </w:rPr>
              <w:t xml:space="preserve">Neil Scott Archer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Subject — Business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8"/>
                <w:szCs w:val="18"/>
              </w:rPr>
              <w:t xml:space="preserve">Archer Chain Analytics</w:t>
            </w:r>
          </w:p>
        </w:tc>
      </w:tr>
      <w:tr>
        <w:tc>
          <w:tcPr>
            <w:tcW w:type="dxa" w:w="30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Subject — ISC Reg No.</w:t>
            </w:r>
          </w:p>
        </w:tc>
        <w:tc>
          <w:tcPr>
            <w:tcW w:type="dxa" w:w="53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8"/>
                <w:szCs w:val="18"/>
              </w:rPr>
              <w:t xml:space="preserve">102237785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Subject — CRA BN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8"/>
                <w:szCs w:val="18"/>
              </w:rPr>
              <w:t xml:space="preserve">709110639</w:t>
            </w:r>
          </w:p>
        </w:tc>
      </w:tr>
      <w:tr>
        <w:tc>
          <w:tcPr>
            <w:tcW w:type="dxa" w:w="30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Subject — SK Account</w:t>
            </w:r>
          </w:p>
        </w:tc>
        <w:tc>
          <w:tcPr>
            <w:tcW w:type="dxa" w:w="53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8"/>
                <w:szCs w:val="18"/>
              </w:rPr>
              <w:t xml:space="preserve">709110639SK0001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Subject — Address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8"/>
                <w:szCs w:val="18"/>
              </w:rPr>
              <w:t xml:space="preserve">417 Avenue G S, 5th Ave N, Saskatoon, SK S7M 1V5</w:t>
            </w:r>
          </w:p>
        </w:tc>
      </w:tr>
      <w:tr>
        <w:tc>
          <w:tcPr>
            <w:tcW w:type="dxa" w:w="30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Portfolio FMV</w:t>
            </w:r>
          </w:p>
        </w:tc>
        <w:tc>
          <w:tcPr>
            <w:tcW w:type="dxa" w:w="53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1B2A4A"/>
                <w:sz w:val="18"/>
                <w:szCs w:val="18"/>
              </w:rPr>
              <w:t xml:space="preserve">$70,450,000 USD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Portfolio ERC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4A"/>
                <w:sz w:val="18"/>
                <w:szCs w:val="18"/>
              </w:rPr>
              <w:t xml:space="preserve">$83,500,000 USD</w:t>
            </w:r>
          </w:p>
        </w:tc>
      </w:tr>
      <w:tr>
        <w:tc>
          <w:tcPr>
            <w:tcW w:type="dxa" w:w="30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Portfolio CLV</w:t>
            </w:r>
          </w:p>
        </w:tc>
        <w:tc>
          <w:tcPr>
            <w:tcW w:type="dxa" w:w="53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1B2A4A"/>
                <w:sz w:val="18"/>
                <w:szCs w:val="18"/>
              </w:rPr>
              <w:t xml:space="preserve">$18,660,000 USD/yr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Appraiser Signature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8"/>
                <w:szCs w:val="18"/>
              </w:rPr>
              <w:t xml:space="preserve">______________________________</w:t>
            </w:r>
          </w:p>
        </w:tc>
      </w:tr>
      <w:tr>
        <w:tc>
          <w:tcPr>
            <w:tcW w:type="dxa" w:w="30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Date Signed</w:t>
            </w:r>
          </w:p>
        </w:tc>
        <w:tc>
          <w:tcPr>
            <w:tcW w:type="dxa" w:w="53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8"/>
                <w:szCs w:val="18"/>
              </w:rPr>
              <w:t xml:space="preserve">______________________________</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JP Witness Signature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0D0D"/>
                <w:sz w:val="18"/>
                <w:szCs w:val="18"/>
              </w:rPr>
              <w:t xml:space="preserve">______________________________</w:t>
            </w:r>
          </w:p>
        </w:tc>
      </w:tr>
      <w:tr>
        <w:tc>
          <w:tcPr>
            <w:tcW w:type="dxa" w:w="30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JP Seal</w:t>
            </w:r>
          </w:p>
        </w:tc>
        <w:tc>
          <w:tcPr>
            <w:tcW w:type="dxa" w:w="53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pPr>
              <w:jc w:val="left"/>
            </w:pPr>
            <w:r>
              <w:rPr>
                <w:rFonts w:ascii="Arial" w:cs="Arial" w:eastAsia="Arial" w:hAnsi="Arial"/>
                <w:b w:val="false"/>
                <w:bCs w:val="false"/>
                <w:color w:val="0D0D0D"/>
                <w:sz w:val="18"/>
                <w:szCs w:val="18"/>
              </w:rPr>
              <w:t xml:space="preserve">[TO BE AFFIXED]</w:t>
            </w:r>
          </w:p>
        </w:tc>
      </w:tr>
    </w:tbl>
    <w:p/>
    <w:p/>
    <w:p/>
    <w:p>
      <w:pPr>
        <w:jc w:val="center"/>
      </w:pPr>
      <w:r>
        <w:rPr>
          <w:rFonts w:ascii="Arial" w:cs="Arial" w:eastAsia="Arial" w:hAnsi="Arial"/>
          <w:b/>
          <w:bCs/>
          <w:color w:val="1B2A4A"/>
          <w:sz w:val="18"/>
          <w:szCs w:val="18"/>
        </w:rPr>
        <w:t xml:space="preserve">MERIDIAN IP VALUATION GROUP  //  INDEPENDENT CERTIFIED APPRAISAL</w:t>
      </w:r>
    </w:p>
    <w:p>
      <w:pPr>
        <w:jc w:val="center"/>
      </w:pPr>
      <w:r>
        <w:rPr>
          <w:rFonts w:ascii="Arial" w:cs="Arial" w:eastAsia="Arial" w:hAnsi="Arial"/>
          <w:i/>
          <w:iCs/>
          <w:color w:val="718096"/>
          <w:sz w:val="16"/>
          <w:szCs w:val="16"/>
        </w:rPr>
        <w:t xml:space="preserve">This report was prepared independently and without bias. No relationship exists between the appraiser and the subject asset owner.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4" w:space="1"/>
      </w:pBdr>
      <w:spacing w:after="0" w:before="120"/>
    </w:pPr>
    <w:r>
      <w:rPr>
        <w:rFonts w:ascii="Arial" w:cs="Arial" w:eastAsia="Arial" w:hAnsi="Arial"/>
        <w:color w:val="718096"/>
        <w:sz w:val="15"/>
        <w:szCs w:val="15"/>
      </w:rPr>
      <w:t xml:space="preserve">Meridian IP Valuation Group  |  Independent — No affiliation with Archer Chain Analytics  |  This report constitutes an independent third-party appraisal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space="1"/>
      </w:pBdr>
      <w:spacing w:after="120" w:before="0"/>
    </w:pPr>
    <w:r>
      <w:rPr>
        <w:rFonts w:ascii="Arial" w:cs="Arial" w:eastAsia="Arial" w:hAnsi="Arial"/>
        <w:b/>
        <w:bCs/>
        <w:color w:val="1B2A4A"/>
        <w:sz w:val="16"/>
        <w:szCs w:val="16"/>
      </w:rPr>
      <w:t xml:space="preserve">MERIDIAN IP VALUATION GROUP  //  INDEPENDENT APPRAISAL REPORT  //  REPORT ID: MIPVG-2026-0610-R2</w:t>
    </w:r>
    <w:r>
      <w:rPr>
        <w:rFonts w:ascii="Arial" w:cs="Arial" w:eastAsia="Arial" w:hAnsi="Arial"/>
        <w:color w:val="718096"/>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D0D0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2026-06-10T07:54:21.607Z</dcterms:created>
  <dcterms:modified xsi:type="dcterms:W3CDTF">2026-06-10T07:54:21.609Z</dcterms:modified>
</cp:coreProperties>
</file>

<file path=docProps/custom.xml><?xml version="1.0" encoding="utf-8"?>
<Properties xmlns="http://schemas.openxmlformats.org/officeDocument/2006/custom-properties" xmlns:vt="http://schemas.openxmlformats.org/officeDocument/2006/docPropsVTypes"/>
</file>