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 w:before="0"/>
      </w:pPr>
      <w:r>
        <w:t xml:space="preserve">academic-peer-review 使用说明</w:t>
      </w:r>
    </w:p>
    <w:p>
      <w:pPr>
        <w:spacing w:after="100" w:line="380"/>
      </w:pPr>
      <w:r>
        <w:t xml:space="preserve">适用对象：需要对原创研究论文、综述论文或含荟萃分析的稿件进行同行评审的作者、审稿人、编辑与研究团队。</w:t>
      </w:r>
    </w:p>
    <w:p>
      <w:pPr>
        <w:pStyle w:val="Heading1"/>
        <w:spacing w:after="100" w:before="180"/>
      </w:pPr>
      <w:r>
        <w:t xml:space="preserve">1. 这个 Skill 能做什么</w:t>
      </w:r>
    </w:p>
    <w:p>
      <w:pPr>
        <w:spacing w:after="100" w:line="380"/>
      </w:pPr>
      <w:r>
        <w:rPr>
          <w:rFonts w:ascii="Consolas" w:cs="Consolas" w:eastAsia="Consolas" w:hAnsi="Consolas"/>
          <w:color w:val="7C2D12"/>
        </w:rPr>
        <w:t xml:space="preserve">academic-peer-review</w:t>
      </w:r>
      <w:r>
        <w:t xml:space="preserve"> 会先识别稿件类型，再使用相应检查表开展评审：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t xml:space="preserve">原创研究：重点检查摘要、引言、方法、统计、结果、讨论、参考文献、伦理与可重复性；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t xml:space="preserve">综述论文：重点检查综述必要性、证据覆盖、检索与筛选透明度、偏倚风险、结果综合、报告规范与语言质量；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t xml:space="preserve">含荟萃分析的综述：除综述检查外，额外检查效应量、模型选择、异质性、敏感性分析和结果解释。</w:t>
      </w:r>
    </w:p>
    <w:p>
      <w:pPr>
        <w:spacing w:after="100" w:line="380"/>
      </w:pPr>
      <w:r>
        <w:t xml:space="preserve">输出不只是“好或不好”，而是把意见组织为“位置—观察—影响—建议”，并按关键问题、一般问题和优化建议分级。</w:t>
      </w:r>
    </w:p>
    <w:p>
      <w:pPr>
        <w:pStyle w:val="Heading1"/>
        <w:spacing w:after="100" w:before="180"/>
      </w:pPr>
      <w:r>
        <w:t xml:space="preserve">2. 开始前准备</w:t>
      </w:r>
    </w:p>
    <w:p>
      <w:pPr>
        <w:spacing w:after="100" w:line="380"/>
      </w:pPr>
      <w:r>
        <w:t xml:space="preserve">优先提供以下材料，评审会更准确：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t xml:space="preserve">论文全文，包含图表和参考文献；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t xml:space="preserve">补充材料、研究方案、预注册信息或审稿表（如有）；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t xml:space="preserve">稿件类型：原创研究、叙述性综述、系统综述、范围综述或荟萃分析；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t xml:space="preserve">目标期刊、期刊审稿标准或评分量表（如有）；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t xml:space="preserve">希望的输出语言、评审深度和用途，例如投稿前自查、正式审稿或作者回复。</w:t>
      </w:r>
    </w:p>
    <w:p>
      <w:pPr>
        <w:spacing w:after="100" w:line="380"/>
      </w:pPr>
      <w:r>
        <w:t xml:space="preserve">没有提供期刊要求时，Skill 会采用通用学术质量标准，并明确哪些事项无法判断。</w:t>
      </w:r>
    </w:p>
    <w:p>
      <w:pPr>
        <w:pStyle w:val="Heading1"/>
        <w:spacing w:after="100" w:before="180"/>
      </w:pPr>
      <w:r>
        <w:t xml:space="preserve">3. 最快使用方式</w:t>
      </w:r>
    </w:p>
    <w:p>
      <w:pPr>
        <w:spacing w:after="100" w:line="380"/>
      </w:pPr>
      <w:r>
        <w:t xml:space="preserve">将稿件上传到当前会话后，直接输入：</w:t>
      </w:r>
    </w:p>
    <w:p>
      <w:pPr>
        <w:pBdr>
          <w:left w:val="single" w:color="2563EB" w:sz="8" w:space="8"/>
        </w:pBdr>
        <w:shd w:fill="F3F4F6" w:val="clear"/>
        <w:spacing w:after="140" w:before="80" w:line="300"/>
        <w:ind w:left="360" w:right="36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使用 $academic-peer-review 对这篇论文进行完整同行评审。请先识别稿件类型，再按关键问题、一般问题和分章节检查输出；每条关键问题都请注明位置、影响和可执行的修改建议。</w:t>
      </w:r>
    </w:p>
    <w:p>
      <w:pPr>
        <w:spacing w:after="100" w:line="380"/>
      </w:pPr>
      <w:r>
        <w:t xml:space="preserve">如果只想先找最重要的问题：</w:t>
      </w:r>
    </w:p>
    <w:p>
      <w:pPr>
        <w:pBdr>
          <w:left w:val="single" w:color="2563EB" w:sz="8" w:space="8"/>
        </w:pBdr>
        <w:shd w:fill="F3F4F6" w:val="clear"/>
        <w:spacing w:after="140" w:before="80" w:line="300"/>
        <w:ind w:left="360" w:right="36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使用 $academic-peer-review 快速评审这篇稿件。只输出研究概述、最重要的 5 个问题、每个问题的修改建议，以及总体判断。</w:t>
      </w:r>
    </w:p>
    <w:p>
      <w:pPr>
        <w:pStyle w:val="Heading1"/>
        <w:spacing w:after="100" w:before="180"/>
      </w:pPr>
      <w:r>
        <w:t xml:space="preserve">4. 常用指令模板</w:t>
      </w:r>
    </w:p>
    <w:p>
      <w:pPr>
        <w:pStyle w:val="Heading2"/>
        <w:spacing w:after="100" w:before="180"/>
      </w:pPr>
      <w:r>
        <w:t xml:space="preserve">原创研究论文</w:t>
      </w:r>
    </w:p>
    <w:p>
      <w:pPr>
        <w:pBdr>
          <w:left w:val="single" w:color="2563EB" w:sz="8" w:space="8"/>
        </w:pBdr>
        <w:shd w:fill="F3F4F6" w:val="clear"/>
        <w:spacing w:after="140" w:before="80" w:line="300"/>
        <w:ind w:left="360" w:right="36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使用 $academic-peer-review 评审这篇原创研究论文。重点检查研究设计、样本量与抽样、控制变量、统计方法、效应量和置信区间、图表与正文一致性、局限性，以及结论是否超出数据支持范围。</w:t>
      </w:r>
    </w:p>
    <w:p>
      <w:pPr>
        <w:pStyle w:val="Heading2"/>
        <w:spacing w:after="100" w:before="180"/>
      </w:pPr>
      <w:r>
        <w:t xml:space="preserve">系统综述或范围综述</w:t>
      </w:r>
    </w:p>
    <w:p>
      <w:pPr>
        <w:pBdr>
          <w:left w:val="single" w:color="2563EB" w:sz="8" w:space="8"/>
        </w:pBdr>
        <w:shd w:fill="F3F4F6" w:val="clear"/>
        <w:spacing w:after="140" w:before="80" w:line="300"/>
        <w:ind w:left="360" w:right="36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使用 $academic-peer-review 评审这篇系统综述。重点检查研究问题与综述必要性、检索数据库和检索式、纳入排除标准、筛选流程、偏倚风险、数据提取、证据综合，以及是否符合适用的报告规范。</w:t>
      </w:r>
    </w:p>
    <w:p>
      <w:pPr>
        <w:pStyle w:val="Heading2"/>
        <w:spacing w:after="100" w:before="180"/>
      </w:pPr>
      <w:r>
        <w:t xml:space="preserve">含荟萃分析的综述</w:t>
      </w:r>
    </w:p>
    <w:p>
      <w:pPr>
        <w:pBdr>
          <w:left w:val="single" w:color="2563EB" w:sz="8" w:space="8"/>
        </w:pBdr>
        <w:shd w:fill="F3F4F6" w:val="clear"/>
        <w:spacing w:after="140" w:before="80" w:line="300"/>
        <w:ind w:left="360" w:right="36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使用 $academic-peer-review 评审这篇含荟萃分析的系统综述。除常规综述评审外，请重点检查效应量、模型选择、异质性、发表偏倚、亚组与敏感性分析、置信区间和结论边界；如有必要，说明是否建议统计学专家复核。</w:t>
      </w:r>
    </w:p>
    <w:p>
      <w:pPr>
        <w:pStyle w:val="Heading2"/>
        <w:spacing w:after="100" w:before="180"/>
      </w:pPr>
      <w:r>
        <w:t xml:space="preserve">英文期刊审稿意见</w:t>
      </w:r>
    </w:p>
    <w:p>
      <w:pPr>
        <w:pBdr>
          <w:left w:val="single" w:color="2563EB" w:sz="8" w:space="8"/>
        </w:pBdr>
        <w:shd w:fill="F3F4F6" w:val="clear"/>
        <w:spacing w:after="140" w:before="80" w:line="300"/>
        <w:ind w:left="360" w:right="36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Use $academic-peer-review to write a concise journal-style peer-review report in English. Separate major and minor comments, cite manuscript sections or page numbers, and give actionable recommendations without inventing data or references.</w:t>
      </w:r>
    </w:p>
    <w:p>
      <w:pPr>
        <w:pStyle w:val="Heading2"/>
        <w:spacing w:after="100" w:before="180"/>
      </w:pPr>
      <w:r>
        <w:t xml:space="preserve">投稿前自查</w:t>
      </w:r>
    </w:p>
    <w:p>
      <w:pPr>
        <w:pBdr>
          <w:left w:val="single" w:color="2563EB" w:sz="8" w:space="8"/>
        </w:pBdr>
        <w:shd w:fill="F3F4F6" w:val="clear"/>
        <w:spacing w:after="140" w:before="80" w:line="300"/>
        <w:ind w:left="360" w:right="36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使用 $academic-peer-review 做投稿前自查。请按“符合、部分符合、不符合、无法判断”逐项检查，并优先列出会影响研究有效性、可重复性或主要结论的问题。</w:t>
      </w:r>
    </w:p>
    <w:p>
      <w:pPr>
        <w:pStyle w:val="Heading2"/>
        <w:spacing w:after="100" w:before="180"/>
      </w:pPr>
      <w:r>
        <w:t xml:space="preserve">生成作者回复清单</w:t>
      </w:r>
    </w:p>
    <w:p>
      <w:pPr>
        <w:pBdr>
          <w:left w:val="single" w:color="2563EB" w:sz="8" w:space="8"/>
        </w:pBdr>
        <w:shd w:fill="F3F4F6" w:val="clear"/>
        <w:spacing w:after="140" w:before="80" w:line="300"/>
        <w:ind w:left="360" w:right="36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使用 $academic-peer-review 审查稿件后，把所有意见转换成作者可逐条回应的行动清单。每条都说明需要补充、澄清、修改或降级结论的具体位置。</w:t>
      </w:r>
    </w:p>
    <w:p>
      <w:pPr>
        <w:pStyle w:val="Heading1"/>
        <w:spacing w:after="100" w:before="180"/>
      </w:pPr>
      <w:r>
        <w:t xml:space="preserve">5. 如何指定评审深度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b/>
          <w:bCs/>
        </w:rPr>
        <w:t xml:space="preserve">快速评审</w:t>
      </w:r>
      <w:r>
        <w:t xml:space="preserve">：研究概述、3 至 5 条最重要问题和总体判断，适合初筛或讨论。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b/>
          <w:bCs/>
        </w:rPr>
        <w:t xml:space="preserve">完整审稿</w:t>
      </w:r>
      <w:r>
        <w:t xml:space="preserve">：覆盖对应检查表全部栏目，适合投稿前评估或正式同行评议。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b/>
          <w:bCs/>
        </w:rPr>
        <w:t xml:space="preserve">逐章节评审</w:t>
      </w:r>
      <w:r>
        <w:t xml:space="preserve">：按摘要、引言、方法、结果、讨论等章节给出具体意见。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b/>
          <w:bCs/>
        </w:rPr>
        <w:t xml:space="preserve">逐页或逐行评审</w:t>
      </w:r>
      <w:r>
        <w:t xml:space="preserve">：适合已有页码或行号的定稿；请明确要求保留定位。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b/>
          <w:bCs/>
        </w:rPr>
        <w:t xml:space="preserve">评分评审</w:t>
      </w:r>
      <w:r>
        <w:t xml:space="preserve">：先提供量表或维度，例如创新性、方法学严谨性、清晰度和临床意义；Skill 会逐项评分并说明依据。</w:t>
      </w:r>
    </w:p>
    <w:p>
      <w:pPr>
        <w:pStyle w:val="Heading1"/>
        <w:spacing w:after="100" w:before="180"/>
      </w:pPr>
      <w:r>
        <w:t xml:space="preserve">6. 默认输出结构</w:t>
      </w:r>
    </w:p>
    <w:p>
      <w:pPr>
        <w:spacing w:after="100" w:line="380"/>
      </w:pPr>
      <w:r>
        <w:t xml:space="preserve">完整评审通常包含以下部分：</w:t>
      </w:r>
    </w:p>
    <w:p>
      <w:pPr>
        <w:pStyle w:val="ListParagraph"/>
        <w:numPr>
          <w:ilvl w:val="0"/>
          <w:numId w:val="3"/>
        </w:numPr>
        <w:spacing w:after="60" w:line="360"/>
      </w:pPr>
      <w:r>
        <w:t xml:space="preserve">稿件类型、可用材料与评审范围；</w:t>
      </w:r>
    </w:p>
    <w:p>
      <w:pPr>
        <w:pStyle w:val="ListParagraph"/>
        <w:numPr>
          <w:ilvl w:val="0"/>
          <w:numId w:val="3"/>
        </w:numPr>
        <w:spacing w:after="60" w:line="360"/>
      </w:pPr>
      <w:r>
        <w:t xml:space="preserve">研究概述；</w:t>
      </w:r>
    </w:p>
    <w:p>
      <w:pPr>
        <w:pStyle w:val="ListParagraph"/>
        <w:numPr>
          <w:ilvl w:val="0"/>
          <w:numId w:val="3"/>
        </w:numPr>
        <w:spacing w:after="60" w:line="360"/>
      </w:pPr>
      <w:r>
        <w:t xml:space="preserve">总体评价：主要贡献、优点与决定性不足；</w:t>
      </w:r>
    </w:p>
    <w:p>
      <w:pPr>
        <w:pStyle w:val="ListParagraph"/>
        <w:numPr>
          <w:ilvl w:val="0"/>
          <w:numId w:val="3"/>
        </w:numPr>
        <w:spacing w:after="60" w:line="360"/>
      </w:pPr>
      <w:r>
        <w:t xml:space="preserve">关键问题：位置、观察、影响、修改建议；</w:t>
      </w:r>
    </w:p>
    <w:p>
      <w:pPr>
        <w:pStyle w:val="ListParagraph"/>
        <w:numPr>
          <w:ilvl w:val="0"/>
          <w:numId w:val="3"/>
        </w:numPr>
        <w:spacing w:after="60" w:line="360"/>
      </w:pPr>
      <w:r>
        <w:t xml:space="preserve">一般问题：简短、可定位、可执行；</w:t>
      </w:r>
    </w:p>
    <w:p>
      <w:pPr>
        <w:pStyle w:val="ListParagraph"/>
        <w:numPr>
          <w:ilvl w:val="0"/>
          <w:numId w:val="3"/>
        </w:numPr>
        <w:spacing w:after="60" w:line="360"/>
      </w:pPr>
      <w:r>
        <w:t xml:space="preserve">分章节检查；</w:t>
      </w:r>
    </w:p>
    <w:p>
      <w:pPr>
        <w:pStyle w:val="ListParagraph"/>
        <w:numPr>
          <w:ilvl w:val="0"/>
          <w:numId w:val="3"/>
        </w:numPr>
        <w:spacing w:after="60" w:line="360"/>
      </w:pPr>
      <w:r>
        <w:t xml:space="preserve">伦理、数据完整性、利益冲突与是否需要专业复核；</w:t>
      </w:r>
    </w:p>
    <w:p>
      <w:pPr>
        <w:pStyle w:val="ListParagraph"/>
        <w:numPr>
          <w:ilvl w:val="0"/>
          <w:numId w:val="3"/>
        </w:numPr>
        <w:spacing w:after="60" w:line="360"/>
      </w:pPr>
      <w:r>
        <w:t xml:space="preserve">给编辑的建议或作者回复清单（仅在明确要求时输出）。</w:t>
      </w:r>
    </w:p>
    <w:p>
      <w:pPr>
        <w:spacing w:after="100" w:line="380"/>
      </w:pPr>
      <w:r>
        <w:t xml:space="preserve">若未提供目标期刊或决定选项，Skill 不会擅自给出“接收/拒稿”等编辑决定。</w:t>
      </w:r>
    </w:p>
    <w:p>
      <w:pPr>
        <w:pStyle w:val="Heading1"/>
        <w:spacing w:after="100" w:before="180"/>
      </w:pPr>
      <w:r>
        <w:t xml:space="preserve">7. 获得更好结果的提示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t xml:space="preserve">明确你希望评审的目标，例如“找会导致大修的问题”或“重点看统计”。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t xml:space="preserve">提供图、表和补充材料；仅有摘要时只能进行有限评审。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t xml:space="preserve">有目标期刊时，把期刊范围、审稿表和格式要求一并提供。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t xml:space="preserve">要求精确定位时，提供带页码或行号的版本，并在指令中要求“标注页码/章节/图表号”。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t xml:space="preserve">如需外部事实核验、指南符合性或文献更新，请明确授权检索；不要把外部核验与稿件内部评价混为一谈。</w:t>
      </w:r>
    </w:p>
    <w:p>
      <w:pPr>
        <w:pStyle w:val="Heading1"/>
        <w:spacing w:after="100" w:before="180"/>
      </w:pPr>
      <w:r>
        <w:t xml:space="preserve">8. 使用边界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t xml:space="preserve">Skill 只依据当前可访问的稿件和材料评审，不会猜测未提供的数据、结果、页码或参考文献。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t xml:space="preserve">“未在文中发现”不等于“作者没有做过”；这类事项会被表述为需要澄清或补充报告。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t xml:space="preserve">发现伦理、图像、数据完整性或科研诚信风险时，Skill 只描述可观察信号并建议编辑部核查，不会在证据不足时直接定性。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t xml:space="preserve">Skill 可以辅助评审，但不能替代领域专家、统计学专家、伦理委员会或期刊编辑的最终判断。</w:t>
      </w:r>
    </w:p>
    <w:p>
      <w:pPr>
        <w:pStyle w:val="Heading1"/>
        <w:spacing w:after="100" w:before="180"/>
      </w:pPr>
      <w:r>
        <w:t xml:space="preserve">9. 常见问题</w:t>
      </w:r>
    </w:p>
    <w:p>
      <w:pPr>
        <w:pStyle w:val="Heading2"/>
        <w:spacing w:after="100" w:before="180"/>
      </w:pPr>
      <w:r>
        <w:t xml:space="preserve">为什么没有给出接收或拒稿建议？</w:t>
      </w:r>
    </w:p>
    <w:p>
      <w:pPr>
        <w:spacing w:after="100" w:line="380"/>
      </w:pPr>
      <w:r>
        <w:t xml:space="preserve">默认不会给出编辑决定。请在指令中明确要求，并提供期刊选项或评价标准，例如：“请在接收、小修、大修、拒稿中给出推荐，并说明依据。”</w:t>
      </w:r>
    </w:p>
    <w:p>
      <w:pPr>
        <w:pStyle w:val="Heading2"/>
        <w:spacing w:after="100" w:before="180"/>
      </w:pPr>
      <w:r>
        <w:t xml:space="preserve">为什么有些项目显示“无法判断”？</w:t>
      </w:r>
    </w:p>
    <w:p>
      <w:pPr>
        <w:spacing w:after="100" w:line="380"/>
      </w:pPr>
      <w:r>
        <w:t xml:space="preserve">通常是因为缺少全文、补充材料、方案、代码、注册信息或期刊要求。这是有意保留的不确定性，不是遗漏。</w:t>
      </w:r>
    </w:p>
    <w:p>
      <w:pPr>
        <w:pStyle w:val="Heading2"/>
        <w:spacing w:after="100" w:before="180"/>
      </w:pPr>
      <w:r>
        <w:t xml:space="preserve">为什么意见太宽泛？</w:t>
      </w:r>
    </w:p>
    <w:p>
      <w:pPr>
        <w:spacing w:after="100" w:line="380"/>
      </w:pPr>
      <w:r>
        <w:t xml:space="preserve">要求“完整审稿”“逐章节检查”或“每条关键问题必须包含位置、影响和修改建议”，并提供带页码或行号的论文版本。</w:t>
      </w:r>
    </w:p>
    <w:p>
      <w:pPr>
        <w:pStyle w:val="Heading2"/>
        <w:spacing w:after="100" w:before="180"/>
      </w:pPr>
      <w:r>
        <w:t xml:space="preserve">可以只评审统计部分吗？</w:t>
      </w:r>
    </w:p>
    <w:p>
      <w:pPr>
        <w:spacing w:after="100" w:line="380"/>
      </w:pPr>
      <w:r>
        <w:t xml:space="preserve">可以。直接说明研究类型和统计关注点，例如模型选择、缺失值、效应量、置信区间、异质性或敏感性分析。</w:t>
      </w:r>
    </w:p>
    <w:p>
      <w:pPr>
        <w:pStyle w:val="Heading1"/>
        <w:spacing w:after="100" w:before="180"/>
      </w:pPr>
      <w:r>
        <w:t xml:space="preserve">10. 保密与合规</w:t>
      </w:r>
    </w:p>
    <w:p>
      <w:pPr>
        <w:spacing w:after="100" w:line="380"/>
      </w:pPr>
      <w:r>
        <w:t xml:space="preserve">处理未公开稿件前，请确认使用环境符合期刊保密要求、机构数据政策和作者授权范围。Skill 本身不包含上传或执行代码，但所用运行时或模型服务的隐私规则仍由使用者负责确认。</w:t>
      </w:r>
    </w:p>
    <w:sectPr>
      <w:footerReference w:type="default" r:id="rId7"/>
      <w:pgSz w:w="11906" w:h="16838" w:orient="portrait"/>
      <w:pgMar w:top="1134" w:right="1276" w:bottom="1134" w:left="127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8"/>
        <w:szCs w:val="18"/>
      </w:rPr>
      <w:t xml:space="preserve">academic-peer-review 使用说明  ·  </w:t>
    </w:r>
    <w:r>
      <w:rPr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300"/>
      <w:jc w:val="center"/>
      <w:outlineLvl w:val="0"/>
    </w:pPr>
    <w:rPr>
      <w:rFonts w:ascii="Arial" w:cs="Arial" w:eastAsia="Arial" w:hAnsi="Arial"/>
      <w:b/>
      <w:bCs/>
      <w:color w:val="0F172A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E3A8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1D4ED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334155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2026-07-13T07:01:01.846Z</dcterms:created>
  <dcterms:modified xsi:type="dcterms:W3CDTF">2026-07-13T07:01:01.847Z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