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ukb7r37pllev" w:id="0"/>
      <w:bookmarkEnd w:id="0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10"/>
        <w:tblGridChange w:id="0">
          <w:tblGrid>
            <w:gridCol w:w="450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da prefeitura de Peruíbe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http://www.peruibe3.sp.gov.br/cidade-de-peruibe/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site é importante pois contém dados oficiais da Estância Turística.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Wikipédia de Peruíbe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https://pt.wikipedia.org/wiki/Peru%C3%ADbe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site contém dados gerais sobre o município.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Colab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Rede social voltada para cidadania. (Exemplo)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http://setor3.com.br/aplicativo-atua-como-rede-social-para-denunciar-problemas-na-cidade-e-auxilia-na-gestao-publica-do-local/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aplicativo atua como rede social para apontar problemas na cidade e auxiliar na gestão pública.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eruibe3.sp.gov.br/cidade-de-peruibe/" TargetMode="External"/><Relationship Id="rId7" Type="http://schemas.openxmlformats.org/officeDocument/2006/relationships/hyperlink" Target="https://pt.wikipedia.org/wiki/Peru%C3%ADbe" TargetMode="External"/><Relationship Id="rId8" Type="http://schemas.openxmlformats.org/officeDocument/2006/relationships/hyperlink" Target="http://setor3.com.br/aplicativo-atua-como-rede-social-para-denunciar-problemas-na-cidade-e-auxilia-na-gestao-publica-do-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