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41A" w:rsidRDefault="00CC041A" w:rsidP="00CC041A">
      <w:pPr>
        <w:spacing w:line="360" w:lineRule="auto"/>
        <w:rPr>
          <w:rFonts w:ascii="Times New Roman" w:hAnsi="Times New Roman" w:cs="Times New Roman"/>
          <w:sz w:val="24"/>
          <w:szCs w:val="24"/>
        </w:rPr>
      </w:pPr>
      <w:r>
        <w:rPr>
          <w:rFonts w:ascii="Times New Roman" w:hAnsi="Times New Roman" w:cs="Times New Roman"/>
          <w:sz w:val="24"/>
          <w:szCs w:val="24"/>
        </w:rPr>
        <w:t>Cristian Felipe Marin Benavides 11b</w:t>
      </w:r>
    </w:p>
    <w:p w:rsidR="00AB7910" w:rsidRDefault="0075548B" w:rsidP="0032355F">
      <w:pPr>
        <w:spacing w:line="360" w:lineRule="auto"/>
        <w:jc w:val="center"/>
        <w:rPr>
          <w:rFonts w:ascii="Times New Roman" w:hAnsi="Times New Roman" w:cs="Times New Roman"/>
          <w:sz w:val="24"/>
          <w:szCs w:val="24"/>
        </w:rPr>
      </w:pPr>
      <w:r>
        <w:rPr>
          <w:rFonts w:ascii="Times New Roman" w:hAnsi="Times New Roman" w:cs="Times New Roman"/>
          <w:sz w:val="24"/>
          <w:szCs w:val="24"/>
        </w:rPr>
        <w:t>Ácido fórmico</w:t>
      </w:r>
    </w:p>
    <w:p w:rsidR="0075548B" w:rsidRDefault="0075548B" w:rsidP="0032355F">
      <w:pPr>
        <w:spacing w:line="360" w:lineRule="auto"/>
        <w:rPr>
          <w:rFonts w:ascii="Times New Roman" w:hAnsi="Times New Roman" w:cs="Times New Roman"/>
          <w:sz w:val="24"/>
          <w:szCs w:val="24"/>
        </w:rPr>
      </w:pPr>
      <w:r>
        <w:rPr>
          <w:rFonts w:ascii="Times New Roman" w:hAnsi="Times New Roman" w:cs="Times New Roman"/>
          <w:sz w:val="24"/>
          <w:szCs w:val="24"/>
        </w:rPr>
        <w:t>¿Cómo analizar cuantitativamente el ácido fórmico?</w:t>
      </w:r>
    </w:p>
    <w:p w:rsidR="00C33083" w:rsidRDefault="00C33083" w:rsidP="0032355F">
      <w:pPr>
        <w:spacing w:line="360" w:lineRule="auto"/>
        <w:rPr>
          <w:rFonts w:ascii="Times New Roman" w:hAnsi="Times New Roman" w:cs="Times New Roman"/>
          <w:sz w:val="24"/>
          <w:szCs w:val="24"/>
        </w:rPr>
      </w:pPr>
      <w:r>
        <w:rPr>
          <w:rFonts w:ascii="Times New Roman" w:hAnsi="Times New Roman" w:cs="Times New Roman"/>
          <w:sz w:val="24"/>
          <w:szCs w:val="24"/>
        </w:rPr>
        <w:tab/>
        <w:t>La forma de análisis que se puede realizar al acido fórmico se encuentra en la oxidación realizada a alimentos con bicloruro de mercurio, no obstante sustancias orgánicas tales como los aldehídos tambien causan la disminución del bicloruro de mercurio</w:t>
      </w:r>
      <w:r w:rsidR="00AB2972">
        <w:rPr>
          <w:rFonts w:ascii="Times New Roman" w:hAnsi="Times New Roman" w:cs="Times New Roman"/>
          <w:sz w:val="24"/>
          <w:szCs w:val="24"/>
        </w:rPr>
        <w:t>.</w:t>
      </w:r>
      <w:r w:rsidR="00CB4B7B">
        <w:rPr>
          <w:rFonts w:ascii="Times New Roman" w:hAnsi="Times New Roman" w:cs="Times New Roman"/>
          <w:sz w:val="24"/>
          <w:szCs w:val="24"/>
        </w:rPr>
        <w:t xml:space="preserve"> Esta forma de determinación por asi decirlo proviene de Fincke</w:t>
      </w:r>
      <w:r w:rsidR="00F62320">
        <w:rPr>
          <w:rFonts w:ascii="Times New Roman" w:hAnsi="Times New Roman" w:cs="Times New Roman"/>
          <w:sz w:val="24"/>
          <w:szCs w:val="24"/>
        </w:rPr>
        <w:t xml:space="preserve"> quien tambien</w:t>
      </w:r>
      <w:r w:rsidR="00932194">
        <w:rPr>
          <w:rFonts w:ascii="Times New Roman" w:hAnsi="Times New Roman" w:cs="Times New Roman"/>
          <w:sz w:val="24"/>
          <w:szCs w:val="24"/>
        </w:rPr>
        <w:t xml:space="preserve"> por medio de la observación deduce que la mejor manera de extraer el ácido fórmico era por medio de </w:t>
      </w:r>
      <w:r w:rsidR="00831D1A">
        <w:rPr>
          <w:rFonts w:ascii="Times New Roman" w:hAnsi="Times New Roman" w:cs="Times New Roman"/>
          <w:sz w:val="24"/>
          <w:szCs w:val="24"/>
        </w:rPr>
        <w:t xml:space="preserve">una destilación con vapor </w:t>
      </w:r>
      <w:r w:rsidR="0082400E">
        <w:rPr>
          <w:rFonts w:ascii="Times New Roman" w:hAnsi="Times New Roman" w:cs="Times New Roman"/>
          <w:sz w:val="24"/>
          <w:szCs w:val="24"/>
        </w:rPr>
        <w:t>de agua, rectificando</w:t>
      </w:r>
      <w:r w:rsidR="00194663">
        <w:rPr>
          <w:rFonts w:ascii="Times New Roman" w:hAnsi="Times New Roman" w:cs="Times New Roman"/>
          <w:sz w:val="24"/>
          <w:szCs w:val="24"/>
        </w:rPr>
        <w:t xml:space="preserve"> que en dicho proceso</w:t>
      </w:r>
      <w:r w:rsidR="00D56EDD">
        <w:rPr>
          <w:rFonts w:ascii="Times New Roman" w:hAnsi="Times New Roman" w:cs="Times New Roman"/>
          <w:sz w:val="24"/>
          <w:szCs w:val="24"/>
        </w:rPr>
        <w:t xml:space="preserve"> se debe acidificar el producto</w:t>
      </w:r>
      <w:r w:rsidR="005431DE">
        <w:rPr>
          <w:rFonts w:ascii="Times New Roman" w:hAnsi="Times New Roman" w:cs="Times New Roman"/>
          <w:sz w:val="24"/>
          <w:szCs w:val="24"/>
        </w:rPr>
        <w:t xml:space="preserve"> a examinar</w:t>
      </w:r>
      <w:r w:rsidR="00BF7908">
        <w:rPr>
          <w:rFonts w:ascii="Times New Roman" w:hAnsi="Times New Roman" w:cs="Times New Roman"/>
          <w:sz w:val="24"/>
          <w:szCs w:val="24"/>
        </w:rPr>
        <w:t xml:space="preserve"> con un ácido orgánico no volátil.</w:t>
      </w:r>
    </w:p>
    <w:p w:rsidR="0075548B" w:rsidRDefault="0075548B" w:rsidP="0032355F">
      <w:pPr>
        <w:spacing w:line="360" w:lineRule="auto"/>
        <w:rPr>
          <w:rFonts w:ascii="Times New Roman" w:hAnsi="Times New Roman" w:cs="Times New Roman"/>
          <w:sz w:val="24"/>
          <w:szCs w:val="24"/>
        </w:rPr>
      </w:pPr>
      <w:r>
        <w:rPr>
          <w:rFonts w:ascii="Times New Roman" w:hAnsi="Times New Roman" w:cs="Times New Roman"/>
          <w:sz w:val="24"/>
          <w:szCs w:val="24"/>
        </w:rPr>
        <w:t>¿Qué utilidades podría generar para 5ml del ácido?</w:t>
      </w:r>
    </w:p>
    <w:p w:rsidR="00535B51" w:rsidRDefault="00535B51" w:rsidP="0032355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En su mayoría las utilidades en cantidades mínimas son muchas las cuales abarcan desde el uso de este acido como conservante se podría decir natural de alimentos, al igual que se le da uso como </w:t>
      </w:r>
      <w:r w:rsidR="0054568E">
        <w:rPr>
          <w:rFonts w:ascii="Times New Roman" w:hAnsi="Times New Roman" w:cs="Times New Roman"/>
          <w:sz w:val="24"/>
          <w:szCs w:val="24"/>
        </w:rPr>
        <w:t xml:space="preserve">un aditivo alimentario (es decir cómo un tipo de </w:t>
      </w:r>
      <w:r w:rsidR="008A0047">
        <w:rPr>
          <w:rFonts w:ascii="Times New Roman" w:hAnsi="Times New Roman" w:cs="Times New Roman"/>
          <w:sz w:val="24"/>
          <w:szCs w:val="24"/>
        </w:rPr>
        <w:t>condimento) y</w:t>
      </w:r>
      <w:r w:rsidR="007B4574">
        <w:rPr>
          <w:rFonts w:ascii="Times New Roman" w:hAnsi="Times New Roman" w:cs="Times New Roman"/>
          <w:sz w:val="24"/>
          <w:szCs w:val="24"/>
        </w:rPr>
        <w:t xml:space="preserve"> </w:t>
      </w:r>
      <w:r w:rsidR="008A0047">
        <w:rPr>
          <w:rFonts w:ascii="Times New Roman" w:hAnsi="Times New Roman" w:cs="Times New Roman"/>
          <w:sz w:val="24"/>
          <w:szCs w:val="24"/>
        </w:rPr>
        <w:t>cosméticos. Por tal motivo los usos que se le podría adjuntar a esa pequeña cantidad del ácido si la tuviéramos a nuestra disposición seria parte agrícola o de las plantas debido a que descartamos las posibilidades de procesos industriales como la elaboración del cuero entre otros teniendo en cuenta que solo se poseería 5ml una cantidad insuficiente a nivel industrial. Entonces el uso que se le da por su componente antibacteriano</w:t>
      </w:r>
      <w:r w:rsidR="0010754F">
        <w:rPr>
          <w:rFonts w:ascii="Times New Roman" w:hAnsi="Times New Roman" w:cs="Times New Roman"/>
          <w:sz w:val="24"/>
          <w:szCs w:val="24"/>
        </w:rPr>
        <w:t xml:space="preserve"> es la conservación de algún alimento o tambien si se da en el caso de hogares de familia con casa y no apartamento, se daría la perduración de la vegetación domestica que se tiene.</w:t>
      </w:r>
      <w:r w:rsidR="008A0047">
        <w:rPr>
          <w:rFonts w:ascii="Times New Roman" w:hAnsi="Times New Roman" w:cs="Times New Roman"/>
          <w:sz w:val="24"/>
          <w:szCs w:val="24"/>
        </w:rPr>
        <w:t xml:space="preserve"> </w:t>
      </w:r>
    </w:p>
    <w:p w:rsidR="0075548B" w:rsidRDefault="0075548B" w:rsidP="0032355F">
      <w:pPr>
        <w:spacing w:line="360" w:lineRule="auto"/>
        <w:rPr>
          <w:rFonts w:ascii="Times New Roman" w:hAnsi="Times New Roman" w:cs="Times New Roman"/>
          <w:sz w:val="24"/>
          <w:szCs w:val="24"/>
        </w:rPr>
      </w:pPr>
      <w:r>
        <w:rPr>
          <w:rFonts w:ascii="Times New Roman" w:hAnsi="Times New Roman" w:cs="Times New Roman"/>
          <w:sz w:val="24"/>
          <w:szCs w:val="24"/>
        </w:rPr>
        <w:t>¿Qué beneficios ambientales otorga el ácido fórmico?</w:t>
      </w:r>
    </w:p>
    <w:p w:rsidR="000A5EE7" w:rsidRDefault="000A5EE7" w:rsidP="0032355F">
      <w:pPr>
        <w:spacing w:line="360" w:lineRule="auto"/>
        <w:rPr>
          <w:rFonts w:ascii="Times New Roman" w:hAnsi="Times New Roman" w:cs="Times New Roman"/>
          <w:sz w:val="24"/>
          <w:szCs w:val="24"/>
        </w:rPr>
      </w:pPr>
      <w:r>
        <w:rPr>
          <w:rFonts w:ascii="Times New Roman" w:hAnsi="Times New Roman" w:cs="Times New Roman"/>
          <w:sz w:val="24"/>
          <w:szCs w:val="24"/>
        </w:rPr>
        <w:tab/>
        <w:t>Principalmente los beneficios que trae a nivel ambiental esta entre la conservación de la vegetación lo cual permite mantener la vitalidad que se tiene en dichos lugares (a partir de este punto son conjeturas basadas en la suposición) donde por ejemplo la expulsión del ácido fórmico por parte de las hormigas además de ser usado como método defensivo tambien le aporta al ecosistema del lugar mayormente por su característica antibacteriana y que se encuentra de forma incolora y liquida en eso escenarios.</w:t>
      </w:r>
    </w:p>
    <w:p w:rsidR="00D57A4B" w:rsidRDefault="00D57A4B" w:rsidP="0032355F">
      <w:pPr>
        <w:spacing w:line="360" w:lineRule="auto"/>
        <w:rPr>
          <w:rFonts w:ascii="Times New Roman" w:hAnsi="Times New Roman" w:cs="Times New Roman"/>
          <w:sz w:val="24"/>
          <w:szCs w:val="24"/>
        </w:rPr>
      </w:pPr>
    </w:p>
    <w:p w:rsidR="0075548B" w:rsidRDefault="0075548B" w:rsidP="0032355F">
      <w:pPr>
        <w:spacing w:line="360" w:lineRule="auto"/>
        <w:rPr>
          <w:rFonts w:ascii="Times New Roman" w:hAnsi="Times New Roman" w:cs="Times New Roman"/>
          <w:sz w:val="24"/>
          <w:szCs w:val="24"/>
        </w:rPr>
      </w:pPr>
      <w:r>
        <w:rPr>
          <w:rFonts w:ascii="Times New Roman" w:hAnsi="Times New Roman" w:cs="Times New Roman"/>
          <w:sz w:val="24"/>
          <w:szCs w:val="24"/>
        </w:rPr>
        <w:t xml:space="preserve">Generar una idea innovación para el acido </w:t>
      </w:r>
    </w:p>
    <w:p w:rsidR="0075548B" w:rsidRDefault="001D255E" w:rsidP="0032355F">
      <w:pPr>
        <w:spacing w:line="360" w:lineRule="auto"/>
        <w:rPr>
          <w:rFonts w:ascii="Times New Roman" w:hAnsi="Times New Roman" w:cs="Times New Roman"/>
          <w:sz w:val="24"/>
          <w:szCs w:val="24"/>
        </w:rPr>
      </w:pPr>
      <w:r>
        <w:rPr>
          <w:rFonts w:ascii="Times New Roman" w:hAnsi="Times New Roman" w:cs="Times New Roman"/>
          <w:sz w:val="24"/>
          <w:szCs w:val="24"/>
        </w:rPr>
        <w:tab/>
        <w:t>Una forma de darle un buen uso a este acido seria en la agricultura, no obstante todavía queda esa cierta probabilidad de que por el ambiente y las condiciones que se encuentre tenga reacciones diferentes donde en casos puede ser bueno y otros malos, por eso la manera de sacar a lucir sus capacidades de conservantes se encontraría en la elaboración de empaques con una cubierta interna de este en cantidades mínimas pero que además de mantener la gran mayoría de alimentos frescos y estériles tambien potenciara el sabor y la nutrición del producto final después de haber salido del envase</w:t>
      </w:r>
      <w:r w:rsidR="00804C1D">
        <w:rPr>
          <w:rFonts w:ascii="Times New Roman" w:hAnsi="Times New Roman" w:cs="Times New Roman"/>
          <w:sz w:val="24"/>
          <w:szCs w:val="24"/>
        </w:rPr>
        <w:t>.</w:t>
      </w:r>
    </w:p>
    <w:p w:rsidR="006A42E8" w:rsidRDefault="006A42E8" w:rsidP="0032355F">
      <w:pPr>
        <w:spacing w:line="360" w:lineRule="auto"/>
        <w:rPr>
          <w:rFonts w:ascii="Times New Roman" w:hAnsi="Times New Roman" w:cs="Times New Roman"/>
          <w:sz w:val="24"/>
          <w:szCs w:val="24"/>
        </w:rPr>
      </w:pPr>
    </w:p>
    <w:p w:rsidR="006A42E8" w:rsidRDefault="006A42E8" w:rsidP="0032355F">
      <w:pPr>
        <w:spacing w:line="360" w:lineRule="auto"/>
        <w:rPr>
          <w:rFonts w:ascii="Times New Roman" w:hAnsi="Times New Roman" w:cs="Times New Roman"/>
          <w:sz w:val="24"/>
          <w:szCs w:val="24"/>
        </w:rPr>
      </w:pPr>
      <w:r>
        <w:rPr>
          <w:rFonts w:ascii="Times New Roman" w:hAnsi="Times New Roman" w:cs="Times New Roman"/>
          <w:sz w:val="24"/>
          <w:szCs w:val="24"/>
        </w:rPr>
        <w:t>Bibliografía</w:t>
      </w:r>
    </w:p>
    <w:p w:rsidR="006A42E8" w:rsidRDefault="006A42E8" w:rsidP="0032355F">
      <w:pPr>
        <w:spacing w:line="360" w:lineRule="auto"/>
        <w:rPr>
          <w:rFonts w:ascii="Times New Roman" w:hAnsi="Times New Roman" w:cs="Times New Roman"/>
          <w:sz w:val="24"/>
          <w:szCs w:val="24"/>
        </w:rPr>
      </w:pPr>
      <w:r>
        <w:t>Tomado de:</w:t>
      </w:r>
      <w:r w:rsidR="002D38D2">
        <w:t xml:space="preserve"> </w:t>
      </w:r>
      <w:hyperlink r:id="rId4" w:history="1">
        <w:r w:rsidR="00CC041A" w:rsidRPr="00FB4334">
          <w:rPr>
            <w:rStyle w:val="Hipervnculo"/>
          </w:rPr>
          <w:t>https://bibliotecadigital.exactas.uba.ar/download/tesis/tesis_n0434_MoscosoBoedo.pdf</w:t>
        </w:r>
      </w:hyperlink>
    </w:p>
    <w:p w:rsidR="006A42E8" w:rsidRDefault="006A42E8" w:rsidP="0032355F">
      <w:pPr>
        <w:spacing w:line="360" w:lineRule="auto"/>
        <w:rPr>
          <w:rFonts w:ascii="Times New Roman" w:hAnsi="Times New Roman" w:cs="Times New Roman"/>
          <w:sz w:val="24"/>
          <w:szCs w:val="24"/>
        </w:rPr>
      </w:pPr>
      <w:r>
        <w:t>Tomado de:</w:t>
      </w:r>
      <w:r w:rsidR="002D38D2">
        <w:t xml:space="preserve"> </w:t>
      </w:r>
      <w:hyperlink r:id="rId5" w:history="1">
        <w:r w:rsidR="002D38D2" w:rsidRPr="00FB4334">
          <w:rPr>
            <w:rStyle w:val="Hipervnculo"/>
          </w:rPr>
          <w:t>https://acidoclorhidrico.org/acido-formico/</w:t>
        </w:r>
      </w:hyperlink>
    </w:p>
    <w:p w:rsidR="006A42E8" w:rsidRDefault="002D38D2" w:rsidP="0032355F">
      <w:pPr>
        <w:spacing w:line="360" w:lineRule="auto"/>
      </w:pPr>
      <w:r>
        <w:t xml:space="preserve">Tomado de: </w:t>
      </w:r>
      <w:hyperlink r:id="rId6" w:history="1">
        <w:r w:rsidRPr="00FB4334">
          <w:rPr>
            <w:rStyle w:val="Hipervnculo"/>
          </w:rPr>
          <w:t>https://www.acidoformico.com/</w:t>
        </w:r>
      </w:hyperlink>
    </w:p>
    <w:p w:rsidR="006A42E8" w:rsidRDefault="006A42E8" w:rsidP="0032355F">
      <w:pPr>
        <w:spacing w:line="360" w:lineRule="auto"/>
        <w:rPr>
          <w:rFonts w:ascii="Times New Roman" w:hAnsi="Times New Roman" w:cs="Times New Roman"/>
          <w:sz w:val="24"/>
          <w:szCs w:val="24"/>
        </w:rPr>
      </w:pPr>
    </w:p>
    <w:p w:rsidR="009D1949" w:rsidRDefault="009D1949" w:rsidP="0032355F">
      <w:pPr>
        <w:spacing w:line="360" w:lineRule="auto"/>
        <w:rPr>
          <w:rFonts w:ascii="Times New Roman" w:hAnsi="Times New Roman" w:cs="Times New Roman"/>
          <w:sz w:val="24"/>
          <w:szCs w:val="24"/>
        </w:rPr>
      </w:pPr>
    </w:p>
    <w:p w:rsidR="009D1949" w:rsidRDefault="009D1949" w:rsidP="0032355F">
      <w:pPr>
        <w:spacing w:line="360" w:lineRule="auto"/>
        <w:rPr>
          <w:rFonts w:ascii="Times New Roman" w:hAnsi="Times New Roman" w:cs="Times New Roman"/>
          <w:sz w:val="24"/>
          <w:szCs w:val="24"/>
        </w:rPr>
      </w:pPr>
    </w:p>
    <w:p w:rsidR="009D1949" w:rsidRDefault="009D1949" w:rsidP="0032355F">
      <w:pPr>
        <w:spacing w:line="360" w:lineRule="auto"/>
        <w:rPr>
          <w:rFonts w:ascii="Times New Roman" w:hAnsi="Times New Roman" w:cs="Times New Roman"/>
          <w:sz w:val="24"/>
          <w:szCs w:val="24"/>
        </w:rPr>
      </w:pPr>
    </w:p>
    <w:p w:rsidR="009D1949" w:rsidRDefault="009D1949" w:rsidP="0032355F">
      <w:pPr>
        <w:spacing w:line="360" w:lineRule="auto"/>
        <w:rPr>
          <w:rFonts w:ascii="Times New Roman" w:hAnsi="Times New Roman" w:cs="Times New Roman"/>
          <w:sz w:val="24"/>
          <w:szCs w:val="24"/>
        </w:rPr>
      </w:pPr>
    </w:p>
    <w:p w:rsidR="009D1949" w:rsidRDefault="009D1949" w:rsidP="0032355F">
      <w:pPr>
        <w:spacing w:line="360" w:lineRule="auto"/>
        <w:rPr>
          <w:rFonts w:ascii="Times New Roman" w:hAnsi="Times New Roman" w:cs="Times New Roman"/>
          <w:sz w:val="24"/>
          <w:szCs w:val="24"/>
        </w:rPr>
      </w:pPr>
    </w:p>
    <w:p w:rsidR="009D1949" w:rsidRDefault="009D1949" w:rsidP="0032355F">
      <w:pPr>
        <w:spacing w:line="360" w:lineRule="auto"/>
        <w:rPr>
          <w:rFonts w:ascii="Times New Roman" w:hAnsi="Times New Roman" w:cs="Times New Roman"/>
          <w:sz w:val="24"/>
          <w:szCs w:val="24"/>
        </w:rPr>
      </w:pPr>
    </w:p>
    <w:p w:rsidR="009D1949" w:rsidRDefault="009D1949" w:rsidP="0032355F">
      <w:pPr>
        <w:spacing w:line="360" w:lineRule="auto"/>
        <w:rPr>
          <w:rFonts w:ascii="Times New Roman" w:hAnsi="Times New Roman" w:cs="Times New Roman"/>
          <w:sz w:val="24"/>
          <w:szCs w:val="24"/>
        </w:rPr>
      </w:pPr>
    </w:p>
    <w:p w:rsidR="009D1949" w:rsidRDefault="009D1949" w:rsidP="0032355F">
      <w:pPr>
        <w:spacing w:line="360" w:lineRule="auto"/>
        <w:rPr>
          <w:rFonts w:ascii="Times New Roman" w:hAnsi="Times New Roman" w:cs="Times New Roman"/>
          <w:sz w:val="24"/>
          <w:szCs w:val="24"/>
        </w:rPr>
      </w:pPr>
    </w:p>
    <w:p w:rsidR="009D1949" w:rsidRDefault="009D1949" w:rsidP="0032355F">
      <w:pPr>
        <w:spacing w:line="360" w:lineRule="auto"/>
        <w:rPr>
          <w:rFonts w:ascii="Times New Roman" w:hAnsi="Times New Roman" w:cs="Times New Roman"/>
          <w:sz w:val="24"/>
          <w:szCs w:val="24"/>
        </w:rPr>
      </w:pPr>
    </w:p>
    <w:p w:rsidR="009D1949" w:rsidRPr="009D1949" w:rsidRDefault="009D1949" w:rsidP="009D1949">
      <w:pPr>
        <w:spacing w:line="360" w:lineRule="auto"/>
        <w:rPr>
          <w:rFonts w:ascii="Times New Roman" w:hAnsi="Times New Roman" w:cs="Times New Roman"/>
          <w:sz w:val="24"/>
          <w:szCs w:val="24"/>
        </w:rPr>
      </w:pPr>
      <w:r w:rsidRPr="009D1949">
        <w:rPr>
          <w:rFonts w:ascii="Times New Roman" w:hAnsi="Times New Roman" w:cs="Times New Roman"/>
          <w:sz w:val="24"/>
          <w:szCs w:val="24"/>
        </w:rPr>
        <w:lastRenderedPageBreak/>
        <w:t>DILATACIÓN SUPERFICIAL</w:t>
      </w:r>
    </w:p>
    <w:p w:rsidR="009D1949" w:rsidRPr="009D1949" w:rsidRDefault="00754558" w:rsidP="009D1949">
      <w:pPr>
        <w:spacing w:line="360" w:lineRule="auto"/>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389992B5">
            <wp:simplePos x="0" y="0"/>
            <wp:positionH relativeFrom="column">
              <wp:posOffset>154305</wp:posOffset>
            </wp:positionH>
            <wp:positionV relativeFrom="paragraph">
              <wp:posOffset>121821</wp:posOffset>
            </wp:positionV>
            <wp:extent cx="2861945" cy="1033145"/>
            <wp:effectExtent l="0" t="0" r="0" b="0"/>
            <wp:wrapSquare wrapText="bothSides"/>
            <wp:docPr id="1" name="Imagen 1" descr="DILA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LAT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1945" cy="1033145"/>
                    </a:xfrm>
                    <a:prstGeom prst="rect">
                      <a:avLst/>
                    </a:prstGeom>
                    <a:noFill/>
                    <a:ln>
                      <a:noFill/>
                    </a:ln>
                  </pic:spPr>
                </pic:pic>
              </a:graphicData>
            </a:graphic>
          </wp:anchor>
        </w:drawing>
      </w:r>
      <w:r w:rsidR="009D1949" w:rsidRPr="009D1949">
        <w:rPr>
          <w:rFonts w:ascii="Times New Roman" w:hAnsi="Times New Roman" w:cs="Times New Roman"/>
          <w:sz w:val="24"/>
          <w:szCs w:val="24"/>
        </w:rPr>
        <w:t>Es aquella en que predomina la variación en dos dimensiones, o sea, la variación del área del cuerpo</w:t>
      </w:r>
    </w:p>
    <w:p w:rsidR="00754558" w:rsidRPr="00754558" w:rsidRDefault="00754558" w:rsidP="009D1949">
      <w:pPr>
        <w:spacing w:line="360" w:lineRule="auto"/>
        <w:rPr>
          <w:rFonts w:ascii="Times New Roman" w:hAnsi="Times New Roman" w:cs="Times New Roman"/>
          <w:sz w:val="24"/>
          <w:szCs w:val="24"/>
        </w:rPr>
      </w:pP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1168185</wp:posOffset>
            </wp:positionV>
            <wp:extent cx="5943600" cy="1179830"/>
            <wp:effectExtent l="0" t="0" r="0" b="1270"/>
            <wp:wrapSquare wrapText="bothSides"/>
            <wp:docPr id="2" name="Imagen 2" descr="DILA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LAT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79830"/>
                    </a:xfrm>
                    <a:prstGeom prst="rect">
                      <a:avLst/>
                    </a:prstGeom>
                    <a:noFill/>
                    <a:ln>
                      <a:noFill/>
                    </a:ln>
                  </pic:spPr>
                </pic:pic>
              </a:graphicData>
            </a:graphic>
          </wp:anchor>
        </w:drawing>
      </w:r>
      <w:r w:rsidR="009D1949" w:rsidRPr="009D1949">
        <w:rPr>
          <w:rFonts w:ascii="Times New Roman" w:hAnsi="Times New Roman" w:cs="Times New Roman"/>
          <w:sz w:val="24"/>
          <w:szCs w:val="24"/>
        </w:rPr>
        <w:t>Para estudiar este tipo de dilatación, podemos imaginar una placa metálica de área inicial S0 y temperatura inicial θ0. Si la calentáramos hasta la temperatura final θ, su área pasará a tener un valor final igual a S.</w:t>
      </w:r>
    </w:p>
    <w:p w:rsidR="00754558" w:rsidRPr="00754558" w:rsidRDefault="00754558" w:rsidP="00754558">
      <w:pPr>
        <w:pStyle w:val="NormalWeb"/>
        <w:shd w:val="clear" w:color="auto" w:fill="FEFEFE"/>
        <w:spacing w:after="375"/>
        <w:textAlignment w:val="baseline"/>
        <w:rPr>
          <w:rFonts w:ascii="Arial" w:hAnsi="Arial" w:cs="Arial"/>
          <w:color w:val="333333"/>
          <w:sz w:val="21"/>
          <w:szCs w:val="21"/>
        </w:rPr>
      </w:pPr>
      <w:r>
        <w:rPr>
          <w:rFonts w:ascii="Arial" w:hAnsi="Arial" w:cs="Arial"/>
          <w:color w:val="333333"/>
          <w:sz w:val="21"/>
          <w:szCs w:val="21"/>
        </w:rPr>
        <w:br/>
      </w:r>
      <w:r w:rsidRPr="00754558">
        <w:rPr>
          <w:rFonts w:ascii="Arial" w:hAnsi="Arial" w:cs="Arial"/>
          <w:color w:val="333333"/>
          <w:sz w:val="21"/>
          <w:szCs w:val="21"/>
        </w:rPr>
        <w:t>DILATACIÓN VOLUMÉTRICA</w:t>
      </w:r>
    </w:p>
    <w:p w:rsidR="00754558" w:rsidRPr="00754558" w:rsidRDefault="00754558" w:rsidP="00754558">
      <w:pPr>
        <w:pStyle w:val="NormalWeb"/>
        <w:shd w:val="clear" w:color="auto" w:fill="FEFEFE"/>
        <w:spacing w:after="375"/>
        <w:textAlignment w:val="baseline"/>
        <w:rPr>
          <w:rFonts w:ascii="Arial" w:hAnsi="Arial" w:cs="Arial"/>
          <w:color w:val="333333"/>
          <w:sz w:val="21"/>
          <w:szCs w:val="21"/>
        </w:rPr>
      </w:pPr>
      <w:r>
        <w:rPr>
          <w:rFonts w:ascii="Arial" w:hAnsi="Arial" w:cs="Arial"/>
          <w:noProof/>
          <w:color w:val="333333"/>
          <w:sz w:val="21"/>
          <w:szCs w:val="21"/>
        </w:rPr>
        <w:drawing>
          <wp:anchor distT="0" distB="0" distL="114300" distR="114300" simplePos="0" relativeHeight="251658240" behindDoc="0" locked="0" layoutInCell="1" allowOverlap="1">
            <wp:simplePos x="0" y="0"/>
            <wp:positionH relativeFrom="column">
              <wp:posOffset>-308758</wp:posOffset>
            </wp:positionH>
            <wp:positionV relativeFrom="paragraph">
              <wp:posOffset>4288</wp:posOffset>
            </wp:positionV>
            <wp:extent cx="2957195" cy="1330325"/>
            <wp:effectExtent l="0" t="0" r="0" b="3175"/>
            <wp:wrapSquare wrapText="bothSides"/>
            <wp:docPr id="6" name="Imagen 6" descr="DILA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LAT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7195" cy="1330325"/>
                    </a:xfrm>
                    <a:prstGeom prst="rect">
                      <a:avLst/>
                    </a:prstGeom>
                    <a:noFill/>
                    <a:ln>
                      <a:noFill/>
                    </a:ln>
                  </pic:spPr>
                </pic:pic>
              </a:graphicData>
            </a:graphic>
          </wp:anchor>
        </w:drawing>
      </w:r>
      <w:r w:rsidRPr="00754558">
        <w:rPr>
          <w:rFonts w:ascii="Arial" w:hAnsi="Arial" w:cs="Arial"/>
          <w:color w:val="333333"/>
          <w:sz w:val="21"/>
          <w:szCs w:val="21"/>
        </w:rPr>
        <w:t>Es aquella en que predomina la variación en tres dimensiones, o sea, la variación del volumen del cuerpo.</w:t>
      </w:r>
    </w:p>
    <w:p w:rsidR="00754558" w:rsidRPr="00754558" w:rsidRDefault="00754558" w:rsidP="00754558">
      <w:pPr>
        <w:pStyle w:val="NormalWeb"/>
        <w:shd w:val="clear" w:color="auto" w:fill="FEFEFE"/>
        <w:spacing w:after="375"/>
        <w:textAlignment w:val="baseline"/>
        <w:rPr>
          <w:rFonts w:ascii="Arial" w:hAnsi="Arial" w:cs="Arial"/>
          <w:color w:val="333333"/>
          <w:sz w:val="21"/>
          <w:szCs w:val="21"/>
        </w:rPr>
      </w:pPr>
      <w:r w:rsidRPr="00754558">
        <w:rPr>
          <w:rFonts w:ascii="Arial" w:hAnsi="Arial" w:cs="Arial"/>
          <w:color w:val="333333"/>
          <w:sz w:val="21"/>
          <w:szCs w:val="21"/>
        </w:rPr>
        <w:t>Para estudiar este tipo de dilatación, podemos imaginar un cubo metálico de volumen inicial V0 y la temperatura inicial θ0. Si lo calentamos hasta la temperatura final, su volumen pasará a tener un valor final igual a V.</w:t>
      </w:r>
    </w:p>
    <w:p w:rsidR="00754558" w:rsidRDefault="00754558" w:rsidP="00754558">
      <w:pPr>
        <w:pStyle w:val="NormalWeb"/>
        <w:shd w:val="clear" w:color="auto" w:fill="FEFEFE"/>
        <w:spacing w:after="375"/>
        <w:textAlignment w:val="baseline"/>
        <w:rPr>
          <w:rFonts w:ascii="Arial" w:hAnsi="Arial" w:cs="Arial"/>
          <w:color w:val="333333"/>
          <w:sz w:val="21"/>
          <w:szCs w:val="21"/>
        </w:rPr>
      </w:pPr>
      <w:r w:rsidRPr="00754558">
        <w:rPr>
          <w:rFonts w:ascii="Arial" w:hAnsi="Arial" w:cs="Arial"/>
          <w:color w:val="333333"/>
          <w:sz w:val="21"/>
          <w:szCs w:val="21"/>
        </w:rPr>
        <w:t xml:space="preserve">La dilatación volumétrica ocurrió de forma análoga a la de la dilatación lineal; por </w:t>
      </w:r>
      <w:r w:rsidRPr="00754558">
        <w:rPr>
          <w:rFonts w:ascii="Arial" w:hAnsi="Arial" w:cs="Arial"/>
          <w:color w:val="333333"/>
          <w:sz w:val="21"/>
          <w:szCs w:val="21"/>
        </w:rPr>
        <w:t>tanto,</w:t>
      </w:r>
      <w:r w:rsidRPr="00754558">
        <w:rPr>
          <w:rFonts w:ascii="Arial" w:hAnsi="Arial" w:cs="Arial"/>
          <w:color w:val="333333"/>
          <w:sz w:val="21"/>
          <w:szCs w:val="21"/>
        </w:rPr>
        <w:t xml:space="preserve"> podemos obtener las siguientes ecuaciones</w:t>
      </w:r>
    </w:p>
    <w:p w:rsidR="00754558" w:rsidRPr="00754558" w:rsidRDefault="00754558" w:rsidP="00754558">
      <w:pPr>
        <w:pStyle w:val="NormalWeb"/>
        <w:shd w:val="clear" w:color="auto" w:fill="FEFEFE"/>
        <w:spacing w:before="0" w:beforeAutospacing="0" w:after="375" w:afterAutospacing="0"/>
        <w:textAlignment w:val="baseline"/>
        <w:rPr>
          <w:rFonts w:ascii="Arial" w:hAnsi="Arial" w:cs="Arial"/>
          <w:color w:val="333333"/>
          <w:sz w:val="21"/>
          <w:szCs w:val="21"/>
        </w:rPr>
      </w:pPr>
      <w:bookmarkStart w:id="0" w:name="_GoBack"/>
      <w:r>
        <w:rPr>
          <w:rFonts w:ascii="Arial" w:hAnsi="Arial" w:cs="Arial"/>
          <w:noProof/>
          <w:color w:val="333333"/>
          <w:sz w:val="21"/>
          <w:szCs w:val="21"/>
        </w:rPr>
        <w:drawing>
          <wp:inline distT="0" distB="0" distL="0" distR="0">
            <wp:extent cx="5886156" cy="1306286"/>
            <wp:effectExtent l="0" t="0" r="635" b="8255"/>
            <wp:docPr id="5" name="Imagen 5" descr="DILAT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ILAT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6244" cy="1315183"/>
                    </a:xfrm>
                    <a:prstGeom prst="rect">
                      <a:avLst/>
                    </a:prstGeom>
                    <a:noFill/>
                    <a:ln>
                      <a:noFill/>
                    </a:ln>
                  </pic:spPr>
                </pic:pic>
              </a:graphicData>
            </a:graphic>
          </wp:inline>
        </w:drawing>
      </w:r>
      <w:bookmarkEnd w:id="0"/>
    </w:p>
    <w:sectPr w:rsidR="00754558" w:rsidRPr="00754558" w:rsidSect="00A837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6AE"/>
    <w:rsid w:val="000A5EE7"/>
    <w:rsid w:val="0010754F"/>
    <w:rsid w:val="00194663"/>
    <w:rsid w:val="001D255E"/>
    <w:rsid w:val="002D38D2"/>
    <w:rsid w:val="002E66AE"/>
    <w:rsid w:val="0032355F"/>
    <w:rsid w:val="004A0602"/>
    <w:rsid w:val="00535B51"/>
    <w:rsid w:val="005431DE"/>
    <w:rsid w:val="0054568E"/>
    <w:rsid w:val="006A42E8"/>
    <w:rsid w:val="00754558"/>
    <w:rsid w:val="0075548B"/>
    <w:rsid w:val="007B4574"/>
    <w:rsid w:val="008039F1"/>
    <w:rsid w:val="00804C1D"/>
    <w:rsid w:val="0082400E"/>
    <w:rsid w:val="00831D1A"/>
    <w:rsid w:val="008A0047"/>
    <w:rsid w:val="008E7EA2"/>
    <w:rsid w:val="00932194"/>
    <w:rsid w:val="009D1949"/>
    <w:rsid w:val="00A83786"/>
    <w:rsid w:val="00AB2972"/>
    <w:rsid w:val="00AB7910"/>
    <w:rsid w:val="00BF7908"/>
    <w:rsid w:val="00C33083"/>
    <w:rsid w:val="00CB4B7B"/>
    <w:rsid w:val="00CC041A"/>
    <w:rsid w:val="00CC11F9"/>
    <w:rsid w:val="00D56EDD"/>
    <w:rsid w:val="00D57A4B"/>
    <w:rsid w:val="00F623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407DC"/>
  <w15:chartTrackingRefBased/>
  <w15:docId w15:val="{A8E8E6A6-4663-4D8D-99AC-7BBB0F4A6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A42E8"/>
    <w:rPr>
      <w:color w:val="0000FF"/>
      <w:u w:val="single"/>
    </w:rPr>
  </w:style>
  <w:style w:type="character" w:styleId="Mencinsinresolver">
    <w:name w:val="Unresolved Mention"/>
    <w:basedOn w:val="Fuentedeprrafopredeter"/>
    <w:uiPriority w:val="99"/>
    <w:semiHidden/>
    <w:unhideWhenUsed/>
    <w:rsid w:val="006A42E8"/>
    <w:rPr>
      <w:color w:val="605E5C"/>
      <w:shd w:val="clear" w:color="auto" w:fill="E1DFDD"/>
    </w:rPr>
  </w:style>
  <w:style w:type="paragraph" w:styleId="NormalWeb">
    <w:name w:val="Normal (Web)"/>
    <w:basedOn w:val="Normal"/>
    <w:uiPriority w:val="99"/>
    <w:unhideWhenUsed/>
    <w:rsid w:val="0075455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545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57084">
      <w:bodyDiv w:val="1"/>
      <w:marLeft w:val="0"/>
      <w:marRight w:val="0"/>
      <w:marTop w:val="0"/>
      <w:marBottom w:val="0"/>
      <w:divBdr>
        <w:top w:val="none" w:sz="0" w:space="0" w:color="auto"/>
        <w:left w:val="none" w:sz="0" w:space="0" w:color="auto"/>
        <w:bottom w:val="none" w:sz="0" w:space="0" w:color="auto"/>
        <w:right w:val="none" w:sz="0" w:space="0" w:color="auto"/>
      </w:divBdr>
    </w:div>
    <w:div w:id="1465004164">
      <w:bodyDiv w:val="1"/>
      <w:marLeft w:val="0"/>
      <w:marRight w:val="0"/>
      <w:marTop w:val="0"/>
      <w:marBottom w:val="0"/>
      <w:divBdr>
        <w:top w:val="none" w:sz="0" w:space="0" w:color="auto"/>
        <w:left w:val="none" w:sz="0" w:space="0" w:color="auto"/>
        <w:bottom w:val="none" w:sz="0" w:space="0" w:color="auto"/>
        <w:right w:val="none" w:sz="0" w:space="0" w:color="auto"/>
      </w:divBdr>
    </w:div>
    <w:div w:id="185299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cidoformico.com/" TargetMode="External"/><Relationship Id="rId11" Type="http://schemas.openxmlformats.org/officeDocument/2006/relationships/fontTable" Target="fontTable.xml"/><Relationship Id="rId5" Type="http://schemas.openxmlformats.org/officeDocument/2006/relationships/hyperlink" Target="https://acidoclorhidrico.org/acido-formico/" TargetMode="External"/><Relationship Id="rId10" Type="http://schemas.openxmlformats.org/officeDocument/2006/relationships/image" Target="media/image4.jpeg"/><Relationship Id="rId4" Type="http://schemas.openxmlformats.org/officeDocument/2006/relationships/hyperlink" Target="https://bibliotecadigital.exactas.uba.ar/download/tesis/tesis_n0434_MoscosoBoedo.pdf" TargetMode="Externa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624</Words>
  <Characters>3433</Characters>
  <Application>Microsoft Office Word</Application>
  <DocSecurity>0</DocSecurity>
  <Lines>28</Lines>
  <Paragraphs>8</Paragraphs>
  <ScaleCrop>false</ScaleCrop>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marin</dc:creator>
  <cp:keywords/>
  <dc:description/>
  <cp:lastModifiedBy>cristian marin</cp:lastModifiedBy>
  <cp:revision>36</cp:revision>
  <dcterms:created xsi:type="dcterms:W3CDTF">2019-09-29T22:19:00Z</dcterms:created>
  <dcterms:modified xsi:type="dcterms:W3CDTF">2019-09-30T10:49:00Z</dcterms:modified>
</cp:coreProperties>
</file>