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56"/>
        </w:rPr>
        <w:t>MANWË</w:t>
      </w:r>
    </w:p>
    <w:p>
      <w:pPr>
        <w:jc w:val="center"/>
      </w:pPr>
      <w:r>
        <w:rPr>
          <w:b/>
          <w:sz w:val="32"/>
        </w:rPr>
        <w:t>Index documentaire — source de vérité et documents dérivés</w:t>
      </w:r>
    </w:p>
    <w:p>
      <w:pPr>
        <w:jc w:val="center"/>
      </w:pPr>
      <w:r>
        <w:rPr>
          <w:color w:val="646464"/>
          <w:sz w:val="20"/>
        </w:rPr>
        <w:t>v3.0 • 30 août 2026</w:t>
      </w:r>
    </w:p>
    <w:p/>
    <w:p>
      <w:pPr>
        <w:pStyle w:val="Heading1"/>
      </w:pPr>
      <w:r>
        <w:t>1. Source de vérité</w:t>
      </w:r>
    </w:p>
    <w:p>
      <w:r>
        <w:t>MANWE_Master_Specification_v3_0.docx est le document conceptuel de référence. Toute évolution produit structurante doit y être intégrée avant d’être propagée aux documents spécialisés.</w:t>
      </w:r>
    </w:p>
    <w:p>
      <w:pPr>
        <w:pStyle w:val="Heading1"/>
      </w:pPr>
      <w:r>
        <w:t>2. Documents spécialisés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3557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3360"/>
            <w:shd w:fill="1D3557"/>
          </w:tcPr>
          <w:p>
            <w:r>
              <w:rPr>
                <w:color w:val="FFFFFF"/>
              </w:rPr>
              <w:t>Rôle</w:t>
            </w:r>
          </w:p>
        </w:tc>
        <w:tc>
          <w:tcPr>
            <w:tcW w:type="dxa" w:w="3360"/>
            <w:shd w:fill="1D3557"/>
          </w:tcPr>
          <w:p>
            <w:r>
              <w:rPr>
                <w:color w:val="FFFFFF"/>
              </w:rPr>
              <w:t>Statut</w:t>
            </w:r>
          </w:p>
        </w:tc>
      </w:tr>
      <w:tr>
        <w:tc>
          <w:tcPr>
            <w:tcW w:type="dxa" w:w="3360"/>
          </w:tcPr>
          <w:p>
            <w:r>
              <w:t>MANWE_UX_Vision_v3_0.docx</w:t>
            </w:r>
          </w:p>
        </w:tc>
        <w:tc>
          <w:tcPr>
            <w:tcW w:type="dxa" w:w="3360"/>
          </w:tcPr>
          <w:p>
            <w:r>
              <w:t>Paradigme d’interaction, Living Graph, collaboration humain–LLM</w:t>
            </w:r>
          </w:p>
        </w:tc>
        <w:tc>
          <w:tcPr>
            <w:tcW w:type="dxa" w:w="3360"/>
          </w:tcPr>
          <w:p>
            <w:r>
              <w:t>Dérivé du master v3.0</w:t>
            </w:r>
          </w:p>
        </w:tc>
      </w:tr>
      <w:tr>
        <w:tc>
          <w:tcPr>
            <w:tcW w:type="dxa" w:w="3360"/>
          </w:tcPr>
          <w:p>
            <w:r>
              <w:t>MANWE_Technical_Architecture_v3_0.docx</w:t>
            </w:r>
          </w:p>
        </w:tc>
        <w:tc>
          <w:tcPr>
            <w:tcW w:type="dxa" w:w="3360"/>
          </w:tcPr>
          <w:p>
            <w:r>
              <w:t>Architecture local-first, projection graphe, events, contrats UI/backend</w:t>
            </w:r>
          </w:p>
        </w:tc>
        <w:tc>
          <w:tcPr>
            <w:tcW w:type="dxa" w:w="3360"/>
          </w:tcPr>
          <w:p>
            <w:r>
              <w:t>Dérivé du master v3.0</w:t>
            </w:r>
          </w:p>
        </w:tc>
      </w:tr>
      <w:tr>
        <w:tc>
          <w:tcPr>
            <w:tcW w:type="dxa" w:w="3360"/>
          </w:tcPr>
          <w:p>
            <w:r>
              <w:t>MANWE_PoC_Plan_v3_0.docx</w:t>
            </w:r>
          </w:p>
        </w:tc>
        <w:tc>
          <w:tcPr>
            <w:tcW w:type="dxa" w:w="3360"/>
          </w:tcPr>
          <w:p>
            <w:r>
              <w:t>Vertical slice et critères de validation</w:t>
            </w:r>
          </w:p>
        </w:tc>
        <w:tc>
          <w:tcPr>
            <w:tcW w:type="dxa" w:w="3360"/>
          </w:tcPr>
          <w:p>
            <w:r>
              <w:t>Dérivé du master v3.0</w:t>
            </w:r>
          </w:p>
        </w:tc>
      </w:tr>
      <w:tr>
        <w:tc>
          <w:tcPr>
            <w:tcW w:type="dxa" w:w="3360"/>
          </w:tcPr>
          <w:p>
            <w:r>
              <w:t>README.md</w:t>
            </w:r>
          </w:p>
        </w:tc>
        <w:tc>
          <w:tcPr>
            <w:tcW w:type="dxa" w:w="3360"/>
          </w:tcPr>
          <w:p>
            <w:r>
              <w:t>Orientation rapide du prototype et liens vers les specs</w:t>
            </w:r>
          </w:p>
        </w:tc>
        <w:tc>
          <w:tcPr>
            <w:tcW w:type="dxa" w:w="3360"/>
          </w:tcPr>
          <w:p>
            <w:r>
              <w:t>Dérivé / pratique</w:t>
            </w:r>
          </w:p>
        </w:tc>
      </w:tr>
      <w:tr>
        <w:tc>
          <w:tcPr>
            <w:tcW w:type="dxa" w:w="3360"/>
          </w:tcPr>
          <w:p>
            <w:r>
              <w:t>UX_VISION.md</w:t>
            </w:r>
          </w:p>
        </w:tc>
        <w:tc>
          <w:tcPr>
            <w:tcW w:type="dxa" w:w="3360"/>
          </w:tcPr>
          <w:p>
            <w:r>
              <w:t>Version Markdown de la direction UX</w:t>
            </w:r>
          </w:p>
        </w:tc>
        <w:tc>
          <w:tcPr>
            <w:tcW w:type="dxa" w:w="3360"/>
          </w:tcPr>
          <w:p>
            <w:r>
              <w:t>Dérivé / pratique</w:t>
            </w:r>
          </w:p>
        </w:tc>
      </w:tr>
      <w:tr>
        <w:tc>
          <w:tcPr>
            <w:tcW w:type="dxa" w:w="3360"/>
          </w:tcPr>
          <w:p>
            <w:r>
              <w:t>ARCHITECTURE.md</w:t>
            </w:r>
          </w:p>
        </w:tc>
        <w:tc>
          <w:tcPr>
            <w:tcW w:type="dxa" w:w="3360"/>
          </w:tcPr>
          <w:p>
            <w:r>
              <w:t>Version Markdown des contrats d’architecture</w:t>
            </w:r>
          </w:p>
        </w:tc>
        <w:tc>
          <w:tcPr>
            <w:tcW w:type="dxa" w:w="3360"/>
          </w:tcPr>
          <w:p>
            <w:r>
              <w:t>Dérivé / pratique</w:t>
            </w:r>
          </w:p>
        </w:tc>
      </w:tr>
      <w:tr>
        <w:tc>
          <w:tcPr>
            <w:tcW w:type="dxa" w:w="3360"/>
          </w:tcPr>
          <w:p>
            <w:r>
              <w:t>POC_PLAN.md</w:t>
            </w:r>
          </w:p>
        </w:tc>
        <w:tc>
          <w:tcPr>
            <w:tcW w:type="dxa" w:w="3360"/>
          </w:tcPr>
          <w:p>
            <w:r>
              <w:t>Version Markdown du plan PoC</w:t>
            </w:r>
          </w:p>
        </w:tc>
        <w:tc>
          <w:tcPr>
            <w:tcW w:type="dxa" w:w="3360"/>
          </w:tcPr>
          <w:p>
            <w:r>
              <w:t>Dérivé / pratique</w:t>
            </w:r>
          </w:p>
        </w:tc>
      </w:tr>
    </w:tbl>
    <w:p>
      <w:pPr>
        <w:pStyle w:val="Heading1"/>
      </w:pPr>
      <w:r>
        <w:t>3. Versions superseded</w:t>
      </w:r>
    </w:p>
    <w:p>
      <w:r>
        <w:t>V0.1, V1.x, V2.0, V2.1 et V2.2 restent des archives historiques. Elles ne doivent plus être utilisées comme spécification courante. V3.0 conserve les éléments V2.2 non contredits et remplace le positionnement UI/architecture devenu obsolète.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4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5D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2D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