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56"/>
        </w:rPr>
        <w:t>MANWË</w:t>
      </w:r>
    </w:p>
    <w:p>
      <w:pPr>
        <w:jc w:val="center"/>
      </w:pPr>
      <w:r>
        <w:rPr>
          <w:b/>
          <w:sz w:val="32"/>
        </w:rPr>
        <w:t>Architecture technique — local-first, agentique et Living Graph</w:t>
      </w:r>
    </w:p>
    <w:p>
      <w:pPr>
        <w:jc w:val="center"/>
      </w:pPr>
      <w:r>
        <w:rPr>
          <w:color w:val="646464"/>
          <w:sz w:val="20"/>
        </w:rPr>
        <w:t>v3.0 • 30 août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7"/>
            <w:vAlign w:val="center"/>
          </w:tcPr>
          <w:p>
            <w:r>
              <w:rPr>
                <w:b/>
                <w:color w:val="1D3557"/>
              </w:rPr>
              <w:t>Contrat d’architecture</w:t>
              <w:br/>
            </w:r>
            <w:r>
              <w:t>PostgreSQL est l'état canonique machine-readable ; le Living Graph est une projection contextuelle ; l'interface n'expose pas l'ontologie technique comme navigation primaire.</w:t>
            </w:r>
          </w:p>
        </w:tc>
      </w:tr>
    </w:tbl>
    <w:p/>
    <w:p>
      <w:pPr>
        <w:pStyle w:val="Heading1"/>
      </w:pPr>
      <w:r>
        <w:t>1. Topologie cible</w:t>
      </w:r>
    </w:p>
    <w:p>
      <w:pPr>
        <w:pStyle w:val="ListBullet"/>
      </w:pPr>
      <w:r>
        <w:t>Windows/Tauri + React/TypeScript comme client desktop principal.</w:t>
      </w:r>
    </w:p>
    <w:p>
      <w:pPr>
        <w:pStyle w:val="ListBullet"/>
      </w:pPr>
      <w:r>
        <w:t>Backend personnel local-first exécuté sur le poste ou un nœud auto-hébergé.</w:t>
      </w:r>
    </w:p>
    <w:p>
      <w:pPr>
        <w:pStyle w:val="ListBullet"/>
      </w:pPr>
      <w:r>
        <w:t>PostgreSQL + pgvector pour état canonique, temporalité, evidence lineage et retrieval.</w:t>
      </w:r>
    </w:p>
    <w:p>
      <w:pPr>
        <w:pStyle w:val="ListBullet"/>
      </w:pPr>
      <w:r>
        <w:t>Obsidian/Markdown comme projection humaine durable, non source canonique.</w:t>
      </w:r>
    </w:p>
    <w:p>
      <w:pPr>
        <w:pStyle w:val="ListBullet"/>
      </w:pPr>
      <w:r>
        <w:t>DeepSeek Harness/Cordis comme runtime de référence, provider-agnostic.</w:t>
      </w:r>
    </w:p>
    <w:p>
      <w:pPr>
        <w:pStyle w:val="ListBullet"/>
      </w:pPr>
      <w:r>
        <w:t>Frontier APIs et/ou modèles locaux selon tâche, coût et confidentialité.</w:t>
      </w:r>
    </w:p>
    <w:p>
      <w:pPr>
        <w:pStyle w:val="ListBullet"/>
      </w:pPr>
      <w:r>
        <w:t>WebSocket pour événements agentiques et deltas du Living Graph.</w:t>
      </w:r>
    </w:p>
    <w:p>
      <w:pPr>
        <w:pStyle w:val="ListBullet"/>
      </w:pPr>
      <w:r>
        <w:t>MCP/API pour outils externes ; Playwright pour futures sources navigateur.</w:t>
      </w:r>
    </w:p>
    <w:p>
      <w:pPr>
        <w:pStyle w:val="Heading1"/>
      </w:pPr>
      <w:r>
        <w:t>2. Projection Living Graph</w:t>
      </w:r>
    </w:p>
    <w:p>
      <w:pPr>
        <w:pStyle w:val="ListBullet"/>
      </w:pPr>
      <w:r>
        <w:t>GraphProjection reçoit un FocusContext (question, personne, problem, goal, conversation).</w:t>
      </w:r>
    </w:p>
    <w:p>
      <w:pPr>
        <w:pStyle w:val="ListBullet"/>
      </w:pPr>
      <w:r>
        <w:t>Le backend sélectionne un petit sous-graphe explicatif plutôt que le graphe complet.</w:t>
      </w:r>
    </w:p>
    <w:p>
      <w:pPr>
        <w:pStyle w:val="ListBullet"/>
      </w:pPr>
      <w:r>
        <w:t>Chaque CognitiveNode porte type, epistemic_status, freshness, salience et références de provenance.</w:t>
      </w:r>
    </w:p>
    <w:p>
      <w:pPr>
        <w:pStyle w:val="ListBullet"/>
      </w:pPr>
      <w:r>
        <w:t>Chaque edge peut porter relation, justification, force qualitative, temporalité et incertitude.</w:t>
      </w:r>
    </w:p>
    <w:p>
      <w:pPr>
        <w:pStyle w:val="ListBullet"/>
      </w:pPr>
      <w:r>
        <w:t>Le LLM peut demander un GraphDelta : focus, add/remove/attenuate, question_opened, hypothesis_revised.</w:t>
      </w:r>
    </w:p>
    <w:p>
      <w:pPr>
        <w:pStyle w:val="Heading1"/>
      </w:pPr>
      <w:r>
        <w:t>3. Objets cognitifs</w:t>
      </w:r>
    </w:p>
    <w:p>
      <w:pPr>
        <w:pStyle w:val="ListBullet"/>
      </w:pPr>
      <w:r>
        <w:t>Person, Relationship, Group, Interaction/Event, Claim, Evidence, UserImpression, Hypothesis, OpenQuestion, HumanAnnotation, Goal, Problem, Strategy/Path, ContextFinding.</w:t>
      </w:r>
    </w:p>
    <w:p>
      <w:pPr>
        <w:pStyle w:val="ListBullet"/>
      </w:pPr>
      <w:r>
        <w:t>UserImpression est distinct d’Observed et d’Inferred.</w:t>
      </w:r>
    </w:p>
    <w:p>
      <w:pPr>
        <w:pStyle w:val="ListBullet"/>
      </w:pPr>
      <w:r>
        <w:t>OpenQuestion est persistant et relié à l’incertitude qu’il doit réduire.</w:t>
      </w:r>
    </w:p>
    <w:p>
      <w:pPr>
        <w:pStyle w:val="ListBullet"/>
      </w:pPr>
      <w:r>
        <w:t>HumanAnnotation est attachée à l’objet commenté et reste traçable.</w:t>
      </w:r>
    </w:p>
    <w:p>
      <w:pPr>
        <w:pStyle w:val="Heading1"/>
      </w:pPr>
      <w:r>
        <w:t>4. Evidence contract</w:t>
      </w:r>
    </w:p>
    <w:p>
      <w:pPr>
        <w:pStyle w:val="ListBullet"/>
      </w:pPr>
      <w:r>
        <w:t>Toute Claim inspectable doit pouvoir résoudre vers des Evidence items.</w:t>
      </w:r>
    </w:p>
    <w:p>
      <w:pPr>
        <w:pStyle w:val="ListBullet"/>
      </w:pPr>
      <w:r>
        <w:t>Evidence doit résoudre vers observations/événements et sources originales.</w:t>
      </w:r>
    </w:p>
    <w:p>
      <w:pPr>
        <w:pStyle w:val="ListBullet"/>
      </w:pPr>
      <w:r>
        <w:t>Les éléments supporting/against et hypothèses alternatives sont stockés séparément de la prose finale.</w:t>
      </w:r>
    </w:p>
    <w:p>
      <w:pPr>
        <w:pStyle w:val="ListBullet"/>
      </w:pPr>
      <w:r>
        <w:t>La confiance d’une hypothèse et le seuil d’intervention restent des dimensions séparées.</w:t>
      </w:r>
    </w:p>
    <w:p>
      <w:pPr>
        <w:pStyle w:val="Heading1"/>
      </w:pPr>
      <w:r>
        <w:t>5. Agent-to-UI events</w:t>
      </w:r>
    </w:p>
    <w:p>
      <w:pPr>
        <w:pStyle w:val="ListBullet"/>
      </w:pPr>
      <w:r>
        <w:t>focus.changed</w:t>
      </w:r>
    </w:p>
    <w:p>
      <w:pPr>
        <w:pStyle w:val="ListBullet"/>
      </w:pPr>
      <w:r>
        <w:t>graph.projection.updated / graph.delta</w:t>
      </w:r>
    </w:p>
    <w:p>
      <w:pPr>
        <w:pStyle w:val="ListBullet"/>
      </w:pPr>
      <w:r>
        <w:t>hypothesis.created / revised / weakened</w:t>
      </w:r>
    </w:p>
    <w:p>
      <w:pPr>
        <w:pStyle w:val="ListBullet"/>
      </w:pPr>
      <w:r>
        <w:t>question.opened / resolved</w:t>
      </w:r>
    </w:p>
    <w:p>
      <w:pPr>
        <w:pStyle w:val="ListBullet"/>
      </w:pPr>
      <w:r>
        <w:t>evidence.attached</w:t>
      </w:r>
    </w:p>
    <w:p>
      <w:pPr>
        <w:pStyle w:val="ListBullet"/>
      </w:pPr>
      <w:r>
        <w:t>annotation.incorporated</w:t>
      </w:r>
    </w:p>
    <w:p>
      <w:pPr>
        <w:pStyle w:val="ListBullet"/>
      </w:pPr>
      <w:r>
        <w:t>goal.relevance.changed / problem.reframed</w:t>
      </w:r>
    </w:p>
    <w:p>
      <w:pPr>
        <w:pStyle w:val="ListBullet"/>
      </w:pPr>
      <w:r>
        <w:t>counselor.suggestion</w:t>
      </w:r>
    </w:p>
    <w:p>
      <w:pPr>
        <w:pStyle w:val="ListBullet"/>
      </w:pPr>
      <w:r>
        <w:t>research.started / completed / expired</w:t>
      </w:r>
    </w:p>
    <w:p>
      <w:pPr>
        <w:pStyle w:val="Heading1"/>
      </w:pPr>
      <w:r>
        <w:t>6. Interfaces applicatives</w:t>
      </w:r>
    </w:p>
    <w:p>
      <w:pPr>
        <w:pStyle w:val="ListBullet"/>
      </w:pPr>
      <w:r>
        <w:t>AgentEventStream : WebSocket → store UI.</w:t>
      </w:r>
    </w:p>
    <w:p>
      <w:pPr>
        <w:pStyle w:val="ListBullet"/>
      </w:pPr>
      <w:r>
        <w:t>PeopleRepository / SocialWorldRepository : état canonique via backend local.</w:t>
      </w:r>
    </w:p>
    <w:p>
      <w:pPr>
        <w:pStyle w:val="ListBullet"/>
      </w:pPr>
      <w:r>
        <w:t>GraphProjectionService : construction du sous-graphe contextuel.</w:t>
      </w:r>
    </w:p>
    <w:p>
      <w:pPr>
        <w:pStyle w:val="ListBullet"/>
      </w:pPr>
      <w:r>
        <w:t>EvidenceTraceService : claim → evidence → source.</w:t>
      </w:r>
    </w:p>
    <w:p>
      <w:pPr>
        <w:pStyle w:val="ListBullet"/>
      </w:pPr>
      <w:r>
        <w:t>HumanAnnotationStore : corrections et commentaires.</w:t>
      </w:r>
    </w:p>
    <w:p>
      <w:pPr>
        <w:pStyle w:val="ListBullet"/>
      </w:pPr>
      <w:r>
        <w:t>VaultAdapter : projection Markdown/Obsidian.</w:t>
      </w:r>
    </w:p>
    <w:p>
      <w:pPr>
        <w:pStyle w:val="ListBullet"/>
      </w:pPr>
      <w:r>
        <w:t>SourceAdapters : journal, notifications, navigateur, comptes connectés.</w:t>
      </w:r>
    </w:p>
    <w:p>
      <w:pPr>
        <w:pStyle w:val="ListBullet"/>
      </w:pPr>
      <w:r>
        <w:t>HarnessBridge : runtime agentique et subagents.</w:t>
      </w:r>
    </w:p>
    <w:p>
      <w:pPr>
        <w:pStyle w:val="Heading1"/>
      </w:pPr>
      <w:r>
        <w:t>7. Sécurité et sensibilité</w:t>
      </w:r>
    </w:p>
    <w:p>
      <w:pPr>
        <w:pStyle w:val="ListBullet"/>
      </w:pPr>
      <w:r>
        <w:t>Local-first par défaut ; aucune synchronisation externe implicite.</w:t>
      </w:r>
    </w:p>
    <w:p>
      <w:pPr>
        <w:pStyle w:val="ListBullet"/>
      </w:pPr>
      <w:r>
        <w:t>Provenance et politique d’export sur chaque catégorie sensible.</w:t>
      </w:r>
    </w:p>
    <w:p>
      <w:pPr>
        <w:pStyle w:val="ListBullet"/>
      </w:pPr>
      <w:r>
        <w:t>Séparer données brutes, interprétations et projections envoyées aux modèles distants.</w:t>
      </w:r>
    </w:p>
    <w:p>
      <w:pPr>
        <w:pStyle w:val="ListBullet"/>
      </w:pPr>
      <w:r>
        <w:t>Permettre un routing vers modèle local pour tâches adaptées.</w:t>
      </w:r>
    </w:p>
    <w:p>
      <w:pPr>
        <w:pStyle w:val="ListBullet"/>
      </w:pPr>
      <w:r>
        <w:t>Journaliser les accès et transformations importantes sans exposer de télémétrie technique dans l’UX normale.</w:t>
      </w:r>
    </w:p>
    <w:p>
      <w:pPr>
        <w:pStyle w:val="Heading1"/>
      </w:pPr>
      <w:r>
        <w:t>8. Architecture UI</w:t>
      </w:r>
    </w:p>
    <w:p>
      <w:pPr>
        <w:pStyle w:val="ListBullet"/>
      </w:pPr>
      <w:r>
        <w:t>Composition desktop : navigation légère | Living Workspace | Inspector contextuel.</w:t>
      </w:r>
    </w:p>
    <w:p>
      <w:pPr>
        <w:pStyle w:val="ListBullet"/>
      </w:pPr>
      <w:r>
        <w:t>Natural-language input persistant, utilisable depuis tout contexte.</w:t>
      </w:r>
    </w:p>
    <w:p>
      <w:pPr>
        <w:pStyle w:val="ListBullet"/>
      </w:pPr>
      <w:r>
        <w:t>Le graphe et la narration sont deux rendus du même FocusContext.</w:t>
      </w:r>
    </w:p>
    <w:p>
      <w:pPr>
        <w:pStyle w:val="ListBullet"/>
      </w:pPr>
      <w:r>
        <w:t>Composants clés : LivingGraph, CognitiveNode, OpenQuestionNode, EpistemicBadge, ObjectInspector, EvidenceTrail, HumanAnnotationComposer, NarrativeSynthesis, GoalDirection, ProblemDecomposition, FreshnessIndicator.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5D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D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