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Study Notes: Entropy-Based Cross-Species Variant Prioritization</w:t>
      </w:r>
    </w:p>
    <w:p>
      <w:pPr>
        <w:jc w:val="center"/>
      </w:pPr>
      <w:r>
        <w:t>Research concept, dataset design, Git/Python setup, ClinVar parsing, and Benchmark 1A filtering - progress through 1 September 2026</w:t>
      </w:r>
    </w:p>
    <w:p>
      <w:r>
        <w:t>Purpose of this document: to serve as a study-oriented record of the project from its conceptual beginning through the current ClinVar benchmark-filtering stage. It explains not only what was done, but why each step matters scientifically and computationally.</w:t>
      </w:r>
    </w:p>
    <w:p>
      <w:r>
        <w:t>Completed milestone: verified 24,904 pathogenic/likely pathogenic and 40,321 benign/likely benign candidates after the strict 2- to 4-star filter. Next: complete the Benchmark 1A integrity audit.</w:t>
      </w:r>
    </w:p>
    <w:p>
      <w:pPr>
        <w:pStyle w:val="Heading1"/>
      </w:pPr>
      <w:r>
        <w:t>1. Project Overview and Research Question</w:t>
      </w:r>
    </w:p>
    <w:p>
      <w:r>
        <w:t>This is an individual research-publication and open-source software project. Its central goal is to test whether an interpretable measure of evolutionary conservation—cross-species multiple-sequence-alignment (MSA) Shannon entropy—adds useful information beyond established variant-effect predictors, and whether independent RNA-seq evidence further improves human variant prioritization.</w:t>
      </w:r>
    </w:p>
    <w:p>
      <w:r>
        <w:t>Working hypothesis:</w:t>
      </w:r>
    </w:p>
    <w:p>
      <w:r>
        <w:t>Cross-species MSA-derived Shannon entropy captures an interpretable component of evolutionary constraint that is not completely represented by conventional variant-effect predictors. Integrating entropy with established functional prediction scores and independent RNA-seq evidence may improve prioritization of functionally consequential variants across diverse human disease contexts.</w:t>
      </w:r>
    </w:p>
    <w:p>
      <w:r>
        <w:t>The project is intentionally disease-agnostic at the core. The first publication benchmark is human, while the evolutionary evidence is cross-species.</w:t>
      </w:r>
    </w:p>
    <w:p>
      <w:pPr>
        <w:pStyle w:val="Heading2"/>
      </w:pPr>
      <w:r>
        <w:t>1.1 Planned evidence models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Model</w:t>
            </w:r>
          </w:p>
        </w:tc>
        <w:tc>
          <w:tcPr>
            <w:tcW w:type="dxa" w:w="3312"/>
            <w:vAlign w:val="center"/>
          </w:tcPr>
          <w:p>
            <w:r>
              <w:rPr>
                <w:b/>
              </w:rPr>
              <w:t>Evidence included</w:t>
            </w:r>
          </w:p>
        </w:tc>
        <w:tc>
          <w:tcPr>
            <w:tcW w:type="dxa" w:w="3312"/>
            <w:vAlign w:val="center"/>
          </w:tcPr>
          <w:p>
            <w:r>
              <w:rPr>
                <w:b/>
              </w:rPr>
              <w:t>Purpose</w:t>
            </w:r>
          </w:p>
        </w:tc>
      </w:tr>
      <w:tr>
        <w:tc>
          <w:tcPr>
            <w:tcW w:type="dxa" w:w="3312"/>
            <w:vAlign w:val="center"/>
          </w:tcPr>
          <w:p>
            <w:r>
              <w:t>M1</w:t>
            </w:r>
          </w:p>
        </w:tc>
        <w:tc>
          <w:tcPr>
            <w:tcW w:type="dxa" w:w="3312"/>
            <w:vAlign w:val="center"/>
          </w:tcPr>
          <w:p>
            <w:r>
              <w:t>Established functional predictors</w:t>
            </w:r>
          </w:p>
        </w:tc>
        <w:tc>
          <w:tcPr>
            <w:tcW w:type="dxa" w:w="3312"/>
            <w:vAlign w:val="center"/>
          </w:tcPr>
          <w:p>
            <w:r>
              <w:t>Baseline predictor model</w:t>
            </w:r>
          </w:p>
        </w:tc>
      </w:tr>
      <w:tr>
        <w:tc>
          <w:tcPr>
            <w:tcW w:type="dxa" w:w="3312"/>
            <w:vAlign w:val="center"/>
          </w:tcPr>
          <w:p>
            <w:r>
              <w:t>M2</w:t>
            </w:r>
          </w:p>
        </w:tc>
        <w:tc>
          <w:tcPr>
            <w:tcW w:type="dxa" w:w="3312"/>
            <w:vAlign w:val="center"/>
          </w:tcPr>
          <w:p>
            <w:r>
              <w:t>Shannon entropy alone</w:t>
            </w:r>
          </w:p>
        </w:tc>
        <w:tc>
          <w:tcPr>
            <w:tcW w:type="dxa" w:w="3312"/>
            <w:vAlign w:val="center"/>
          </w:tcPr>
          <w:p>
            <w:r>
              <w:t>Test evolutionary conservation as a standalone signal</w:t>
            </w:r>
          </w:p>
        </w:tc>
      </w:tr>
      <w:tr>
        <w:tc>
          <w:tcPr>
            <w:tcW w:type="dxa" w:w="3312"/>
            <w:vAlign w:val="center"/>
          </w:tcPr>
          <w:p>
            <w:r>
              <w:t>M3</w:t>
            </w:r>
          </w:p>
        </w:tc>
        <w:tc>
          <w:tcPr>
            <w:tcW w:type="dxa" w:w="3312"/>
            <w:vAlign w:val="center"/>
          </w:tcPr>
          <w:p>
            <w:r>
              <w:t>Functional predictors + entropy</w:t>
            </w:r>
          </w:p>
        </w:tc>
        <w:tc>
          <w:tcPr>
            <w:tcW w:type="dxa" w:w="3312"/>
            <w:vAlign w:val="center"/>
          </w:tcPr>
          <w:p>
            <w:r>
              <w:t>Test whether entropy adds information beyond predictors</w:t>
            </w:r>
          </w:p>
        </w:tc>
      </w:tr>
      <w:tr>
        <w:tc>
          <w:tcPr>
            <w:tcW w:type="dxa" w:w="3312"/>
            <w:vAlign w:val="center"/>
          </w:tcPr>
          <w:p>
            <w:r>
              <w:t>M4</w:t>
            </w:r>
          </w:p>
        </w:tc>
        <w:tc>
          <w:tcPr>
            <w:tcW w:type="dxa" w:w="3312"/>
            <w:vAlign w:val="center"/>
          </w:tcPr>
          <w:p>
            <w:r>
              <w:t>Functional predictors + entropy + RNA-seq evidence</w:t>
            </w:r>
          </w:p>
        </w:tc>
        <w:tc>
          <w:tcPr>
            <w:tcW w:type="dxa" w:w="3312"/>
            <w:vAlign w:val="center"/>
          </w:tcPr>
          <w:p>
            <w:r>
              <w:t>Test whether independent transcriptomic evidence adds further value</w:t>
            </w:r>
          </w:p>
        </w:tc>
      </w:tr>
    </w:tbl>
    <w:p>
      <w:r>
        <w:t>The main comparison is whether M3 improves over M1 and whether M4 improves over M3. M2 is a standalone baseline and is not required to outperform M1.</w:t>
      </w:r>
    </w:p>
    <w:p>
      <w:pPr>
        <w:pStyle w:val="Heading2"/>
      </w:pPr>
      <w:r>
        <w:t>1.2 Planned evaluation metrics</w:t>
      </w:r>
    </w:p>
    <w:p>
      <w:pPr>
        <w:pStyle w:val="ListBullet"/>
      </w:pPr>
      <w:r>
        <w:t>ROC-AUC: measures discrimination across classification thresholds.</w:t>
      </w:r>
    </w:p>
    <w:p>
      <w:pPr>
        <w:pStyle w:val="ListBullet"/>
      </w:pPr>
      <w:r>
        <w:t>PR-AUC: especially important when pathogenic and benign classes are imbalanced.</w:t>
      </w:r>
    </w:p>
    <w:p>
      <w:pPr>
        <w:pStyle w:val="ListBullet"/>
      </w:pPr>
      <w:r>
        <w:t>MCC: provides a balanced summary of binary classification performance.</w:t>
      </w:r>
    </w:p>
    <w:p>
      <w:pPr>
        <w:pStyle w:val="ListBullet"/>
      </w:pPr>
      <w:r>
        <w:t>Calibration: evaluates whether predicted probabilities correspond to observed outcome frequencies.</w:t>
      </w:r>
    </w:p>
    <w:p>
      <w:pPr>
        <w:pStyle w:val="ListBullet"/>
      </w:pPr>
      <w:r>
        <w:t>Secondary metrics may include sensitivity, specificity, precision, recall, F1 score, and confidence intervals.</w:t>
      </w:r>
    </w:p>
    <w:p>
      <w:pPr>
        <w:pStyle w:val="Heading1"/>
      </w:pPr>
      <w:r>
        <w:t>2. Why Shannon Entropy Is Central to the Project</w:t>
      </w:r>
    </w:p>
    <w:p>
      <w:r>
        <w:t>For a protein MSA, each alignment column represents the amino acids observed at the corresponding evolutionary position across homologous or orthologous sequences. Shannon entropy summarizes how variable that position is.</w:t>
      </w:r>
    </w:p>
    <w:p>
      <w:pPr>
        <w:pStyle w:val="Code"/>
      </w:pPr>
      <w:r>
        <w:t>H_j = - Σ p(a,j) log2 p(a,j)</w:t>
      </w:r>
    </w:p>
    <w:p>
      <w:r>
        <w:t>Interpretation:</w:t>
      </w:r>
    </w:p>
    <w:p>
      <w:pPr>
        <w:pStyle w:val="ListBullet"/>
      </w:pPr>
      <w:r>
        <w:t>Low entropy: the position is highly conserved across species. This suggests stronger evolutionary constraint.</w:t>
      </w:r>
    </w:p>
    <w:p>
      <w:pPr>
        <w:pStyle w:val="ListBullet"/>
      </w:pPr>
      <w:r>
        <w:t>High entropy: the position varies more across species. This suggests greater evolutionary tolerance.</w:t>
      </w:r>
    </w:p>
    <w:p>
      <w:r>
        <w:t>For Benchmark 1, the intended entropy is amino-acid entropy from protein MSAs because the initial benchmark focuses on missense variants. A later non-coding extension would require a separate nucleotide-based framework.</w:t>
      </w:r>
    </w:p>
    <w:p>
      <w:pPr>
        <w:pStyle w:val="Heading1"/>
      </w:pPr>
      <w:r>
        <w:t>3. Dataset Architecture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Component</w:t>
            </w:r>
          </w:p>
        </w:tc>
        <w:tc>
          <w:tcPr>
            <w:tcW w:type="dxa" w:w="3312"/>
            <w:vAlign w:val="center"/>
          </w:tcPr>
          <w:p>
            <w:r>
              <w:rPr>
                <w:b/>
              </w:rPr>
              <w:t>Planned resource</w:t>
            </w:r>
          </w:p>
        </w:tc>
        <w:tc>
          <w:tcPr>
            <w:tcW w:type="dxa" w:w="3312"/>
            <w:vAlign w:val="center"/>
          </w:tcPr>
          <w:p>
            <w:r>
              <w:rPr>
                <w:b/>
              </w:rPr>
              <w:t>Role</w:t>
            </w:r>
          </w:p>
        </w:tc>
      </w:tr>
      <w:tr>
        <w:tc>
          <w:tcPr>
            <w:tcW w:type="dxa" w:w="3312"/>
            <w:vAlign w:val="center"/>
          </w:tcPr>
          <w:p>
            <w:r>
              <w:t>Human labeled benchmark</w:t>
            </w:r>
          </w:p>
        </w:tc>
        <w:tc>
          <w:tcPr>
            <w:tcW w:type="dxa" w:w="3312"/>
            <w:vAlign w:val="center"/>
          </w:tcPr>
          <w:p>
            <w:r>
              <w:t>ClinVar</w:t>
            </w:r>
          </w:p>
        </w:tc>
        <w:tc>
          <w:tcPr>
            <w:tcW w:type="dxa" w:w="3312"/>
            <w:vAlign w:val="center"/>
          </w:tcPr>
          <w:p>
            <w:r>
              <w:t>Pathogenic/benign ground-truth labels</w:t>
            </w:r>
          </w:p>
        </w:tc>
      </w:tr>
      <w:tr>
        <w:tc>
          <w:tcPr>
            <w:tcW w:type="dxa" w:w="3312"/>
            <w:vAlign w:val="center"/>
          </w:tcPr>
          <w:p>
            <w:r>
              <w:t>Cross-species sequences</w:t>
            </w:r>
          </w:p>
        </w:tc>
        <w:tc>
          <w:tcPr>
            <w:tcW w:type="dxa" w:w="3312"/>
            <w:vAlign w:val="center"/>
          </w:tcPr>
          <w:p>
            <w:r>
              <w:t>Ensembl Compara / ortholog resources</w:t>
            </w:r>
          </w:p>
        </w:tc>
        <w:tc>
          <w:tcPr>
            <w:tcW w:type="dxa" w:w="3312"/>
            <w:vAlign w:val="center"/>
          </w:tcPr>
          <w:p>
            <w:r>
              <w:t>Build MSAs and calculate evolutionary entropy</w:t>
            </w:r>
          </w:p>
        </w:tc>
      </w:tr>
      <w:tr>
        <w:tc>
          <w:tcPr>
            <w:tcW w:type="dxa" w:w="3312"/>
            <w:vAlign w:val="center"/>
          </w:tcPr>
          <w:p>
            <w:r>
              <w:t>Functional predictors</w:t>
            </w:r>
          </w:p>
        </w:tc>
        <w:tc>
          <w:tcPr>
            <w:tcW w:type="dxa" w:w="3312"/>
            <w:vAlign w:val="center"/>
          </w:tcPr>
          <w:p>
            <w:r>
              <w:t>SIFT, PolyPhen-2, CADD, REVEL; modern comparators as feasible</w:t>
            </w:r>
          </w:p>
        </w:tc>
        <w:tc>
          <w:tcPr>
            <w:tcW w:type="dxa" w:w="3312"/>
            <w:vAlign w:val="center"/>
          </w:tcPr>
          <w:p>
            <w:r>
              <w:t>Baseline functional prediction evidence</w:t>
            </w:r>
          </w:p>
        </w:tc>
      </w:tr>
      <w:tr>
        <w:tc>
          <w:tcPr>
            <w:tcW w:type="dxa" w:w="3312"/>
            <w:vAlign w:val="center"/>
          </w:tcPr>
          <w:p>
            <w:r>
              <w:t>RNA evidence</w:t>
            </w:r>
          </w:p>
        </w:tc>
        <w:tc>
          <w:tcPr>
            <w:tcW w:type="dxa" w:w="3312"/>
            <w:vAlign w:val="center"/>
          </w:tcPr>
          <w:p>
            <w:r>
              <w:t>GEUVADIS + 1000 Genomes</w:t>
            </w:r>
          </w:p>
        </w:tc>
        <w:tc>
          <w:tcPr>
            <w:tcW w:type="dxa" w:w="3312"/>
            <w:vAlign w:val="center"/>
          </w:tcPr>
          <w:p>
            <w:r>
              <w:t>Matched genotype/transcriptomic evidence for M4</w:t>
            </w:r>
          </w:p>
        </w:tc>
      </w:tr>
      <w:tr>
        <w:tc>
          <w:tcPr>
            <w:tcW w:type="dxa" w:w="3312"/>
            <w:vAlign w:val="center"/>
          </w:tcPr>
          <w:p>
            <w:r>
              <w:t>Secondary RNA resource</w:t>
            </w:r>
          </w:p>
        </w:tc>
        <w:tc>
          <w:tcPr>
            <w:tcW w:type="dxa" w:w="3312"/>
            <w:vAlign w:val="center"/>
          </w:tcPr>
          <w:p>
            <w:r>
              <w:t>GTEx derived/open data where appropriate</w:t>
            </w:r>
          </w:p>
        </w:tc>
        <w:tc>
          <w:tcPr>
            <w:tcW w:type="dxa" w:w="3312"/>
            <w:vAlign w:val="center"/>
          </w:tcPr>
          <w:p>
            <w:r>
              <w:t>Tissue-specific extension</w:t>
            </w:r>
          </w:p>
        </w:tc>
      </w:tr>
      <w:tr>
        <w:tc>
          <w:tcPr>
            <w:tcW w:type="dxa" w:w="3312"/>
            <w:vAlign w:val="center"/>
          </w:tcPr>
          <w:p>
            <w:r>
              <w:t>Future multi-species extension</w:t>
            </w:r>
          </w:p>
        </w:tc>
        <w:tc>
          <w:tcPr>
            <w:tcW w:type="dxa" w:w="3312"/>
            <w:vAlign w:val="center"/>
          </w:tcPr>
          <w:p>
            <w:r>
              <w:t>EVA</w:t>
            </w:r>
          </w:p>
        </w:tc>
        <w:tc>
          <w:tcPr>
            <w:tcW w:type="dxa" w:w="3312"/>
            <w:vAlign w:val="center"/>
          </w:tcPr>
          <w:p>
            <w:r>
              <w:t>Broader species-level variant-resource extension</w:t>
            </w:r>
          </w:p>
        </w:tc>
      </w:tr>
    </w:tbl>
    <w:p>
      <w:r>
        <w:t>Important distinction: ClinVar itself is a human clinical-variant database. The 'cross-species' component of the project comes from the orthologous/homologous sequences used to calculate entropy, not from ClinVar.</w:t>
      </w:r>
    </w:p>
    <w:p>
      <w:pPr>
        <w:pStyle w:val="Heading1"/>
      </w:pPr>
      <w:r>
        <w:t>4. Benchmark 1A: High-Confidence Human Missense Variants</w:t>
      </w:r>
    </w:p>
    <w:p>
      <w:r>
        <w:t>The first benchmark is designed to provide a clean binary classification dataset for evaluating entropy and functional predictors.</w:t>
      </w:r>
    </w:p>
    <w:p>
      <w:pPr>
        <w:pStyle w:val="ListBullet"/>
      </w:pPr>
      <w:r>
        <w:t>Genome assembly: GRCh38.</w:t>
      </w:r>
    </w:p>
    <w:p>
      <w:pPr>
        <w:pStyle w:val="ListBullet"/>
      </w:pPr>
      <w:r>
        <w:t>Variant focus: human germline single-nucleotide missense variants.</w:t>
      </w:r>
    </w:p>
    <w:p>
      <w:pPr>
        <w:pStyle w:val="ListBullet"/>
      </w:pPr>
      <w:r>
        <w:t>Positive class: Pathogenic / Likely pathogenic.</w:t>
      </w:r>
    </w:p>
    <w:p>
      <w:pPr>
        <w:pStyle w:val="ListBullet"/>
      </w:pPr>
      <w:r>
        <w:t>Negative class: Benign / Likely benign.</w:t>
      </w:r>
    </w:p>
    <w:p>
      <w:pPr>
        <w:pStyle w:val="ListBullet"/>
      </w:pPr>
      <w:r>
        <w:t>Exclude uncertain, conflicting, association-only, risk-factor, drug-response, and other non-binary interpretations.</w:t>
      </w:r>
    </w:p>
    <w:p>
      <w:pPr>
        <w:pStyle w:val="ListBullet"/>
      </w:pPr>
      <w:r>
        <w:t>Strict review-confidence target: ClinVar 2–4-star records.</w:t>
      </w:r>
    </w:p>
    <w:p>
      <w:pPr>
        <w:pStyle w:val="ListBullet"/>
      </w:pPr>
      <w:r>
        <w:t>Later stages will require unambiguous gene/transcript/protein mapping and protein coordinates.</w:t>
      </w:r>
    </w:p>
    <w:p>
      <w:pPr>
        <w:pStyle w:val="Heading2"/>
      </w:pPr>
      <w:r>
        <w:t>4.1 Why a strict benchmark is useful</w:t>
      </w:r>
    </w:p>
    <w:p>
      <w:r>
        <w:t>A predictive model can only be evaluated meaningfully if its reference labels are reasonably trustworthy. Restricting the primary benchmark to stronger ClinVar review categories reduces label noise. A broader sensitivity benchmark can later test whether conclusions remain similar when lower-review records are included.</w:t>
      </w:r>
    </w:p>
    <w:p>
      <w:pPr>
        <w:pStyle w:val="Heading1"/>
      </w:pPr>
      <w:r>
        <w:t>5. Development Dataset vs Publication Dataset</w:t>
      </w:r>
    </w:p>
    <w:p>
      <w:r>
        <w:t>Two dataset scales are planned:</w:t>
      </w:r>
    </w:p>
    <w:p>
      <w:pPr>
        <w:pStyle w:val="ListBullet"/>
      </w:pPr>
      <w:r>
        <w:t>Development dataset: a smaller representative subset used while learning, debugging, and testing the pipeline. It avoids repeatedly processing thousands of ortholog sets and alignments.</w:t>
      </w:r>
    </w:p>
    <w:p>
      <w:pPr>
        <w:pStyle w:val="ListBullet"/>
      </w:pPr>
      <w:r>
        <w:t>Publication dataset: the full eligible benchmark used for final analyses and reported results.</w:t>
      </w:r>
    </w:p>
    <w:p>
      <w:r>
        <w:t>The development dataset is not biologically a different type of dataset. It is a practical working subset. Sampling should avoid allowing a few heavily represented genes to dominate.</w:t>
      </w:r>
    </w:p>
    <w:p>
      <w:pPr>
        <w:pStyle w:val="Heading1"/>
      </w:pPr>
      <w:r>
        <w:t>6. Gene-Held-Out Evaluation</w:t>
      </w:r>
    </w:p>
    <w:p>
      <w:r>
        <w:t>A major methodological rule is that variants from the same gene should not be randomly divided between training and test sets. If variants from a gene appear in both sets, the model may exploit gene-specific patterns and produce an overly optimistic estimate of generalization.</w:t>
      </w:r>
    </w:p>
    <w:p>
      <w:r>
        <w:t>Instead, all variants belonging to a given gene should remain within one fold or split. A future implementation may use a grouping method such as GroupKFold with gene symbol as the grouping variable.</w:t>
      </w:r>
    </w:p>
    <w:p>
      <w:r>
        <w:t>Scientific purpose: test whether the model generalizes to genes it did not see during training.</w:t>
      </w:r>
    </w:p>
    <w:p>
      <w:pPr>
        <w:pStyle w:val="Heading1"/>
      </w:pPr>
      <w:r>
        <w:t>7. RNA-seq Strategy</w:t>
      </w:r>
    </w:p>
    <w:p>
      <w:r>
        <w:t>Raw RNA-seq processing is not required for the first ClinVar benchmark. The project will first establish M1–M3 on missense variants. M4 will later add RNA evidence on an RNA-informative subset or second benchmark.</w:t>
      </w:r>
    </w:p>
    <w:p>
      <w:r>
        <w:t>GEUVADIS combined with 1000 Genomes is the preferred initial resource because matched genotype and RNA-seq/expression information can support variant-linked transcriptomic evidence.</w:t>
      </w:r>
    </w:p>
    <w:p>
      <w:pPr>
        <w:pStyle w:val="ListBullet"/>
      </w:pPr>
      <w:r>
        <w:t>Potential RNA evidence: eQTL/expression association.</w:t>
      </w:r>
    </w:p>
    <w:p>
      <w:pPr>
        <w:pStyle w:val="ListBullet"/>
      </w:pPr>
      <w:r>
        <w:t>Potential RNA evidence: expression outliers.</w:t>
      </w:r>
    </w:p>
    <w:p>
      <w:pPr>
        <w:pStyle w:val="ListBullet"/>
      </w:pPr>
      <w:r>
        <w:t>Potential RNA evidence: allele-specific expression.</w:t>
      </w:r>
    </w:p>
    <w:p>
      <w:pPr>
        <w:pStyle w:val="ListBullet"/>
      </w:pPr>
      <w:r>
        <w:t>Potential RNA evidence: aberrant splicing.</w:t>
      </w:r>
    </w:p>
    <w:p>
      <w:r>
        <w:t>Important biological limitation: many pathogenic missense variants alter protein function without substantially changing RNA abundance. Therefore RNA evidence should not be forced onto every missense variant.</w:t>
      </w:r>
    </w:p>
    <w:p>
      <w:pPr>
        <w:pStyle w:val="Heading1"/>
      </w:pPr>
      <w:r>
        <w:t>8. GitHub and Project Organization</w:t>
      </w:r>
    </w:p>
    <w:p>
      <w:r>
        <w:t>A dedicated repository named entropy-variant-prioritizer was established. The goal is to separate raw data, scripts, processed data, results, documentation, and tests so that the project is reproducible and understandable.</w:t>
      </w:r>
    </w:p>
    <w:p>
      <w:pPr>
        <w:pStyle w:val="Code"/>
      </w:pPr>
      <w:r>
        <w:t>entropy-variant-prioritizer/</w:t>
      </w:r>
    </w:p>
    <w:p>
      <w:pPr>
        <w:pStyle w:val="Code"/>
      </w:pPr>
      <w:r>
        <w:t>├── .gitignore</w:t>
      </w:r>
    </w:p>
    <w:p>
      <w:pPr>
        <w:pStyle w:val="Code"/>
      </w:pPr>
      <w:r>
        <w:t>├── README.md</w:t>
      </w:r>
    </w:p>
    <w:p>
      <w:pPr>
        <w:pStyle w:val="Code"/>
      </w:pPr>
      <w:r>
        <w:t>├── data/</w:t>
      </w:r>
    </w:p>
    <w:p>
      <w:pPr>
        <w:pStyle w:val="Code"/>
      </w:pPr>
      <w:r>
        <w:t>│   ├── raw/</w:t>
      </w:r>
    </w:p>
    <w:p>
      <w:pPr>
        <w:pStyle w:val="Code"/>
      </w:pPr>
      <w:r>
        <w:t>│   │   └── README.md</w:t>
      </w:r>
    </w:p>
    <w:p>
      <w:pPr>
        <w:pStyle w:val="Code"/>
      </w:pPr>
      <w:r>
        <w:t>│   ├── interim/</w:t>
      </w:r>
    </w:p>
    <w:p>
      <w:pPr>
        <w:pStyle w:val="Code"/>
      </w:pPr>
      <w:r>
        <w:t>│   └── processed/</w:t>
      </w:r>
    </w:p>
    <w:p>
      <w:pPr>
        <w:pStyle w:val="Code"/>
      </w:pPr>
      <w:r>
        <w:t>├── scripts/</w:t>
      </w:r>
    </w:p>
    <w:p>
      <w:pPr>
        <w:pStyle w:val="Code"/>
      </w:pPr>
      <w:r>
        <w:t>├── src/</w:t>
      </w:r>
    </w:p>
    <w:p>
      <w:pPr>
        <w:pStyle w:val="Code"/>
      </w:pPr>
      <w:r>
        <w:t>├── tests/</w:t>
      </w:r>
    </w:p>
    <w:p>
      <w:pPr>
        <w:pStyle w:val="Code"/>
      </w:pPr>
      <w:r>
        <w:t>├── notebooks/</w:t>
      </w:r>
    </w:p>
    <w:p>
      <w:pPr>
        <w:pStyle w:val="Code"/>
      </w:pPr>
      <w:r>
        <w:t>├── results/</w:t>
      </w:r>
    </w:p>
    <w:p>
      <w:pPr>
        <w:pStyle w:val="Code"/>
      </w:pPr>
      <w:r>
        <w:t>└── docs/</w:t>
      </w:r>
    </w:p>
    <w:p>
      <w:r>
        <w:t>Raw genomic files should not be committed to GitHub. The .gitignore therefore excludes VCF, FASTQ, BAM, SAM, CRAM and related large data files, while allowing data/raw/README.md to document where the raw data came from.</w:t>
      </w:r>
    </w:p>
    <w:p>
      <w:r>
        <w:t>Scientific/software purpose: Git should track code, configuration, documentation, and reproducible decisions—not unnecessarily duplicate large public datasets.</w:t>
      </w:r>
    </w:p>
    <w:p>
      <w:pPr>
        <w:pStyle w:val="Heading1"/>
      </w:pPr>
      <w:r>
        <w:t>9. ClinVar Download and Data Integrity Check</w:t>
      </w:r>
    </w:p>
    <w:p>
      <w:r>
        <w:t>The project initially attempted to obtain a dated ClinVar file, but the first downloaded object was only about 990 bytes and was identified as XHTML rather than gzip-compressed VCF data. This demonstrated why a filename extension alone cannot prove that a download is valid.</w:t>
      </w:r>
    </w:p>
    <w:p>
      <w:r>
        <w:t>The project then froze the raw benchmark source to:</w:t>
      </w:r>
    </w:p>
    <w:p>
      <w:pPr>
        <w:pStyle w:val="Code"/>
      </w:pPr>
      <w:r>
        <w:t>ClinVar GRCh38</w:t>
      </w:r>
    </w:p>
    <w:p>
      <w:pPr>
        <w:pStyle w:val="Code"/>
      </w:pPr>
      <w:r>
        <w:t>Release date: 2026-08-22</w:t>
      </w:r>
    </w:p>
    <w:p>
      <w:pPr>
        <w:pStyle w:val="Code"/>
      </w:pPr>
      <w:r>
        <w:t>File: clinvar_20260822.vcf.gz</w:t>
      </w:r>
    </w:p>
    <w:p>
      <w:r>
        <w:t>The file was inspected using shell commands such as:</w:t>
      </w:r>
    </w:p>
    <w:p>
      <w:pPr>
        <w:pStyle w:val="Code"/>
      </w:pPr>
      <w:r>
        <w:t>ls -lh clinvar_20260822.vcf.gz</w:t>
      </w:r>
    </w:p>
    <w:p>
      <w:pPr>
        <w:pStyle w:val="Code"/>
      </w:pPr>
      <w:r>
        <w:t>file clinvar_20260822.vcf.gz</w:t>
      </w:r>
    </w:p>
    <w:p>
      <w:pPr>
        <w:pStyle w:val="Code"/>
      </w:pPr>
      <w:r>
        <w:t>zcat clinvar_20260822.vcf.gz | grep -m 1 "^#CHROM"</w:t>
      </w:r>
    </w:p>
    <w:p>
      <w:pPr>
        <w:pStyle w:val="Code"/>
      </w:pPr>
      <w:r>
        <w:t>zcat clinvar_20260822.vcf.gz | grep -v "^#" | head -1</w:t>
      </w:r>
    </w:p>
    <w:p>
      <w:r>
        <w:t>Purpose of these commands:</w:t>
      </w:r>
    </w:p>
    <w:p>
      <w:pPr>
        <w:pStyle w:val="ListBullet"/>
      </w:pPr>
      <w:r>
        <w:t>ls -lh: inspect file size in a human-readable format.</w:t>
      </w:r>
    </w:p>
    <w:p>
      <w:pPr>
        <w:pStyle w:val="ListBullet"/>
      </w:pPr>
      <w:r>
        <w:t>file: determine the actual file type instead of trusting the filename.</w:t>
      </w:r>
    </w:p>
    <w:p>
      <w:pPr>
        <w:pStyle w:val="ListBullet"/>
      </w:pPr>
      <w:r>
        <w:t>zcat: decompress gzip content to standard output without permanently extracting the file.</w:t>
      </w:r>
    </w:p>
    <w:p>
      <w:pPr>
        <w:pStyle w:val="ListBullet"/>
      </w:pPr>
      <w:r>
        <w:t>grep -m 1 '^#CHROM': locate the VCF column-header line and stop after the first match.</w:t>
      </w:r>
    </w:p>
    <w:p>
      <w:pPr>
        <w:pStyle w:val="ListBullet"/>
      </w:pPr>
      <w:r>
        <w:t>grep -v '^#' | head -1: exclude header/metadata lines and show the first true variant record.</w:t>
      </w:r>
    </w:p>
    <w:p>
      <w:pPr>
        <w:pStyle w:val="Heading1"/>
      </w:pPr>
      <w:r>
        <w:t>10. Understanding the VCF Format</w:t>
      </w:r>
    </w:p>
    <w:p>
      <w:r>
        <w:t>The ClinVar VCF header showed eight main columns:</w:t>
      </w:r>
    </w:p>
    <w:p>
      <w:pPr>
        <w:pStyle w:val="Code"/>
      </w:pPr>
      <w:r>
        <w:t>#CHROM  POS  ID  REF  ALT  QUAL  FILTER  INFO</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Column</w:t>
            </w:r>
          </w:p>
        </w:tc>
        <w:tc>
          <w:tcPr>
            <w:tcW w:type="dxa" w:w="4968"/>
            <w:vAlign w:val="center"/>
          </w:tcPr>
          <w:p>
            <w:r>
              <w:rPr>
                <w:b/>
              </w:rPr>
              <w:t>Meaning in this project</w:t>
            </w:r>
          </w:p>
        </w:tc>
      </w:tr>
      <w:tr>
        <w:tc>
          <w:tcPr>
            <w:tcW w:type="dxa" w:w="4968"/>
            <w:vAlign w:val="center"/>
          </w:tcPr>
          <w:p>
            <w:r>
              <w:t>CHROM</w:t>
            </w:r>
          </w:p>
        </w:tc>
        <w:tc>
          <w:tcPr>
            <w:tcW w:type="dxa" w:w="4968"/>
            <w:vAlign w:val="center"/>
          </w:tcPr>
          <w:p>
            <w:r>
              <w:t>Chromosome containing the variant</w:t>
            </w:r>
          </w:p>
        </w:tc>
      </w:tr>
      <w:tr>
        <w:tc>
          <w:tcPr>
            <w:tcW w:type="dxa" w:w="4968"/>
            <w:vAlign w:val="center"/>
          </w:tcPr>
          <w:p>
            <w:r>
              <w:t>POS</w:t>
            </w:r>
          </w:p>
        </w:tc>
        <w:tc>
          <w:tcPr>
            <w:tcW w:type="dxa" w:w="4968"/>
            <w:vAlign w:val="center"/>
          </w:tcPr>
          <w:p>
            <w:r>
              <w:t>1-based genomic coordinate in the VCF representation</w:t>
            </w:r>
          </w:p>
        </w:tc>
      </w:tr>
      <w:tr>
        <w:tc>
          <w:tcPr>
            <w:tcW w:type="dxa" w:w="4968"/>
            <w:vAlign w:val="center"/>
          </w:tcPr>
          <w:p>
            <w:r>
              <w:t>ID</w:t>
            </w:r>
          </w:p>
        </w:tc>
        <w:tc>
          <w:tcPr>
            <w:tcW w:type="dxa" w:w="4968"/>
            <w:vAlign w:val="center"/>
          </w:tcPr>
          <w:p>
            <w:r>
              <w:t>ClinVar Variation ID in this file</w:t>
            </w:r>
          </w:p>
        </w:tc>
      </w:tr>
      <w:tr>
        <w:tc>
          <w:tcPr>
            <w:tcW w:type="dxa" w:w="4968"/>
            <w:vAlign w:val="center"/>
          </w:tcPr>
          <w:p>
            <w:r>
              <w:t>REF</w:t>
            </w:r>
          </w:p>
        </w:tc>
        <w:tc>
          <w:tcPr>
            <w:tcW w:type="dxa" w:w="4968"/>
            <w:vAlign w:val="center"/>
          </w:tcPr>
          <w:p>
            <w:r>
              <w:t>Reference allele</w:t>
            </w:r>
          </w:p>
        </w:tc>
      </w:tr>
      <w:tr>
        <w:tc>
          <w:tcPr>
            <w:tcW w:type="dxa" w:w="4968"/>
            <w:vAlign w:val="center"/>
          </w:tcPr>
          <w:p>
            <w:r>
              <w:t>ALT</w:t>
            </w:r>
          </w:p>
        </w:tc>
        <w:tc>
          <w:tcPr>
            <w:tcW w:type="dxa" w:w="4968"/>
            <w:vAlign w:val="center"/>
          </w:tcPr>
          <w:p>
            <w:r>
              <w:t>Alternate allele</w:t>
            </w:r>
          </w:p>
        </w:tc>
      </w:tr>
      <w:tr>
        <w:tc>
          <w:tcPr>
            <w:tcW w:type="dxa" w:w="4968"/>
            <w:vAlign w:val="center"/>
          </w:tcPr>
          <w:p>
            <w:r>
              <w:t>QUAL</w:t>
            </w:r>
          </w:p>
        </w:tc>
        <w:tc>
          <w:tcPr>
            <w:tcW w:type="dxa" w:w="4968"/>
            <w:vAlign w:val="center"/>
          </w:tcPr>
          <w:p>
            <w:r>
              <w:t>VCF quality field; not the main confidence criterion for this curated benchmark</w:t>
            </w:r>
          </w:p>
        </w:tc>
      </w:tr>
      <w:tr>
        <w:tc>
          <w:tcPr>
            <w:tcW w:type="dxa" w:w="4968"/>
            <w:vAlign w:val="center"/>
          </w:tcPr>
          <w:p>
            <w:r>
              <w:t>FILTER</w:t>
            </w:r>
          </w:p>
        </w:tc>
        <w:tc>
          <w:tcPr>
            <w:tcW w:type="dxa" w:w="4968"/>
            <w:vAlign w:val="center"/>
          </w:tcPr>
          <w:p>
            <w:r>
              <w:t>VCF filter field</w:t>
            </w:r>
          </w:p>
        </w:tc>
      </w:tr>
      <w:tr>
        <w:tc>
          <w:tcPr>
            <w:tcW w:type="dxa" w:w="4968"/>
            <w:vAlign w:val="center"/>
          </w:tcPr>
          <w:p>
            <w:r>
              <w:t>INFO</w:t>
            </w:r>
          </w:p>
        </w:tc>
        <w:tc>
          <w:tcPr>
            <w:tcW w:type="dxa" w:w="4968"/>
            <w:vAlign w:val="center"/>
          </w:tcPr>
          <w:p>
            <w:r>
              <w:t>Semicolon-delimited ClinVar annotations used for biological filtering</w:t>
            </w:r>
          </w:p>
        </w:tc>
      </w:tr>
    </w:tbl>
    <w:p>
      <w:r>
        <w:t>The first observed record was ClinVar ID 3385321 at chromosome 1 position 66926. It was a deletion, an intron variant, a variant of uncertain significance, and a single-submitter record. It therefore provided a useful manual example of a record that should be excluded.</w:t>
      </w:r>
    </w:p>
    <w:p>
      <w:pPr>
        <w:pStyle w:val="Heading1"/>
      </w:pPr>
      <w:r>
        <w:t>11. Python Environment Problem and Reproducibility</w:t>
      </w:r>
    </w:p>
    <w:p>
      <w:r>
        <w:t>The first Python execution failed with an Indentation-independent gzip error because the command 'python' pointed to the Python 2.7.11 interpreter bundled with MGLTools 1.5.7.</w:t>
      </w:r>
    </w:p>
    <w:p>
      <w:pPr>
        <w:pStyle w:val="Code"/>
      </w:pPr>
      <w:r>
        <w:t>python --version</w:t>
      </w:r>
    </w:p>
    <w:p>
      <w:pPr>
        <w:pStyle w:val="Code"/>
      </w:pPr>
      <w:r>
        <w:t>Python 2.7.11</w:t>
      </w:r>
    </w:p>
    <w:p>
      <w:pPr>
        <w:pStyle w:val="Code"/>
      </w:pPr>
      <w:r/>
    </w:p>
    <w:p>
      <w:pPr>
        <w:pStyle w:val="Code"/>
      </w:pPr>
      <w:r>
        <w:t>which python</w:t>
      </w:r>
    </w:p>
    <w:p>
      <w:pPr>
        <w:pStyle w:val="Code"/>
      </w:pPr>
      <w:r>
        <w:t>/c/Program Files (x86)/MGLTools-1.5.7/python</w:t>
      </w:r>
    </w:p>
    <w:p>
      <w:r>
        <w:t>A modern Windows Python launcher was then checked:</w:t>
      </w:r>
    </w:p>
    <w:p>
      <w:pPr>
        <w:pStyle w:val="Code"/>
      </w:pPr>
      <w:r>
        <w:t>py --version</w:t>
      </w:r>
    </w:p>
    <w:p>
      <w:pPr>
        <w:pStyle w:val="Code"/>
      </w:pPr>
      <w:r>
        <w:t>Python 3.13.7</w:t>
      </w:r>
    </w:p>
    <w:p>
      <w:r>
        <w:t>A project-specific virtual environment was created and activated:</w:t>
      </w:r>
    </w:p>
    <w:p>
      <w:pPr>
        <w:pStyle w:val="Code"/>
      </w:pPr>
      <w:r>
        <w:t>py -m venv .venv</w:t>
      </w:r>
    </w:p>
    <w:p>
      <w:pPr>
        <w:pStyle w:val="Code"/>
      </w:pPr>
      <w:r>
        <w:t>source .venv/Scripts/activate</w:t>
      </w:r>
    </w:p>
    <w:p>
      <w:r>
        <w:t>When the prompt displays (.venv), commands such as 'python' use the isolated project environment.</w:t>
      </w:r>
    </w:p>
    <w:p>
      <w:r>
        <w:t>Purpose: reproducible research requires control over software versions and dependencies. A virtual environment prevents unrelated applications such as MGLTools from silently determining which Python interpreter or packages the project uses.</w:t>
      </w:r>
    </w:p>
    <w:p>
      <w:pPr>
        <w:pStyle w:val="Heading1"/>
      </w:pPr>
      <w:r>
        <w:t>12. First Python Script: inspect_clinvar.py</w:t>
      </w:r>
    </w:p>
    <w:p>
      <w:r>
        <w:t>The first script was deliberately simple. Its purpose was not to build the benchmark immediately, but to understand exactly how Python reads a compressed VCF and how one raw record becomes structured data.</w:t>
      </w:r>
    </w:p>
    <w:p>
      <w:pPr>
        <w:pStyle w:val="Heading2"/>
      </w:pPr>
      <w:r>
        <w:t>12.1 Reading gzip text</w:t>
      </w:r>
    </w:p>
    <w:p>
      <w:pPr>
        <w:pStyle w:val="Code"/>
      </w:pPr>
      <w:r>
        <w:t>import gzip</w:t>
      </w:r>
    </w:p>
    <w:p>
      <w:pPr>
        <w:pStyle w:val="Code"/>
      </w:pPr>
      <w:r/>
    </w:p>
    <w:p>
      <w:pPr>
        <w:pStyle w:val="Code"/>
      </w:pPr>
      <w:r>
        <w:t>vcf_file = "data/raw/clinvar_20260822.vcf.gz"</w:t>
      </w:r>
    </w:p>
    <w:p>
      <w:pPr>
        <w:pStyle w:val="Code"/>
      </w:pPr>
      <w:r/>
    </w:p>
    <w:p>
      <w:pPr>
        <w:pStyle w:val="Code"/>
      </w:pPr>
      <w:r>
        <w:t>with gzip.open(vcf_file, "rt") as file:</w:t>
      </w:r>
    </w:p>
    <w:p>
      <w:pPr>
        <w:pStyle w:val="ListBullet"/>
      </w:pPr>
      <w:r>
        <w:t>import gzip: loads Python's gzip support.</w:t>
      </w:r>
    </w:p>
    <w:p>
      <w:pPr>
        <w:pStyle w:val="ListBullet"/>
      </w:pPr>
      <w:r>
        <w:t>vcf_file: stores the relative path to the raw ClinVar file.</w:t>
      </w:r>
    </w:p>
    <w:p>
      <w:pPr>
        <w:pStyle w:val="ListBullet"/>
      </w:pPr>
      <w:r>
        <w:t>'rt': read the compressed file in text mode.</w:t>
      </w:r>
    </w:p>
    <w:p>
      <w:pPr>
        <w:pStyle w:val="ListBullet"/>
      </w:pPr>
      <w:r>
        <w:t>with: automatically manages opening and closing the file.</w:t>
      </w:r>
    </w:p>
    <w:p>
      <w:pPr>
        <w:pStyle w:val="Heading2"/>
      </w:pPr>
      <w:r>
        <w:t>12.2 Looping through records</w:t>
      </w:r>
    </w:p>
    <w:p>
      <w:pPr>
        <w:pStyle w:val="Code"/>
      </w:pPr>
      <w:r>
        <w:t>for line in file:</w:t>
      </w:r>
    </w:p>
    <w:p>
      <w:r>
        <w:t>A for loop processes the file one line at a time. This is memory-efficient because the entire multi-million-record VCF does not have to be loaded into memory at once.</w:t>
      </w:r>
    </w:p>
    <w:p>
      <w:pPr>
        <w:pStyle w:val="Heading2"/>
      </w:pPr>
      <w:r>
        <w:t>12.3 Skipping metadata</w:t>
      </w:r>
    </w:p>
    <w:p>
      <w:pPr>
        <w:pStyle w:val="Code"/>
      </w:pPr>
      <w:r>
        <w:t>if line.startswith("##"):</w:t>
      </w:r>
    </w:p>
    <w:p>
      <w:pPr>
        <w:pStyle w:val="Code"/>
      </w:pPr>
      <w:r>
        <w:t xml:space="preserve">    continue</w:t>
      </w:r>
    </w:p>
    <w:p>
      <w:r>
        <w:t>VCF metadata lines begin with ##. The keyword continue means: stop processing the current line and immediately move to the next iteration of the loop.</w:t>
      </w:r>
    </w:p>
    <w:p>
      <w:pPr>
        <w:pStyle w:val="Heading2"/>
      </w:pPr>
      <w:r>
        <w:t>12.4 Splitting VCF columns</w:t>
      </w:r>
    </w:p>
    <w:p>
      <w:pPr>
        <w:pStyle w:val="Code"/>
      </w:pPr>
      <w:r>
        <w:t>fields = line.strip().split("\t")</w:t>
      </w:r>
    </w:p>
    <w:p>
      <w:pPr>
        <w:pStyle w:val="ListBullet"/>
      </w:pPr>
      <w:r>
        <w:t>strip(): removes the line-ending newline and surrounding whitespace.</w:t>
      </w:r>
    </w:p>
    <w:p>
      <w:pPr>
        <w:pStyle w:val="ListBullet"/>
      </w:pPr>
      <w:r>
        <w:t>split('\t'): separates the row at tab characters.</w:t>
      </w:r>
    </w:p>
    <w:p>
      <w:pPr>
        <w:pStyle w:val="ListBullet"/>
      </w:pPr>
      <w:r>
        <w:t>The result is a Python list.</w:t>
      </w:r>
    </w:p>
    <w:p>
      <w:r>
        <w:t>Python list indexing begins at zero:</w:t>
      </w:r>
    </w:p>
    <w:p>
      <w:pPr>
        <w:pStyle w:val="Code"/>
      </w:pPr>
      <w:r>
        <w:t>chrom = fields[0]</w:t>
      </w:r>
    </w:p>
    <w:p>
      <w:pPr>
        <w:pStyle w:val="Code"/>
      </w:pPr>
      <w:r>
        <w:t>pos = fields[1]</w:t>
      </w:r>
    </w:p>
    <w:p>
      <w:pPr>
        <w:pStyle w:val="Code"/>
      </w:pPr>
      <w:r>
        <w:t>clinvar_id = fields[2]</w:t>
      </w:r>
    </w:p>
    <w:p>
      <w:pPr>
        <w:pStyle w:val="Code"/>
      </w:pPr>
      <w:r>
        <w:t>ref = fields[3]</w:t>
      </w:r>
    </w:p>
    <w:p>
      <w:pPr>
        <w:pStyle w:val="Code"/>
      </w:pPr>
      <w:r>
        <w:t>alt = fields[4]</w:t>
      </w:r>
    </w:p>
    <w:p>
      <w:pPr>
        <w:pStyle w:val="Code"/>
      </w:pPr>
      <w:r>
        <w:t>qual = fields[5]</w:t>
      </w:r>
    </w:p>
    <w:p>
      <w:pPr>
        <w:pStyle w:val="Code"/>
      </w:pPr>
      <w:r>
        <w:t>filter_status = fields[6]</w:t>
      </w:r>
    </w:p>
    <w:p>
      <w:pPr>
        <w:pStyle w:val="Code"/>
      </w:pPr>
      <w:r>
        <w:t>info = fields[7]</w:t>
      </w:r>
    </w:p>
    <w:p>
      <w:pPr>
        <w:pStyle w:val="Heading1"/>
      </w:pPr>
      <w:r>
        <w:t>13. Parsing the INFO Field into a Dictionary</w:t>
      </w:r>
    </w:p>
    <w:p>
      <w:r>
        <w:t>The INFO field is a long semicolon-delimited string containing annotations such as CLNSIG, CLNREVSTAT, CLNVC, GENEINFO and MC. Working with it as one long string would be inconvenient, so it was converted into a Python dictionary.</w:t>
      </w:r>
    </w:p>
    <w:p>
      <w:pPr>
        <w:pStyle w:val="Code"/>
      </w:pPr>
      <w:r>
        <w:t>info_dict = {}</w:t>
      </w:r>
    </w:p>
    <w:p>
      <w:pPr>
        <w:pStyle w:val="Code"/>
      </w:pPr>
      <w:r/>
    </w:p>
    <w:p>
      <w:pPr>
        <w:pStyle w:val="Code"/>
      </w:pPr>
      <w:r>
        <w:t>for item in info.split(";"):</w:t>
      </w:r>
    </w:p>
    <w:p>
      <w:pPr>
        <w:pStyle w:val="Code"/>
      </w:pPr>
      <w:r>
        <w:t xml:space="preserve">    if "=" in item:</w:t>
      </w:r>
    </w:p>
    <w:p>
      <w:pPr>
        <w:pStyle w:val="Code"/>
      </w:pPr>
      <w:r>
        <w:t xml:space="preserve">        key, value = item.split("=", 1)</w:t>
      </w:r>
    </w:p>
    <w:p>
      <w:pPr>
        <w:pStyle w:val="Code"/>
      </w:pPr>
      <w:r>
        <w:t xml:space="preserve">        info_dict[key] = value</w:t>
      </w:r>
    </w:p>
    <w:p>
      <w:pPr>
        <w:pStyle w:val="Code"/>
      </w:pPr>
      <w:r>
        <w:t xml:space="preserve">    else:</w:t>
      </w:r>
    </w:p>
    <w:p>
      <w:pPr>
        <w:pStyle w:val="Code"/>
      </w:pPr>
      <w:r>
        <w:t xml:space="preserve">        info_dict[item] = True</w:t>
      </w:r>
    </w:p>
    <w:p>
      <w:r>
        <w:t>Step-by-step meaning:</w:t>
      </w:r>
    </w:p>
    <w:p>
      <w:pPr>
        <w:pStyle w:val="ListBullet"/>
      </w:pPr>
      <w:r>
        <w:t>info_dict = {} creates an empty dictionary.</w:t>
      </w:r>
    </w:p>
    <w:p>
      <w:pPr>
        <w:pStyle w:val="ListBullet"/>
      </w:pPr>
      <w:r>
        <w:t>info.split(';') separates individual INFO entries.</w:t>
      </w:r>
    </w:p>
    <w:p>
      <w:pPr>
        <w:pStyle w:val="ListBullet"/>
      </w:pPr>
      <w:r>
        <w:t>if '=' in item checks whether the entry is a key=value pair.</w:t>
      </w:r>
    </w:p>
    <w:p>
      <w:pPr>
        <w:pStyle w:val="ListBullet"/>
      </w:pPr>
      <w:r>
        <w:t>item.split('=', 1) splits only at the first equals sign.</w:t>
      </w:r>
    </w:p>
    <w:p>
      <w:pPr>
        <w:pStyle w:val="ListBullet"/>
      </w:pPr>
      <w:r>
        <w:t>info_dict[key] = value stores the annotation.</w:t>
      </w:r>
    </w:p>
    <w:p>
      <w:pPr>
        <w:pStyle w:val="ListBullet"/>
      </w:pPr>
      <w:r>
        <w:t>The else branch records flag-style INFO entries as True.</w:t>
      </w:r>
    </w:p>
    <w:p>
      <w:r>
        <w:t>Using info_dict.get('CLNSIG') can then retrieve only the clinical-significance value. The .get() method is safer than direct indexing when a field might be absent.</w:t>
      </w:r>
    </w:p>
    <w:p>
      <w:pPr>
        <w:pStyle w:val="Heading1"/>
      </w:pPr>
      <w:r>
        <w:t>14. Building the Filters One at a Time</w:t>
      </w:r>
    </w:p>
    <w:p>
      <w:r>
        <w:t>The project intentionally added each filter separately. This makes the biological reasoning auditable and makes programming errors easier to detect.</w:t>
      </w:r>
    </w:p>
    <w:p>
      <w:pPr>
        <w:pStyle w:val="Heading2"/>
      </w:pPr>
      <w:r>
        <w:t>14.1 Filter 1 — Missense consequence</w:t>
      </w:r>
    </w:p>
    <w:p>
      <w:pPr>
        <w:pStyle w:val="Code"/>
      </w:pPr>
      <w:r>
        <w:t>molecular_consequence = info_dict.get("MC", "")</w:t>
      </w:r>
    </w:p>
    <w:p>
      <w:pPr>
        <w:pStyle w:val="Code"/>
      </w:pPr>
      <w:r/>
    </w:p>
    <w:p>
      <w:pPr>
        <w:pStyle w:val="Code"/>
      </w:pPr>
      <w:r>
        <w:t>if "missense_variant" not in molecular_consequence:</w:t>
      </w:r>
    </w:p>
    <w:p>
      <w:pPr>
        <w:pStyle w:val="Code"/>
      </w:pPr>
      <w:r>
        <w:t xml:space="preserve">    continue</w:t>
      </w:r>
    </w:p>
    <w:p>
      <w:r>
        <w:t>Purpose: Benchmark 1 is initially focused on amino-acid-changing missense variants, because protein MSA entropy can be mapped naturally to the affected amino-acid position.</w:t>
      </w:r>
    </w:p>
    <w:p>
      <w:r>
        <w:t>The first ClinVar record contained SO:0001627|intron_variant, so it correctly failed. The script then searched forward and found ClinVar ID 2205837, whose MC field contained SO:0001583|missense_variant.</w:t>
      </w:r>
    </w:p>
    <w:p>
      <w:pPr>
        <w:pStyle w:val="Heading2"/>
      </w:pPr>
      <w:r>
        <w:t>14.2 Filter 2 — ClinVar SNV annotation</w:t>
      </w:r>
    </w:p>
    <w:p>
      <w:pPr>
        <w:pStyle w:val="Code"/>
      </w:pPr>
      <w:r>
        <w:t>variant_type = info_dict.get("CLNVC", "")</w:t>
      </w:r>
    </w:p>
    <w:p>
      <w:pPr>
        <w:pStyle w:val="Code"/>
      </w:pPr>
      <w:r/>
    </w:p>
    <w:p>
      <w:pPr>
        <w:pStyle w:val="Code"/>
      </w:pPr>
      <w:r>
        <w:t>if variant_type != "single_nucleotide_variant":</w:t>
      </w:r>
    </w:p>
    <w:p>
      <w:pPr>
        <w:pStyle w:val="Code"/>
      </w:pPr>
      <w:r>
        <w:t xml:space="preserve">    continue</w:t>
      </w:r>
    </w:p>
    <w:p>
      <w:r>
        <w:t>The operator != means 'not equal to.' The filter removes deletions, insertions, and other variant classes from the initial benchmark.</w:t>
      </w:r>
    </w:p>
    <w:p>
      <w:pPr>
        <w:pStyle w:val="Heading2"/>
      </w:pPr>
      <w:r>
        <w:t>14.3 Filter 3 — Direct REF/ALT validation</w:t>
      </w:r>
    </w:p>
    <w:p>
      <w:pPr>
        <w:pStyle w:val="Code"/>
      </w:pPr>
      <w:r>
        <w:t>if len(ref) != 1 or len(alt) != 1:</w:t>
      </w:r>
    </w:p>
    <w:p>
      <w:pPr>
        <w:pStyle w:val="Code"/>
      </w:pPr>
      <w:r>
        <w:t xml:space="preserve">    continue</w:t>
      </w:r>
    </w:p>
    <w:p>
      <w:r>
        <w:t>Purpose: do not rely solely on the CLNVC annotation. The raw VCF alleles are independently checked. A simple SNV should have one nucleotide in REF and one nucleotide in ALT.</w:t>
      </w:r>
    </w:p>
    <w:p>
      <w:r>
        <w:t>This is an example of defensive validation: two representations of the same concept are checked for agreement.</w:t>
      </w:r>
    </w:p>
    <w:p>
      <w:pPr>
        <w:pStyle w:val="Heading2"/>
      </w:pPr>
      <w:r>
        <w:t>14.4 Filter 4 — Clinical significance and binary labels</w:t>
      </w:r>
    </w:p>
    <w:p>
      <w:pPr>
        <w:pStyle w:val="Code"/>
      </w:pPr>
      <w:r>
        <w:t>pathogenic_classes = {</w:t>
      </w:r>
    </w:p>
    <w:p>
      <w:pPr>
        <w:pStyle w:val="Code"/>
      </w:pPr>
      <w:r>
        <w:t xml:space="preserve">    "Pathogenic",</w:t>
      </w:r>
    </w:p>
    <w:p>
      <w:pPr>
        <w:pStyle w:val="Code"/>
      </w:pPr>
      <w:r>
        <w:t xml:space="preserve">    "Likely_pathogenic",</w:t>
      </w:r>
    </w:p>
    <w:p>
      <w:pPr>
        <w:pStyle w:val="Code"/>
      </w:pPr>
      <w:r>
        <w:t xml:space="preserve">    "Pathogenic/Likely_pathogenic"</w:t>
      </w:r>
    </w:p>
    <w:p>
      <w:pPr>
        <w:pStyle w:val="Code"/>
      </w:pPr>
      <w:r>
        <w:t>}</w:t>
      </w:r>
    </w:p>
    <w:p>
      <w:pPr>
        <w:pStyle w:val="Code"/>
      </w:pPr>
      <w:r/>
    </w:p>
    <w:p>
      <w:pPr>
        <w:pStyle w:val="Code"/>
      </w:pPr>
      <w:r>
        <w:t>benign_classes = {</w:t>
      </w:r>
    </w:p>
    <w:p>
      <w:pPr>
        <w:pStyle w:val="Code"/>
      </w:pPr>
      <w:r>
        <w:t xml:space="preserve">    "Benign",</w:t>
      </w:r>
    </w:p>
    <w:p>
      <w:pPr>
        <w:pStyle w:val="Code"/>
      </w:pPr>
      <w:r>
        <w:t xml:space="preserve">    "Likely_benign",</w:t>
      </w:r>
    </w:p>
    <w:p>
      <w:pPr>
        <w:pStyle w:val="Code"/>
      </w:pPr>
      <w:r>
        <w:t xml:space="preserve">    "Benign/Likely_benign"</w:t>
      </w:r>
    </w:p>
    <w:p>
      <w:pPr>
        <w:pStyle w:val="Code"/>
      </w:pPr>
      <w:r>
        <w:t>}</w:t>
      </w:r>
    </w:p>
    <w:p>
      <w:r>
        <w:t>These are Python sets: collections of allowed unique values.</w:t>
      </w:r>
    </w:p>
    <w:p>
      <w:pPr>
        <w:pStyle w:val="Code"/>
      </w:pPr>
      <w:r>
        <w:t>if clinical_significance in pathogenic_classes:</w:t>
      </w:r>
    </w:p>
    <w:p>
      <w:pPr>
        <w:pStyle w:val="Code"/>
      </w:pPr>
      <w:r>
        <w:t xml:space="preserve">    label = 1</w:t>
      </w:r>
    </w:p>
    <w:p>
      <w:pPr>
        <w:pStyle w:val="Code"/>
      </w:pPr>
      <w:r>
        <w:t>elif clinical_significance in benign_classes:</w:t>
      </w:r>
    </w:p>
    <w:p>
      <w:pPr>
        <w:pStyle w:val="Code"/>
      </w:pPr>
      <w:r>
        <w:t xml:space="preserve">    label = 0</w:t>
      </w:r>
    </w:p>
    <w:p>
      <w:pPr>
        <w:pStyle w:val="Code"/>
      </w:pPr>
      <w:r>
        <w:t>else:</w:t>
      </w:r>
    </w:p>
    <w:p>
      <w:pPr>
        <w:pStyle w:val="Code"/>
      </w:pPr>
      <w:r>
        <w:t xml:space="preserve">    continue</w:t>
      </w:r>
    </w:p>
    <w:p>
      <w:r>
        <w:t>Purpose: create a clear supervised-learning outcome.</w:t>
      </w:r>
    </w:p>
    <w:p>
      <w:pPr>
        <w:pStyle w:val="ListBullet"/>
      </w:pPr>
      <w:r>
        <w:t>Label 1 = pathogenic / likely pathogenic.</w:t>
      </w:r>
    </w:p>
    <w:p>
      <w:pPr>
        <w:pStyle w:val="ListBullet"/>
      </w:pPr>
      <w:r>
        <w:t>Label 0 = benign / likely benign.</w:t>
      </w:r>
    </w:p>
    <w:p>
      <w:pPr>
        <w:pStyle w:val="ListBullet"/>
      </w:pPr>
      <w:r>
        <w:t>VUS and other non-binary classifications are excluded.</w:t>
      </w:r>
    </w:p>
    <w:p>
      <w:r>
        <w:t>The first missense SNV found, ClinVar ID 2205837, was Likely_benign and therefore received label 0.</w:t>
      </w:r>
    </w:p>
    <w:p>
      <w:pPr>
        <w:pStyle w:val="Heading2"/>
      </w:pPr>
      <w:r>
        <w:t>14.5 Filter 5 — Strict review status</w:t>
      </w:r>
    </w:p>
    <w:p>
      <w:pPr>
        <w:pStyle w:val="Code"/>
      </w:pPr>
      <w:r>
        <w:t>accepted_review_statuses = {</w:t>
      </w:r>
    </w:p>
    <w:p>
      <w:pPr>
        <w:pStyle w:val="Code"/>
      </w:pPr>
      <w:r>
        <w:t xml:space="preserve">    "criteria_provided,_multiple_submitters,_no_conflicts",</w:t>
      </w:r>
    </w:p>
    <w:p>
      <w:pPr>
        <w:pStyle w:val="Code"/>
      </w:pPr>
      <w:r>
        <w:t xml:space="preserve">    "reviewed_by_expert_panel",</w:t>
      </w:r>
    </w:p>
    <w:p>
      <w:pPr>
        <w:pStyle w:val="Code"/>
      </w:pPr>
      <w:r>
        <w:t xml:space="preserve">    "practice_guideline"</w:t>
      </w:r>
    </w:p>
    <w:p>
      <w:pPr>
        <w:pStyle w:val="Code"/>
      </w:pPr>
      <w:r>
        <w:t>}</w:t>
      </w:r>
    </w:p>
    <w:p>
      <w:pPr>
        <w:pStyle w:val="Code"/>
      </w:pPr>
      <w:r/>
    </w:p>
    <w:p>
      <w:pPr>
        <w:pStyle w:val="Code"/>
      </w:pPr>
      <w:r>
        <w:t>if review_status not in accepted_review_statuses:</w:t>
      </w:r>
    </w:p>
    <w:p>
      <w:pPr>
        <w:pStyle w:val="Code"/>
      </w:pPr>
      <w:r>
        <w:t xml:space="preserve">    continue</w:t>
      </w:r>
    </w:p>
    <w:p>
      <w:r>
        <w:t>Purpose: improve label confidence for the primary benchmark by retaining only stronger ClinVar review categories corresponding to the intended 2–4-star strict benchmark.</w:t>
      </w:r>
    </w:p>
    <w:p>
      <w:r>
        <w:t>The Likely_benign OR4F5 record was a single-submitter record and was therefore excluded by this filter. The script then found ClinVar ID 1170208 in SAMD11, which was Benign, missense, an SNV, and had multiple submitters with no conflicts. It passed all five current filters and received label 0.</w:t>
      </w:r>
    </w:p>
    <w:p>
      <w:pPr>
        <w:pStyle w:val="Heading1"/>
      </w:pPr>
      <w:r>
        <w:t>15. Why continue and break Matter</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Keyword</w:t>
            </w:r>
          </w:p>
        </w:tc>
        <w:tc>
          <w:tcPr>
            <w:tcW w:type="dxa" w:w="3312"/>
            <w:vAlign w:val="center"/>
          </w:tcPr>
          <w:p>
            <w:r>
              <w:rPr>
                <w:b/>
              </w:rPr>
              <w:t>Meaning</w:t>
            </w:r>
          </w:p>
        </w:tc>
        <w:tc>
          <w:tcPr>
            <w:tcW w:type="dxa" w:w="3312"/>
            <w:vAlign w:val="center"/>
          </w:tcPr>
          <w:p>
            <w:r>
              <w:rPr>
                <w:b/>
              </w:rPr>
              <w:t>How it is used here</w:t>
            </w:r>
          </w:p>
        </w:tc>
      </w:tr>
      <w:tr>
        <w:tc>
          <w:tcPr>
            <w:tcW w:type="dxa" w:w="3312"/>
            <w:vAlign w:val="center"/>
          </w:tcPr>
          <w:p>
            <w:r>
              <w:t>continue</w:t>
            </w:r>
          </w:p>
        </w:tc>
        <w:tc>
          <w:tcPr>
            <w:tcW w:type="dxa" w:w="3312"/>
            <w:vAlign w:val="center"/>
          </w:tcPr>
          <w:p>
            <w:r>
              <w:t>Skip the rest of the current loop iteration and move to the next record</w:t>
            </w:r>
          </w:p>
        </w:tc>
        <w:tc>
          <w:tcPr>
            <w:tcW w:type="dxa" w:w="3312"/>
            <w:vAlign w:val="center"/>
          </w:tcPr>
          <w:p>
            <w:r>
              <w:t>Reject a variant that fails a benchmark criterion</w:t>
            </w:r>
          </w:p>
        </w:tc>
      </w:tr>
      <w:tr>
        <w:tc>
          <w:tcPr>
            <w:tcW w:type="dxa" w:w="3312"/>
            <w:vAlign w:val="center"/>
          </w:tcPr>
          <w:p>
            <w:r>
              <w:t>break</w:t>
            </w:r>
          </w:p>
        </w:tc>
        <w:tc>
          <w:tcPr>
            <w:tcW w:type="dxa" w:w="3312"/>
            <w:vAlign w:val="center"/>
          </w:tcPr>
          <w:p>
            <w:r>
              <w:t>Stop the loop completely</w:t>
            </w:r>
          </w:p>
        </w:tc>
        <w:tc>
          <w:tcPr>
            <w:tcW w:type="dxa" w:w="3312"/>
            <w:vAlign w:val="center"/>
          </w:tcPr>
          <w:p>
            <w:r>
              <w:t>Used in inspect_clinvar.py after finding the first useful example</w:t>
            </w:r>
          </w:p>
        </w:tc>
      </w:tr>
    </w:tbl>
    <w:p>
      <w:r>
        <w:t>This distinction is essential. The inspection script uses break because it only wants one example. The benchmark builder does not break after a passing variant because it must scan the entire ClinVar file.</w:t>
      </w:r>
    </w:p>
    <w:p>
      <w:pPr>
        <w:pStyle w:val="Heading1"/>
      </w:pPr>
      <w:r>
        <w:t>16. Transition to build_clinvar_benchmark.py</w:t>
      </w:r>
    </w:p>
    <w:p>
      <w:r>
        <w:t>After the single-record inspection logic was understood, a separate script named scripts/build_clinvar_benchmark.py was created. This marks the transition from learning on one record to performing dataset-wide quality control.</w:t>
      </w:r>
    </w:p>
    <w:p>
      <w:r>
        <w:t>The first benchmark-builder version does not yet write the final dataset. Instead, it counts how many records survive each filtering stage. This is intentional: the selection logic should be audited before producing a processed data file.</w:t>
      </w:r>
    </w:p>
    <w:p>
      <w:pPr>
        <w:pStyle w:val="Heading2"/>
      </w:pPr>
      <w:r>
        <w:t>16.1 Counter concept</w:t>
      </w:r>
    </w:p>
    <w:p>
      <w:pPr>
        <w:pStyle w:val="Code"/>
      </w:pPr>
      <w:r>
        <w:t>total_variants = 0</w:t>
      </w:r>
    </w:p>
    <w:p>
      <w:pPr>
        <w:pStyle w:val="Code"/>
      </w:pPr>
      <w:r>
        <w:t>missense_variants = 0</w:t>
      </w:r>
    </w:p>
    <w:p>
      <w:pPr>
        <w:pStyle w:val="Code"/>
      </w:pPr>
      <w:r>
        <w:t>snv_variants = 0</w:t>
      </w:r>
    </w:p>
    <w:p>
      <w:r>
        <w:t>Each counter starts at zero. When a record reaches the appropriate stage:</w:t>
      </w:r>
    </w:p>
    <w:p>
      <w:pPr>
        <w:pStyle w:val="Code"/>
      </w:pPr>
      <w:r>
        <w:t>total_variants += 1</w:t>
      </w:r>
    </w:p>
    <w:p>
      <w:r>
        <w:t>The operator += 1 means 'increase the current value by one.' Counters create a quantitative audit trail of dataset attrition.</w:t>
      </w:r>
    </w:p>
    <w:p>
      <w:pPr>
        <w:pStyle w:val="Heading1"/>
      </w:pPr>
      <w:r>
        <w:t>17. Current ClinVar Filtering Results</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Filtering stage</w:t>
            </w:r>
          </w:p>
        </w:tc>
        <w:tc>
          <w:tcPr>
            <w:tcW w:type="dxa" w:w="4968"/>
            <w:vAlign w:val="center"/>
          </w:tcPr>
          <w:p>
            <w:r>
              <w:rPr>
                <w:b/>
              </w:rPr>
              <w:t>Count</w:t>
            </w:r>
          </w:p>
        </w:tc>
      </w:tr>
      <w:tr>
        <w:tc>
          <w:tcPr>
            <w:tcW w:type="dxa" w:w="4968"/>
            <w:vAlign w:val="center"/>
          </w:tcPr>
          <w:p>
            <w:r>
              <w:t>All ClinVar VCF records</w:t>
            </w:r>
          </w:p>
        </w:tc>
        <w:tc>
          <w:tcPr>
            <w:tcW w:type="dxa" w:w="4968"/>
            <w:vAlign w:val="center"/>
          </w:tcPr>
          <w:p>
            <w:r>
              <w:t>4,467,990</w:t>
            </w:r>
          </w:p>
        </w:tc>
      </w:tr>
      <w:tr>
        <w:tc>
          <w:tcPr>
            <w:tcW w:type="dxa" w:w="4968"/>
            <w:vAlign w:val="center"/>
          </w:tcPr>
          <w:p>
            <w:r>
              <w:t>Records containing missense_variant</w:t>
            </w:r>
          </w:p>
        </w:tc>
        <w:tc>
          <w:tcPr>
            <w:tcW w:type="dxa" w:w="4968"/>
            <w:vAlign w:val="center"/>
          </w:tcPr>
          <w:p>
            <w:r>
              <w:t>2,536,550</w:t>
            </w:r>
          </w:p>
        </w:tc>
      </w:tr>
      <w:tr>
        <w:tc>
          <w:tcPr>
            <w:tcW w:type="dxa" w:w="4968"/>
            <w:vAlign w:val="center"/>
          </w:tcPr>
          <w:p>
            <w:r>
              <w:t>Missense records annotated as SNVs</w:t>
            </w:r>
          </w:p>
        </w:tc>
        <w:tc>
          <w:tcPr>
            <w:tcW w:type="dxa" w:w="4968"/>
            <w:vAlign w:val="center"/>
          </w:tcPr>
          <w:p>
            <w:r>
              <w:t>2,527,633</w:t>
            </w:r>
          </w:p>
        </w:tc>
      </w:tr>
      <w:tr>
        <w:tc>
          <w:tcPr>
            <w:tcW w:type="dxa" w:w="4968"/>
            <w:vAlign w:val="center"/>
          </w:tcPr>
          <w:p>
            <w:r>
              <w:t>Valid one-base REF/ALT SNVs</w:t>
            </w:r>
          </w:p>
        </w:tc>
        <w:tc>
          <w:tcPr>
            <w:tcW w:type="dxa" w:w="4968"/>
            <w:vAlign w:val="center"/>
          </w:tcPr>
          <w:p>
            <w:r>
              <w:t>2,527,633</w:t>
            </w:r>
          </w:p>
        </w:tc>
      </w:tr>
      <w:tr>
        <w:tc>
          <w:tcPr>
            <w:tcW w:type="dxa" w:w="4968"/>
            <w:vAlign w:val="center"/>
          </w:tcPr>
          <w:p>
            <w:r>
              <w:t>Accepted P/LP or B/LB clinical significance</w:t>
            </w:r>
          </w:p>
        </w:tc>
        <w:tc>
          <w:tcPr>
            <w:tcW w:type="dxa" w:w="4968"/>
            <w:vAlign w:val="center"/>
          </w:tcPr>
          <w:p>
            <w:r>
              <w:t>223,911</w:t>
            </w:r>
          </w:p>
        </w:tc>
      </w:tr>
      <w:tr>
        <w:tc>
          <w:tcPr>
            <w:tcW w:type="dxa" w:w="4968"/>
            <w:vAlign w:val="center"/>
          </w:tcPr>
          <w:p>
            <w:r>
              <w:t>Strict 2–4-star review-status candidates</w:t>
            </w:r>
          </w:p>
        </w:tc>
        <w:tc>
          <w:tcPr>
            <w:tcW w:type="dxa" w:w="4968"/>
            <w:vAlign w:val="center"/>
          </w:tcPr>
          <w:p>
            <w:r>
              <w:t>65,225</w:t>
            </w:r>
          </w:p>
        </w:tc>
      </w:tr>
    </w:tbl>
    <w:p>
      <w:r>
        <w:t>Class counts before the review-status filter:</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Class</w:t>
            </w:r>
          </w:p>
        </w:tc>
        <w:tc>
          <w:tcPr>
            <w:tcW w:type="dxa" w:w="4968"/>
            <w:vAlign w:val="center"/>
          </w:tcPr>
          <w:p>
            <w:r>
              <w:rPr>
                <w:b/>
              </w:rPr>
              <w:t>Count before strict review filter</w:t>
            </w:r>
          </w:p>
        </w:tc>
      </w:tr>
      <w:tr>
        <w:tc>
          <w:tcPr>
            <w:tcW w:type="dxa" w:w="4968"/>
            <w:vAlign w:val="center"/>
          </w:tcPr>
          <w:p>
            <w:r>
              <w:t>Pathogenic / likely pathogenic</w:t>
            </w:r>
          </w:p>
        </w:tc>
        <w:tc>
          <w:tcPr>
            <w:tcW w:type="dxa" w:w="4968"/>
            <w:vAlign w:val="center"/>
          </w:tcPr>
          <w:p>
            <w:r>
              <w:t>71,362</w:t>
            </w:r>
          </w:p>
        </w:tc>
      </w:tr>
      <w:tr>
        <w:tc>
          <w:tcPr>
            <w:tcW w:type="dxa" w:w="4968"/>
            <w:vAlign w:val="center"/>
          </w:tcPr>
          <w:p>
            <w:r>
              <w:t>Benign / likely benign</w:t>
            </w:r>
          </w:p>
        </w:tc>
        <w:tc>
          <w:tcPr>
            <w:tcW w:type="dxa" w:w="4968"/>
            <w:vAlign w:val="center"/>
          </w:tcPr>
          <w:p>
            <w:r>
              <w:t>152,549</w:t>
            </w:r>
          </w:p>
        </w:tc>
      </w:tr>
      <w:tr>
        <w:tc>
          <w:tcPr>
            <w:tcW w:type="dxa" w:w="4968"/>
            <w:vAlign w:val="center"/>
          </w:tcPr>
          <w:p>
            <w:r>
              <w:t>Total</w:t>
            </w:r>
          </w:p>
        </w:tc>
        <w:tc>
          <w:tcPr>
            <w:tcW w:type="dxa" w:w="4968"/>
            <w:vAlign w:val="center"/>
          </w:tcPr>
          <w:p>
            <w:r>
              <w:t>223,911</w:t>
            </w:r>
          </w:p>
        </w:tc>
      </w:tr>
    </w:tbl>
    <w:p>
      <w:r>
        <w:t>Interpretation: the current binary dataset is imbalanced before the review filter, with more benign/likely benign than pathogenic/likely pathogenic records. This supports the planned use of PR-AUC and MCC in addition to ROC-AUC.</w:t>
      </w:r>
    </w:p>
    <w:p>
      <w:pPr>
        <w:pStyle w:val="Heading1"/>
      </w:pPr>
      <w:r>
        <w:t>18. What the Current 65,225 Records Mean — and What They Do Not Mean</w:t>
      </w:r>
    </w:p>
    <w:p>
      <w:r>
        <w:t>The 65,225 records are current candidates that survived the implemented filters. They are not yet the final publication dataset.</w:t>
      </w:r>
    </w:p>
    <w:p>
      <w:r>
        <w:t>Additional work remains, including:</w:t>
      </w:r>
    </w:p>
    <w:p>
      <w:pPr>
        <w:pStyle w:val="ListBullet"/>
      </w:pPr>
      <w:r>
        <w:t>Completed: calculated 24,904 pathogenic/likely pathogenic and 40,321 benign/likely benign records after the strict review-status filter.</w:t>
      </w:r>
    </w:p>
    <w:p>
      <w:pPr>
        <w:pStyle w:val="ListBullet"/>
      </w:pPr>
      <w:r>
        <w:t>Inspect exact ClinVar CLNSIG and CLNREVSTAT values in this frozen release for edge cases.</w:t>
      </w:r>
    </w:p>
    <w:p>
      <w:pPr>
        <w:pStyle w:val="ListBullet"/>
      </w:pPr>
      <w:r>
        <w:t>Evaluate duplicate/multiallelic or representation issues.</w:t>
      </w:r>
    </w:p>
    <w:p>
      <w:pPr>
        <w:pStyle w:val="ListBullet"/>
      </w:pPr>
      <w:r>
        <w:t>Extract and normalize gene identifiers.</w:t>
      </w:r>
    </w:p>
    <w:p>
      <w:pPr>
        <w:pStyle w:val="ListBullet"/>
      </w:pPr>
      <w:r>
        <w:t>Map variants to appropriate transcripts and proteins.</w:t>
      </w:r>
    </w:p>
    <w:p>
      <w:pPr>
        <w:pStyle w:val="ListBullet"/>
      </w:pPr>
      <w:r>
        <w:t>Establish protein positions and reference/alternate amino acids.</w:t>
      </w:r>
    </w:p>
    <w:p>
      <w:pPr>
        <w:pStyle w:val="ListBullet"/>
      </w:pPr>
      <w:r>
        <w:t>Define ortholog retrieval and MSA quality requirements.</w:t>
      </w:r>
    </w:p>
    <w:p>
      <w:pPr>
        <w:pStyle w:val="ListBullet"/>
      </w:pPr>
      <w:r>
        <w:t>Calculate Shannon entropy and alignment-quality metrics.</w:t>
      </w:r>
    </w:p>
    <w:p>
      <w:pPr>
        <w:pStyle w:val="ListBullet"/>
      </w:pPr>
      <w:r>
        <w:t>Add functional predictor scores.</w:t>
      </w:r>
    </w:p>
    <w:p>
      <w:pPr>
        <w:pStyle w:val="ListBullet"/>
      </w:pPr>
      <w:r>
        <w:t>Create development and publication datasets.</w:t>
      </w:r>
    </w:p>
    <w:p>
      <w:pPr>
        <w:pStyle w:val="ListBullet"/>
      </w:pPr>
      <w:r>
        <w:t>Apply gene-held-out evaluation.</w:t>
      </w:r>
    </w:p>
    <w:p>
      <w:pPr>
        <w:pStyle w:val="ListBullet"/>
      </w:pPr>
      <w:r>
        <w:t>Later integrate RNA evidence for M4.</w:t>
      </w:r>
    </w:p>
    <w:p>
      <w:pPr>
        <w:pStyle w:val="Heading1"/>
      </w:pPr>
      <w:r>
        <w:t>19. Python Concepts Learned Through the Research</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Concept</w:t>
            </w:r>
          </w:p>
        </w:tc>
        <w:tc>
          <w:tcPr>
            <w:tcW w:type="dxa" w:w="3312"/>
            <w:vAlign w:val="center"/>
          </w:tcPr>
          <w:p>
            <w:r>
              <w:rPr>
                <w:b/>
              </w:rPr>
              <w:t>Simple meaning</w:t>
            </w:r>
          </w:p>
        </w:tc>
        <w:tc>
          <w:tcPr>
            <w:tcW w:type="dxa" w:w="3312"/>
            <w:vAlign w:val="center"/>
          </w:tcPr>
          <w:p>
            <w:r>
              <w:rPr>
                <w:b/>
              </w:rPr>
              <w:t>Project use</w:t>
            </w:r>
          </w:p>
        </w:tc>
      </w:tr>
      <w:tr>
        <w:tc>
          <w:tcPr>
            <w:tcW w:type="dxa" w:w="3312"/>
            <w:vAlign w:val="center"/>
          </w:tcPr>
          <w:p>
            <w:r>
              <w:t>Variable</w:t>
            </w:r>
          </w:p>
        </w:tc>
        <w:tc>
          <w:tcPr>
            <w:tcW w:type="dxa" w:w="3312"/>
            <w:vAlign w:val="center"/>
          </w:tcPr>
          <w:p>
            <w:r>
              <w:t>Named storage for a value</w:t>
            </w:r>
          </w:p>
        </w:tc>
        <w:tc>
          <w:tcPr>
            <w:tcW w:type="dxa" w:w="3312"/>
            <w:vAlign w:val="center"/>
          </w:tcPr>
          <w:p>
            <w:r>
              <w:t>Store file paths, alleles, annotations, labels</w:t>
            </w:r>
          </w:p>
        </w:tc>
      </w:tr>
      <w:tr>
        <w:tc>
          <w:tcPr>
            <w:tcW w:type="dxa" w:w="3312"/>
            <w:vAlign w:val="center"/>
          </w:tcPr>
          <w:p>
            <w:r>
              <w:t>List</w:t>
            </w:r>
          </w:p>
        </w:tc>
        <w:tc>
          <w:tcPr>
            <w:tcW w:type="dxa" w:w="3312"/>
            <w:vAlign w:val="center"/>
          </w:tcPr>
          <w:p>
            <w:r>
              <w:t>Ordered collection indexed from 0</w:t>
            </w:r>
          </w:p>
        </w:tc>
        <w:tc>
          <w:tcPr>
            <w:tcW w:type="dxa" w:w="3312"/>
            <w:vAlign w:val="center"/>
          </w:tcPr>
          <w:p>
            <w:r>
              <w:t>Store the eight VCF columns after splitting</w:t>
            </w:r>
          </w:p>
        </w:tc>
      </w:tr>
      <w:tr>
        <w:tc>
          <w:tcPr>
            <w:tcW w:type="dxa" w:w="3312"/>
            <w:vAlign w:val="center"/>
          </w:tcPr>
          <w:p>
            <w:r>
              <w:t>Dictionary</w:t>
            </w:r>
          </w:p>
        </w:tc>
        <w:tc>
          <w:tcPr>
            <w:tcW w:type="dxa" w:w="3312"/>
            <w:vAlign w:val="center"/>
          </w:tcPr>
          <w:p>
            <w:r>
              <w:t>Key-value collection</w:t>
            </w:r>
          </w:p>
        </w:tc>
        <w:tc>
          <w:tcPr>
            <w:tcW w:type="dxa" w:w="3312"/>
            <w:vAlign w:val="center"/>
          </w:tcPr>
          <w:p>
            <w:r>
              <w:t>Store INFO annotations such as CLNSIG → Benign</w:t>
            </w:r>
          </w:p>
        </w:tc>
      </w:tr>
      <w:tr>
        <w:tc>
          <w:tcPr>
            <w:tcW w:type="dxa" w:w="3312"/>
            <w:vAlign w:val="center"/>
          </w:tcPr>
          <w:p>
            <w:r>
              <w:t>Set</w:t>
            </w:r>
          </w:p>
        </w:tc>
        <w:tc>
          <w:tcPr>
            <w:tcW w:type="dxa" w:w="3312"/>
            <w:vAlign w:val="center"/>
          </w:tcPr>
          <w:p>
            <w:r>
              <w:t>Collection of unique allowed values</w:t>
            </w:r>
          </w:p>
        </w:tc>
        <w:tc>
          <w:tcPr>
            <w:tcW w:type="dxa" w:w="3312"/>
            <w:vAlign w:val="center"/>
          </w:tcPr>
          <w:p>
            <w:r>
              <w:t>Define accepted clinical classes and review statuses</w:t>
            </w:r>
          </w:p>
        </w:tc>
      </w:tr>
      <w:tr>
        <w:tc>
          <w:tcPr>
            <w:tcW w:type="dxa" w:w="3312"/>
            <w:vAlign w:val="center"/>
          </w:tcPr>
          <w:p>
            <w:r>
              <w:t>for loop</w:t>
            </w:r>
          </w:p>
        </w:tc>
        <w:tc>
          <w:tcPr>
            <w:tcW w:type="dxa" w:w="3312"/>
            <w:vAlign w:val="center"/>
          </w:tcPr>
          <w:p>
            <w:r>
              <w:t>Repeat an operation</w:t>
            </w:r>
          </w:p>
        </w:tc>
        <w:tc>
          <w:tcPr>
            <w:tcW w:type="dxa" w:w="3312"/>
            <w:vAlign w:val="center"/>
          </w:tcPr>
          <w:p>
            <w:r>
              <w:t>Process millions of VCF records one at a time</w:t>
            </w:r>
          </w:p>
        </w:tc>
      </w:tr>
      <w:tr>
        <w:tc>
          <w:tcPr>
            <w:tcW w:type="dxa" w:w="3312"/>
            <w:vAlign w:val="center"/>
          </w:tcPr>
          <w:p>
            <w:r>
              <w:t>if / elif / else</w:t>
            </w:r>
          </w:p>
        </w:tc>
        <w:tc>
          <w:tcPr>
            <w:tcW w:type="dxa" w:w="3312"/>
            <w:vAlign w:val="center"/>
          </w:tcPr>
          <w:p>
            <w:r>
              <w:t>Conditional decision logic</w:t>
            </w:r>
          </w:p>
        </w:tc>
        <w:tc>
          <w:tcPr>
            <w:tcW w:type="dxa" w:w="3312"/>
            <w:vAlign w:val="center"/>
          </w:tcPr>
          <w:p>
            <w:r>
              <w:t>Apply inclusion/exclusion rules</w:t>
            </w:r>
          </w:p>
        </w:tc>
      </w:tr>
      <w:tr>
        <w:tc>
          <w:tcPr>
            <w:tcW w:type="dxa" w:w="3312"/>
            <w:vAlign w:val="center"/>
          </w:tcPr>
          <w:p>
            <w:r>
              <w:t>continue</w:t>
            </w:r>
          </w:p>
        </w:tc>
        <w:tc>
          <w:tcPr>
            <w:tcW w:type="dxa" w:w="3312"/>
            <w:vAlign w:val="center"/>
          </w:tcPr>
          <w:p>
            <w:r>
              <w:t>Skip current iteration</w:t>
            </w:r>
          </w:p>
        </w:tc>
        <w:tc>
          <w:tcPr>
            <w:tcW w:type="dxa" w:w="3312"/>
            <w:vAlign w:val="center"/>
          </w:tcPr>
          <w:p>
            <w:r>
              <w:t>Reject a variant and move to the next</w:t>
            </w:r>
          </w:p>
        </w:tc>
      </w:tr>
      <w:tr>
        <w:tc>
          <w:tcPr>
            <w:tcW w:type="dxa" w:w="3312"/>
            <w:vAlign w:val="center"/>
          </w:tcPr>
          <w:p>
            <w:r>
              <w:t>break</w:t>
            </w:r>
          </w:p>
        </w:tc>
        <w:tc>
          <w:tcPr>
            <w:tcW w:type="dxa" w:w="3312"/>
            <w:vAlign w:val="center"/>
          </w:tcPr>
          <w:p>
            <w:r>
              <w:t>Stop loop</w:t>
            </w:r>
          </w:p>
        </w:tc>
        <w:tc>
          <w:tcPr>
            <w:tcW w:type="dxa" w:w="3312"/>
            <w:vAlign w:val="center"/>
          </w:tcPr>
          <w:p>
            <w:r>
              <w:t>Stop after the first example in the inspection script</w:t>
            </w:r>
          </w:p>
        </w:tc>
      </w:tr>
      <w:tr>
        <w:tc>
          <w:tcPr>
            <w:tcW w:type="dxa" w:w="3312"/>
            <w:vAlign w:val="center"/>
          </w:tcPr>
          <w:p>
            <w:r>
              <w:t>len()</w:t>
            </w:r>
          </w:p>
        </w:tc>
        <w:tc>
          <w:tcPr>
            <w:tcW w:type="dxa" w:w="3312"/>
            <w:vAlign w:val="center"/>
          </w:tcPr>
          <w:p>
            <w:r>
              <w:t>Return length</w:t>
            </w:r>
          </w:p>
        </w:tc>
        <w:tc>
          <w:tcPr>
            <w:tcW w:type="dxa" w:w="3312"/>
            <w:vAlign w:val="center"/>
          </w:tcPr>
          <w:p>
            <w:r>
              <w:t>Validate one-base REF and ALT alleles</w:t>
            </w:r>
          </w:p>
        </w:tc>
      </w:tr>
      <w:tr>
        <w:tc>
          <w:tcPr>
            <w:tcW w:type="dxa" w:w="3312"/>
            <w:vAlign w:val="center"/>
          </w:tcPr>
          <w:p>
            <w:r>
              <w:t>.split()</w:t>
            </w:r>
          </w:p>
        </w:tc>
        <w:tc>
          <w:tcPr>
            <w:tcW w:type="dxa" w:w="3312"/>
            <w:vAlign w:val="center"/>
          </w:tcPr>
          <w:p>
            <w:r>
              <w:t>Separate text using a delimiter</w:t>
            </w:r>
          </w:p>
        </w:tc>
        <w:tc>
          <w:tcPr>
            <w:tcW w:type="dxa" w:w="3312"/>
            <w:vAlign w:val="center"/>
          </w:tcPr>
          <w:p>
            <w:r>
              <w:t>Split VCF columns and INFO entries</w:t>
            </w:r>
          </w:p>
        </w:tc>
      </w:tr>
      <w:tr>
        <w:tc>
          <w:tcPr>
            <w:tcW w:type="dxa" w:w="3312"/>
            <w:vAlign w:val="center"/>
          </w:tcPr>
          <w:p>
            <w:r>
              <w:t>.strip()</w:t>
            </w:r>
          </w:p>
        </w:tc>
        <w:tc>
          <w:tcPr>
            <w:tcW w:type="dxa" w:w="3312"/>
            <w:vAlign w:val="center"/>
          </w:tcPr>
          <w:p>
            <w:r>
              <w:t>Remove surrounding whitespace/newline</w:t>
            </w:r>
          </w:p>
        </w:tc>
        <w:tc>
          <w:tcPr>
            <w:tcW w:type="dxa" w:w="3312"/>
            <w:vAlign w:val="center"/>
          </w:tcPr>
          <w:p>
            <w:r>
              <w:t>Clean each VCF row before parsing</w:t>
            </w:r>
          </w:p>
        </w:tc>
      </w:tr>
      <w:tr>
        <w:tc>
          <w:tcPr>
            <w:tcW w:type="dxa" w:w="3312"/>
            <w:vAlign w:val="center"/>
          </w:tcPr>
          <w:p>
            <w:r>
              <w:t>.get()</w:t>
            </w:r>
          </w:p>
        </w:tc>
        <w:tc>
          <w:tcPr>
            <w:tcW w:type="dxa" w:w="3312"/>
            <w:vAlign w:val="center"/>
          </w:tcPr>
          <w:p>
            <w:r>
              <w:t>Safely retrieve a dictionary value</w:t>
            </w:r>
          </w:p>
        </w:tc>
        <w:tc>
          <w:tcPr>
            <w:tcW w:type="dxa" w:w="3312"/>
            <w:vAlign w:val="center"/>
          </w:tcPr>
          <w:p>
            <w:r>
              <w:t>Read ClinVar INFO fields without crashing if absent</w:t>
            </w:r>
          </w:p>
        </w:tc>
      </w:tr>
      <w:tr>
        <w:tc>
          <w:tcPr>
            <w:tcW w:type="dxa" w:w="3312"/>
            <w:vAlign w:val="center"/>
          </w:tcPr>
          <w:p>
            <w:r>
              <w:t>+= 1</w:t>
            </w:r>
          </w:p>
        </w:tc>
        <w:tc>
          <w:tcPr>
            <w:tcW w:type="dxa" w:w="3312"/>
            <w:vAlign w:val="center"/>
          </w:tcPr>
          <w:p>
            <w:r>
              <w:t>Increment a counter</w:t>
            </w:r>
          </w:p>
        </w:tc>
        <w:tc>
          <w:tcPr>
            <w:tcW w:type="dxa" w:w="3312"/>
            <w:vAlign w:val="center"/>
          </w:tcPr>
          <w:p>
            <w:r>
              <w:t>Measure how many variants survive each stage</w:t>
            </w:r>
          </w:p>
        </w:tc>
      </w:tr>
    </w:tbl>
    <w:p>
      <w:pPr>
        <w:pStyle w:val="Heading1"/>
      </w:pPr>
      <w:r>
        <w:t>20. Linux/Git Bash Concepts Learned</w:t>
      </w:r>
    </w:p>
    <w:tbl>
      <w:tblPr>
        <w:tblStyle w:val="TableGrid"/>
        <w:tblW w:type="auto" w:w="0"/>
        <w:jc w:val="center"/>
        <w:tblLook w:firstColumn="1" w:firstRow="1" w:lastColumn="0" w:lastRow="0" w:noHBand="0" w:noVBand="1" w:val="04A0"/>
      </w:tblPr>
      <w:tblGrid>
        <w:gridCol w:w="4968"/>
        <w:gridCol w:w="4968"/>
      </w:tblGrid>
      <w:tr>
        <w:tc>
          <w:tcPr>
            <w:tcW w:type="dxa" w:w="4968"/>
            <w:vAlign w:val="center"/>
          </w:tcPr>
          <w:p>
            <w:r>
              <w:rPr>
                <w:b/>
              </w:rPr>
              <w:t>Command/concept</w:t>
            </w:r>
          </w:p>
        </w:tc>
        <w:tc>
          <w:tcPr>
            <w:tcW w:type="dxa" w:w="4968"/>
            <w:vAlign w:val="center"/>
          </w:tcPr>
          <w:p>
            <w:r>
              <w:rPr>
                <w:b/>
              </w:rPr>
              <w:t>Purpose in the project</w:t>
            </w:r>
          </w:p>
        </w:tc>
      </w:tr>
      <w:tr>
        <w:tc>
          <w:tcPr>
            <w:tcW w:type="dxa" w:w="4968"/>
            <w:vAlign w:val="center"/>
          </w:tcPr>
          <w:p>
            <w:r>
              <w:t>pwd</w:t>
            </w:r>
          </w:p>
        </w:tc>
        <w:tc>
          <w:tcPr>
            <w:tcW w:type="dxa" w:w="4968"/>
            <w:vAlign w:val="center"/>
          </w:tcPr>
          <w:p>
            <w:r>
              <w:t>Confirm the current working directory</w:t>
            </w:r>
          </w:p>
        </w:tc>
      </w:tr>
      <w:tr>
        <w:tc>
          <w:tcPr>
            <w:tcW w:type="dxa" w:w="4968"/>
            <w:vAlign w:val="center"/>
          </w:tcPr>
          <w:p>
            <w:r>
              <w:t>cd</w:t>
            </w:r>
          </w:p>
        </w:tc>
        <w:tc>
          <w:tcPr>
            <w:tcW w:type="dxa" w:w="4968"/>
            <w:vAlign w:val="center"/>
          </w:tcPr>
          <w:p>
            <w:r>
              <w:t>Move between project directories</w:t>
            </w:r>
          </w:p>
        </w:tc>
      </w:tr>
      <w:tr>
        <w:tc>
          <w:tcPr>
            <w:tcW w:type="dxa" w:w="4968"/>
            <w:vAlign w:val="center"/>
          </w:tcPr>
          <w:p>
            <w:r>
              <w:t>touch</w:t>
            </w:r>
          </w:p>
        </w:tc>
        <w:tc>
          <w:tcPr>
            <w:tcW w:type="dxa" w:w="4968"/>
            <w:vAlign w:val="center"/>
          </w:tcPr>
          <w:p>
            <w:r>
              <w:t>Create an empty script/document file</w:t>
            </w:r>
          </w:p>
        </w:tc>
      </w:tr>
      <w:tr>
        <w:tc>
          <w:tcPr>
            <w:tcW w:type="dxa" w:w="4968"/>
            <w:vAlign w:val="center"/>
          </w:tcPr>
          <w:p>
            <w:r>
              <w:t>notepad &lt;file&gt;</w:t>
            </w:r>
          </w:p>
        </w:tc>
        <w:tc>
          <w:tcPr>
            <w:tcW w:type="dxa" w:w="4968"/>
            <w:vAlign w:val="center"/>
          </w:tcPr>
          <w:p>
            <w:r>
              <w:t>Open a file for editing on Windows</w:t>
            </w:r>
          </w:p>
        </w:tc>
      </w:tr>
      <w:tr>
        <w:tc>
          <w:tcPr>
            <w:tcW w:type="dxa" w:w="4968"/>
            <w:vAlign w:val="center"/>
          </w:tcPr>
          <w:p>
            <w:r>
              <w:t>zcat</w:t>
            </w:r>
          </w:p>
        </w:tc>
        <w:tc>
          <w:tcPr>
            <w:tcW w:type="dxa" w:w="4968"/>
            <w:vAlign w:val="center"/>
          </w:tcPr>
          <w:p>
            <w:r>
              <w:t>Read gzip-compressed text without permanent extraction</w:t>
            </w:r>
          </w:p>
        </w:tc>
      </w:tr>
      <w:tr>
        <w:tc>
          <w:tcPr>
            <w:tcW w:type="dxa" w:w="4968"/>
            <w:vAlign w:val="center"/>
          </w:tcPr>
          <w:p>
            <w:r>
              <w:t>grep</w:t>
            </w:r>
          </w:p>
        </w:tc>
        <w:tc>
          <w:tcPr>
            <w:tcW w:type="dxa" w:w="4968"/>
            <w:vAlign w:val="center"/>
          </w:tcPr>
          <w:p>
            <w:r>
              <w:t>Search/filter command output</w:t>
            </w:r>
          </w:p>
        </w:tc>
      </w:tr>
      <w:tr>
        <w:tc>
          <w:tcPr>
            <w:tcW w:type="dxa" w:w="4968"/>
            <w:vAlign w:val="center"/>
          </w:tcPr>
          <w:p>
            <w:r>
              <w:t>head</w:t>
            </w:r>
          </w:p>
        </w:tc>
        <w:tc>
          <w:tcPr>
            <w:tcW w:type="dxa" w:w="4968"/>
            <w:vAlign w:val="center"/>
          </w:tcPr>
          <w:p>
            <w:r>
              <w:t>Display the first lines/records</w:t>
            </w:r>
          </w:p>
        </w:tc>
      </w:tr>
      <w:tr>
        <w:tc>
          <w:tcPr>
            <w:tcW w:type="dxa" w:w="4968"/>
            <w:vAlign w:val="center"/>
          </w:tcPr>
          <w:p>
            <w:r>
              <w:t>python --version / py --version</w:t>
            </w:r>
          </w:p>
        </w:tc>
        <w:tc>
          <w:tcPr>
            <w:tcW w:type="dxa" w:w="4968"/>
            <w:vAlign w:val="center"/>
          </w:tcPr>
          <w:p>
            <w:r>
              <w:t>Identify the interpreter version</w:t>
            </w:r>
          </w:p>
        </w:tc>
      </w:tr>
      <w:tr>
        <w:tc>
          <w:tcPr>
            <w:tcW w:type="dxa" w:w="4968"/>
            <w:vAlign w:val="center"/>
          </w:tcPr>
          <w:p>
            <w:r>
              <w:t>which python</w:t>
            </w:r>
          </w:p>
        </w:tc>
        <w:tc>
          <w:tcPr>
            <w:tcW w:type="dxa" w:w="4968"/>
            <w:vAlign w:val="center"/>
          </w:tcPr>
          <w:p>
            <w:r>
              <w:t>Determine which executable Git Bash resolves for python</w:t>
            </w:r>
          </w:p>
        </w:tc>
      </w:tr>
      <w:tr>
        <w:tc>
          <w:tcPr>
            <w:tcW w:type="dxa" w:w="4968"/>
            <w:vAlign w:val="center"/>
          </w:tcPr>
          <w:p>
            <w:r>
              <w:t>source .venv/Scripts/activate</w:t>
            </w:r>
          </w:p>
        </w:tc>
        <w:tc>
          <w:tcPr>
            <w:tcW w:type="dxa" w:w="4968"/>
            <w:vAlign w:val="center"/>
          </w:tcPr>
          <w:p>
            <w:r>
              <w:t>Activate the project virtual environment</w:t>
            </w:r>
          </w:p>
        </w:tc>
      </w:tr>
      <w:tr>
        <w:tc>
          <w:tcPr>
            <w:tcW w:type="dxa" w:w="4968"/>
            <w:vAlign w:val="center"/>
          </w:tcPr>
          <w:p>
            <w:r>
              <w:t>git status</w:t>
            </w:r>
          </w:p>
        </w:tc>
        <w:tc>
          <w:tcPr>
            <w:tcW w:type="dxa" w:w="4968"/>
            <w:vAlign w:val="center"/>
          </w:tcPr>
          <w:p>
            <w:r>
              <w:t>Inspect tracked/untracked changes</w:t>
            </w:r>
          </w:p>
        </w:tc>
      </w:tr>
      <w:tr>
        <w:tc>
          <w:tcPr>
            <w:tcW w:type="dxa" w:w="4968"/>
            <w:vAlign w:val="center"/>
          </w:tcPr>
          <w:p>
            <w:r>
              <w:t>git add</w:t>
            </w:r>
          </w:p>
        </w:tc>
        <w:tc>
          <w:tcPr>
            <w:tcW w:type="dxa" w:w="4968"/>
            <w:vAlign w:val="center"/>
          </w:tcPr>
          <w:p>
            <w:r>
              <w:t>Stage selected project changes</w:t>
            </w:r>
          </w:p>
        </w:tc>
      </w:tr>
      <w:tr>
        <w:tc>
          <w:tcPr>
            <w:tcW w:type="dxa" w:w="4968"/>
            <w:vAlign w:val="center"/>
          </w:tcPr>
          <w:p>
            <w:r>
              <w:t>git commit</w:t>
            </w:r>
          </w:p>
        </w:tc>
        <w:tc>
          <w:tcPr>
            <w:tcW w:type="dxa" w:w="4968"/>
            <w:vAlign w:val="center"/>
          </w:tcPr>
          <w:p>
            <w:r>
              <w:t>Create a versioned project checkpoint</w:t>
            </w:r>
          </w:p>
        </w:tc>
      </w:tr>
      <w:tr>
        <w:tc>
          <w:tcPr>
            <w:tcW w:type="dxa" w:w="4968"/>
            <w:vAlign w:val="center"/>
          </w:tcPr>
          <w:p>
            <w:r>
              <w:t>git push</w:t>
            </w:r>
          </w:p>
        </w:tc>
        <w:tc>
          <w:tcPr>
            <w:tcW w:type="dxa" w:w="4968"/>
            <w:vAlign w:val="center"/>
          </w:tcPr>
          <w:p>
            <w:r>
              <w:t>Send committed changes to the remote GitHub repository</w:t>
            </w:r>
          </w:p>
        </w:tc>
      </w:tr>
    </w:tbl>
    <w:p>
      <w:pPr>
        <w:pStyle w:val="Heading1"/>
      </w:pPr>
      <w:r>
        <w:t>21. Research-Reproducibility Principles Already Applied</w:t>
      </w:r>
    </w:p>
    <w:p>
      <w:pPr>
        <w:pStyle w:val="ListBullet"/>
      </w:pPr>
      <w:r>
        <w:t>Freeze a dated source release rather than silently using a moving dataset.</w:t>
      </w:r>
    </w:p>
    <w:p>
      <w:pPr>
        <w:pStyle w:val="ListBullet"/>
      </w:pPr>
      <w:r>
        <w:t>Verify downloaded file type and content before analysis.</w:t>
      </w:r>
    </w:p>
    <w:p>
      <w:pPr>
        <w:pStyle w:val="ListBullet"/>
      </w:pPr>
      <w:r>
        <w:t>Keep raw public data outside Git version control while documenting its provenance.</w:t>
      </w:r>
    </w:p>
    <w:p>
      <w:pPr>
        <w:pStyle w:val="ListBullet"/>
      </w:pPr>
      <w:r>
        <w:t>Use a project-specific Python environment.</w:t>
      </w:r>
    </w:p>
    <w:p>
      <w:pPr>
        <w:pStyle w:val="ListBullet"/>
      </w:pPr>
      <w:r>
        <w:t>Build filters incrementally and validate each with concrete examples.</w:t>
      </w:r>
    </w:p>
    <w:p>
      <w:pPr>
        <w:pStyle w:val="ListBullet"/>
      </w:pPr>
      <w:r>
        <w:t>Record counts after filtering stages to create an audit trail.</w:t>
      </w:r>
    </w:p>
    <w:p>
      <w:pPr>
        <w:pStyle w:val="ListBullet"/>
      </w:pPr>
      <w:r>
        <w:t>Use independent checks when possible, such as CLNVC plus REF/ALT allele length.</w:t>
      </w:r>
    </w:p>
    <w:p>
      <w:pPr>
        <w:pStyle w:val="ListBullet"/>
      </w:pPr>
      <w:r>
        <w:t>Separate exploratory inspection code from dataset-building code.</w:t>
      </w:r>
    </w:p>
    <w:p>
      <w:pPr>
        <w:pStyle w:val="ListBullet"/>
      </w:pPr>
      <w:r>
        <w:t>Plan gene-held-out evaluation to reduce leakage.</w:t>
      </w:r>
    </w:p>
    <w:p>
      <w:pPr>
        <w:pStyle w:val="ListBullet"/>
      </w:pPr>
      <w:r>
        <w:t>Treat RNA evidence as an additional evidence layer rather than assuming all pathogenic missense variants alter RNA abundance.</w:t>
      </w:r>
    </w:p>
    <w:p>
      <w:pPr>
        <w:pStyle w:val="Heading1"/>
      </w:pPr>
      <w:r>
        <w:t>22. Current Research Workflow in Plain Language</w:t>
      </w:r>
    </w:p>
    <w:p>
      <w:pPr>
        <w:pStyle w:val="ListNumber"/>
      </w:pPr>
      <w:r>
        <w:t>Obtain and verify the frozen ClinVar GRCh38 release.</w:t>
      </w:r>
    </w:p>
    <w:p>
      <w:pPr>
        <w:pStyle w:val="ListNumber"/>
      </w:pPr>
      <w:r>
        <w:t>Read the compressed VCF without modifying the raw file.</w:t>
      </w:r>
    </w:p>
    <w:p>
      <w:pPr>
        <w:pStyle w:val="ListNumber"/>
      </w:pPr>
      <w:r>
        <w:t>Understand the eight VCF columns.</w:t>
      </w:r>
    </w:p>
    <w:p>
      <w:pPr>
        <w:pStyle w:val="ListNumber"/>
      </w:pPr>
      <w:r>
        <w:t>Convert each INFO string into structured key-value annotations.</w:t>
      </w:r>
    </w:p>
    <w:p>
      <w:pPr>
        <w:pStyle w:val="ListNumber"/>
      </w:pPr>
      <w:r>
        <w:t>Identify missense variants.</w:t>
      </w:r>
    </w:p>
    <w:p>
      <w:pPr>
        <w:pStyle w:val="ListNumber"/>
      </w:pPr>
      <w:r>
        <w:t>Restrict the initial benchmark to SNVs.</w:t>
      </w:r>
    </w:p>
    <w:p>
      <w:pPr>
        <w:pStyle w:val="ListNumber"/>
      </w:pPr>
      <w:r>
        <w:t>Confirm REF and ALT each contain one nucleotide.</w:t>
      </w:r>
    </w:p>
    <w:p>
      <w:pPr>
        <w:pStyle w:val="ListNumber"/>
      </w:pPr>
      <w:r>
        <w:t>Keep only clear pathogenic/likely pathogenic or benign/likely benign labels.</w:t>
      </w:r>
    </w:p>
    <w:p>
      <w:pPr>
        <w:pStyle w:val="ListNumber"/>
      </w:pPr>
      <w:r>
        <w:t>Require stronger ClinVar review status for the strict benchmark.</w:t>
      </w:r>
    </w:p>
    <w:p>
      <w:pPr>
        <w:pStyle w:val="ListNumber"/>
      </w:pPr>
      <w:r>
        <w:t>Count how many records survive each stage before writing the final table.</w:t>
      </w:r>
    </w:p>
    <w:p>
      <w:pPr>
        <w:pStyle w:val="ListNumber"/>
      </w:pPr>
      <w:r>
        <w:t>Completed: determined the pathogenic-versus-benign class counts among the 65,225 strict candidates.</w:t>
      </w:r>
    </w:p>
    <w:p>
      <w:pPr>
        <w:pStyle w:val="ListNumber"/>
      </w:pPr>
      <w:r>
        <w:t>Current next phase: complete dataset-integrity QC, then continue transcript/protein mapping, cross-species sequence retrieval, MSA construction, entropy calculation, predictor integration, and evaluation.</w:t>
      </w:r>
    </w:p>
    <w:p>
      <w:pPr>
        <w:pStyle w:val="Heading1"/>
      </w:pPr>
      <w:r>
        <w:t>23. Next Session Starting Point</w:t>
      </w:r>
    </w:p>
    <w:p>
      <w:r>
        <w:t>Historical checkpoint completed on September 1, 2026:</w:t>
      </w:r>
    </w:p>
    <w:p>
      <w:pPr>
        <w:pStyle w:val="Code"/>
      </w:pPr>
      <w:r>
        <w:t>Verified strict candidate count: 65,225</w:t>
      </w:r>
    </w:p>
    <w:p>
      <w:pPr>
        <w:pStyle w:val="Code"/>
      </w:pPr>
      <w:r/>
    </w:p>
    <w:p>
      <w:pPr>
        <w:pStyle w:val="Code"/>
      </w:pPr>
      <w:r>
        <w:t>Completed task:</w:t>
      </w:r>
    </w:p>
    <w:p>
      <w:pPr>
        <w:pStyle w:val="Code"/>
      </w:pPr>
      <w:r>
        <w:t>Calculated post-review counts: 24,904 pathogenic/likely pathogenic and 40,321 benign/likely benign.</w:t>
      </w:r>
    </w:p>
    <w:p>
      <w:r>
        <w:t>The benchmark script now contains separate post-review class counters and a verification sum. The 65,225 records remain strict candidates until integrity and representation QC are complete.</w:t>
      </w:r>
    </w:p>
    <w:p>
      <w:pPr>
        <w:pStyle w:val="Heading1"/>
      </w:pPr>
      <w:r>
        <w:t>24. Suggested Study Questions</w:t>
      </w:r>
    </w:p>
    <w:p>
      <w:pPr>
        <w:pStyle w:val="ListNumber"/>
      </w:pPr>
      <w:r>
        <w:t>Why is ClinVar used as the human labeled benchmark rather than as the cross-species component?</w:t>
      </w:r>
    </w:p>
    <w:p>
      <w:pPr>
        <w:pStyle w:val="ListNumber"/>
      </w:pPr>
      <w:r>
        <w:t>What does low Shannon entropy mean biologically?</w:t>
      </w:r>
    </w:p>
    <w:p>
      <w:pPr>
        <w:pStyle w:val="ListNumber"/>
      </w:pPr>
      <w:r>
        <w:t>Why are missense variants a logical first benchmark for protein MSA entropy?</w:t>
      </w:r>
    </w:p>
    <w:p>
      <w:pPr>
        <w:pStyle w:val="ListNumber"/>
      </w:pPr>
      <w:r>
        <w:t>What is the difference between continue and break in Python?</w:t>
      </w:r>
    </w:p>
    <w:p>
      <w:pPr>
        <w:pStyle w:val="ListNumber"/>
      </w:pPr>
      <w:r>
        <w:t>Why is info_dict.get() useful when parsing VCF INFO annotations?</w:t>
      </w:r>
    </w:p>
    <w:p>
      <w:pPr>
        <w:pStyle w:val="ListNumber"/>
      </w:pPr>
      <w:r>
        <w:t>Why do we check both CLNVC and REF/ALT length for SNV status?</w:t>
      </w:r>
    </w:p>
    <w:p>
      <w:pPr>
        <w:pStyle w:val="ListNumber"/>
      </w:pPr>
      <w:r>
        <w:t>Why are VUS records excluded from a binary pathogenic-versus-benign benchmark?</w:t>
      </w:r>
    </w:p>
    <w:p>
      <w:pPr>
        <w:pStyle w:val="ListNumber"/>
      </w:pPr>
      <w:r>
        <w:t>Why does the strict benchmark use stronger ClinVar review categories?</w:t>
      </w:r>
    </w:p>
    <w:p>
      <w:pPr>
        <w:pStyle w:val="ListNumber"/>
      </w:pPr>
      <w:r>
        <w:t>Why is a gene-held-out split stronger than a random variant split?</w:t>
      </w:r>
    </w:p>
    <w:p>
      <w:pPr>
        <w:pStyle w:val="ListNumber"/>
      </w:pPr>
      <w:r>
        <w:t>Why is PR-AUC important when the two benchmark classes are imbalanced?</w:t>
      </w:r>
    </w:p>
    <w:p>
      <w:pPr>
        <w:pStyle w:val="ListNumber"/>
      </w:pPr>
      <w:r>
        <w:t>Why is a virtual environment important for reproducible bioinformatics?</w:t>
      </w:r>
    </w:p>
    <w:p>
      <w:pPr>
        <w:pStyle w:val="ListNumber"/>
      </w:pPr>
      <w:r>
        <w:t>Why should the benchmark-selection counts be retained for the manuscript Methods section?</w:t>
      </w:r>
    </w:p>
    <w:p>
      <w:pPr>
        <w:pStyle w:val="Heading1"/>
      </w:pPr>
      <w:r>
        <w:t>25. Short Self-Test Answers</w:t>
      </w:r>
    </w:p>
    <w:p>
      <w:r>
        <w:t>1. ClinVar provides human clinical labels; cross-species evidence will come from orthologous protein sequences used to calculate entropy.</w:t>
      </w:r>
    </w:p>
    <w:p>
      <w:r>
        <w:t>2. Low entropy indicates a more conserved alignment position and therefore stronger evolutionary constraint.</w:t>
      </w:r>
    </w:p>
    <w:p>
      <w:r>
        <w:t>3. Missense variants change amino acids, allowing the variant position to map directly to a protein MSA column.</w:t>
      </w:r>
    </w:p>
    <w:p>
      <w:r>
        <w:t>4. continue skips one record and keeps looping; break stops the loop entirely.</w:t>
      </w:r>
    </w:p>
    <w:p>
      <w:r>
        <w:t>5. .get() can safely return a default when an INFO key is absent.</w:t>
      </w:r>
    </w:p>
    <w:p>
      <w:r>
        <w:t>6. The dual check provides defensive validation instead of trusting only one annotation.</w:t>
      </w:r>
    </w:p>
    <w:p>
      <w:r>
        <w:t>7. VUS records do not provide a clear positive or negative ground-truth class.</w:t>
      </w:r>
    </w:p>
    <w:p>
      <w:r>
        <w:t>8. Stronger review categories reduce label uncertainty in the primary benchmark.</w:t>
      </w:r>
    </w:p>
    <w:p>
      <w:r>
        <w:t>9. Gene-held-out splitting tests generalization to unseen genes and reduces gene-level leakage.</w:t>
      </w:r>
    </w:p>
    <w:p>
      <w:r>
        <w:t>10. PR-AUC is informative when one class is more common than the other.</w:t>
      </w:r>
    </w:p>
    <w:p>
      <w:r>
        <w:t>11. A virtual environment isolates interpreter/package dependencies and improves reproducibility.</w:t>
      </w:r>
    </w:p>
    <w:p>
      <w:r>
        <w:t>12. Selection counts document dataset attrition and support transparent reporting of inclusion/exclusion criteria.</w:t>
      </w:r>
    </w:p>
    <w:p>
      <w:pPr>
        <w:pStyle w:val="Heading1"/>
      </w:pPr>
      <w:r>
        <w:t>26. Session Update: Strict Post-Review Class Counts</w:t>
      </w:r>
    </w:p>
    <w:p>
      <w:pPr>
        <w:pStyle w:val="Heading2"/>
      </w:pPr>
      <w:r>
        <w:t>26.1 Purpose of this step</w:t>
      </w:r>
    </w:p>
    <w:p>
      <w:r>
        <w:t>The purpose of this session was to resolve the class composition of the 65,225 missense SNV records that had already passed the strict ClinVar 2- to 4-star review-status filter. The earlier script counted pathogenic and benign records before review filtering, but did not yet separate the two classes after that final filter.</w:t>
      </w:r>
    </w:p>
    <w:p>
      <w:pPr>
        <w:pStyle w:val="Heading2"/>
      </w:pPr>
      <w:r>
        <w:t>26.2 Repository and environment verification</w:t>
      </w:r>
    </w:p>
    <w:p>
      <w:pPr>
        <w:spacing w:after="100"/>
      </w:pPr>
      <w:r>
        <w:rPr>
          <w:b/>
        </w:rPr>
        <w:t xml:space="preserve">Repository path: </w:t>
      </w:r>
      <w:r>
        <w:t>/d/2. Research Work - Entropy Based App Tool/entropy-variant-prioritizer</w:t>
      </w:r>
    </w:p>
    <w:p>
      <w:pPr>
        <w:spacing w:after="100"/>
      </w:pPr>
      <w:r>
        <w:rPr>
          <w:b/>
        </w:rPr>
        <w:t xml:space="preserve">Branch: </w:t>
      </w:r>
      <w:r>
        <w:t>main</w:t>
      </w:r>
    </w:p>
    <w:p>
      <w:pPr>
        <w:spacing w:after="100"/>
      </w:pPr>
      <w:r>
        <w:rPr>
          <w:b/>
        </w:rPr>
        <w:t xml:space="preserve">Python environment: </w:t>
      </w:r>
      <w:r>
        <w:t>.venv, activated with source .venv/Scripts/activate</w:t>
      </w:r>
    </w:p>
    <w:p>
      <w:r>
        <w:t>Before editing, git status confirmed that the new benchmark script was untracked and that several other files had separate local changes. Only the benchmark script was staged for this milestone, preventing unrelated work from being mixed into the commit.</w:t>
      </w:r>
    </w:p>
    <w:p>
      <w:pPr>
        <w:pStyle w:val="Heading2"/>
      </w:pPr>
      <w:r>
        <w:t>26.3 Three changes made to the Python script</w:t>
      </w:r>
    </w:p>
    <w:p>
      <w:pPr>
        <w:pStyle w:val="ListBullet"/>
      </w:pPr>
      <w:r>
        <w:t>Added two counters: high_review_pathogenic_variants and high_review_benign_variants.</w:t>
      </w:r>
    </w:p>
    <w:p>
      <w:pPr>
        <w:pStyle w:val="ListBullet"/>
      </w:pPr>
      <w:r>
        <w:t>After a record passed the strict review-status filter, used the existing binary label to increment the appropriate post-review counter.</w:t>
      </w:r>
    </w:p>
    <w:p>
      <w:pPr>
        <w:pStyle w:val="ListBullet"/>
      </w:pPr>
      <w:r>
        <w:t>Printed both post-review class counts and their sum as an internal verification check.</w:t>
      </w:r>
    </w:p>
    <w:p>
      <w:r>
        <w:t>The counters were deliberately incremented after the review-status continue statement. This placement ensures that a record contributes to the post-review class totals only if it satisfies every preceding inclusion rule.</w:t>
      </w:r>
    </w:p>
    <w:p>
      <w:pPr>
        <w:pStyle w:val="Heading2"/>
      </w:pPr>
      <w:r>
        <w:t>26.4 Verified terminal output</w:t>
      </w:r>
    </w:p>
    <w:p>
      <w:pPr>
        <w:pStyle w:val="Code"/>
        <w:keepLines/>
        <w:spacing w:after="0"/>
      </w:pPr>
      <w:r>
        <w:t>CLINVAR BENCHMARK FILTERING SUMMARY</w:t>
      </w:r>
    </w:p>
    <w:p>
      <w:pPr>
        <w:pStyle w:val="Code"/>
        <w:keepLines/>
        <w:spacing w:after="0"/>
      </w:pPr>
      <w:r>
        <w:t>Total ClinVar variants: 4467990</w:t>
      </w:r>
    </w:p>
    <w:p>
      <w:pPr>
        <w:pStyle w:val="Code"/>
        <w:keepLines/>
        <w:spacing w:after="0"/>
      </w:pPr>
      <w:r>
        <w:t>Missense variants: 2536550</w:t>
      </w:r>
    </w:p>
    <w:p>
      <w:pPr>
        <w:pStyle w:val="Code"/>
        <w:keepLines/>
        <w:spacing w:after="0"/>
      </w:pPr>
      <w:r>
        <w:t>Missense SNVs: 2527633</w:t>
      </w:r>
    </w:p>
    <w:p>
      <w:pPr>
        <w:pStyle w:val="Code"/>
        <w:keepLines/>
        <w:spacing w:after="0"/>
      </w:pPr>
      <w:r>
        <w:t>Valid one-base REF/ALT SNVs: 2527633</w:t>
      </w:r>
    </w:p>
    <w:p>
      <w:pPr>
        <w:pStyle w:val="Code"/>
        <w:keepLines/>
        <w:spacing w:after="0"/>
      </w:pPr>
      <w:r>
        <w:t>Accepted clinical significance: 223911</w:t>
      </w:r>
    </w:p>
    <w:p>
      <w:pPr>
        <w:pStyle w:val="Code"/>
        <w:keepLines/>
        <w:spacing w:after="0"/>
      </w:pPr>
      <w:r>
        <w:t>2-4-star variants: 65225</w:t>
      </w:r>
    </w:p>
    <w:p>
      <w:pPr>
        <w:pStyle w:val="Code"/>
        <w:keepLines/>
        <w:spacing w:after="0"/>
      </w:pPr>
      <w:r/>
    </w:p>
    <w:p>
      <w:pPr>
        <w:pStyle w:val="Code"/>
        <w:keepLines/>
        <w:spacing w:after="0"/>
      </w:pPr>
      <w:r>
        <w:t>CLASS COUNTS BEFORE REVIEW-STATUS FILTER</w:t>
      </w:r>
    </w:p>
    <w:p>
      <w:pPr>
        <w:pStyle w:val="Code"/>
        <w:keepLines/>
        <w:spacing w:after="0"/>
      </w:pPr>
      <w:r>
        <w:t>Pathogenic / likely pathogenic: 71362</w:t>
      </w:r>
    </w:p>
    <w:p>
      <w:pPr>
        <w:pStyle w:val="Code"/>
        <w:keepLines/>
        <w:spacing w:after="0"/>
      </w:pPr>
      <w:r>
        <w:t>Benign / likely benign: 152549</w:t>
      </w:r>
    </w:p>
    <w:p>
      <w:pPr>
        <w:pStyle w:val="Code"/>
        <w:keepLines/>
        <w:spacing w:after="0"/>
      </w:pPr>
      <w:r/>
    </w:p>
    <w:p>
      <w:pPr>
        <w:pStyle w:val="Code"/>
        <w:keepLines/>
        <w:spacing w:after="0"/>
      </w:pPr>
      <w:r>
        <w:t>CLASS COUNTS AFTER 2-4-STAR REVIEW-STATUS FILTER</w:t>
      </w:r>
    </w:p>
    <w:p>
      <w:pPr>
        <w:pStyle w:val="Code"/>
        <w:keepLines/>
        <w:spacing w:after="0"/>
      </w:pPr>
      <w:r>
        <w:t>Pathogenic / likely pathogenic: 24904</w:t>
      </w:r>
    </w:p>
    <w:p>
      <w:pPr>
        <w:pStyle w:val="Code"/>
        <w:keepLines/>
        <w:spacing w:after="0"/>
      </w:pPr>
      <w:r>
        <w:t>Benign / likely benign: 40321</w:t>
      </w:r>
    </w:p>
    <w:p>
      <w:pPr>
        <w:pStyle w:val="Code"/>
        <w:keepLines/>
        <w:spacing w:after="0"/>
      </w:pPr>
      <w:r>
        <w:t>Class-count verification: 65225</w:t>
      </w:r>
    </w:p>
    <w:p>
      <w:pPr>
        <w:pStyle w:val="Heading2"/>
      </w:pPr>
      <w:r>
        <w:t>26.5 Class-distribution comparison</w:t>
      </w:r>
    </w:p>
    <w:tbl>
      <w:tblPr>
        <w:tblStyle w:val="TableGrid"/>
        <w:tblW w:type="dxa" w:w="9750"/>
        <w:tblLayout w:type="fixed"/>
        <w:tblLook w:firstColumn="1" w:firstRow="1" w:lastColumn="0" w:lastRow="0" w:noHBand="0" w:noVBand="1" w:val="04A0"/>
        <w:tblInd w:w="110" w:type="dxa"/>
      </w:tblPr>
      <w:tblGrid>
        <w:gridCol w:w="3350"/>
        <w:gridCol w:w="2300"/>
        <w:gridCol w:w="2300"/>
        <w:gridCol w:w="1800"/>
      </w:tblGrid>
      <w:tr>
        <w:tc>
          <w:tcPr>
            <w:tcW w:type="dxa" w:w="3350"/>
            <w:vAlign w:val="center"/>
            <w:tcMar>
              <w:top w:w="90" w:type="dxa"/>
              <w:start w:w="110" w:type="dxa"/>
              <w:bottom w:w="90" w:type="dxa"/>
              <w:end w:w="110" w:type="dxa"/>
            </w:tcMar>
            <w:shd w:fill="365F91"/>
          </w:tcPr>
          <w:p>
            <w:pPr>
              <w:spacing w:after="0" w:before="0"/>
            </w:pPr>
            <w:r>
              <w:rPr>
                <w:rFonts w:ascii="Aptos" w:hAnsi="Aptos"/>
                <w:b/>
                <w:color w:val="FFFFFF"/>
                <w:sz w:val="19"/>
              </w:rPr>
              <w:t>Stage</w:t>
            </w:r>
          </w:p>
        </w:tc>
        <w:tc>
          <w:tcPr>
            <w:tcW w:type="dxa" w:w="2300"/>
            <w:vAlign w:val="center"/>
            <w:tcMar>
              <w:top w:w="90" w:type="dxa"/>
              <w:start w:w="110" w:type="dxa"/>
              <w:bottom w:w="90" w:type="dxa"/>
              <w:end w:w="110" w:type="dxa"/>
            </w:tcMar>
            <w:shd w:fill="365F91"/>
          </w:tcPr>
          <w:p>
            <w:pPr>
              <w:spacing w:after="0" w:before="0"/>
              <w:jc w:val="center"/>
            </w:pPr>
            <w:r>
              <w:rPr>
                <w:rFonts w:ascii="Aptos" w:hAnsi="Aptos"/>
                <w:b/>
                <w:color w:val="FFFFFF"/>
                <w:sz w:val="19"/>
              </w:rPr>
              <w:t>P/LP</w:t>
            </w:r>
          </w:p>
        </w:tc>
        <w:tc>
          <w:tcPr>
            <w:tcW w:type="dxa" w:w="2300"/>
            <w:vAlign w:val="center"/>
            <w:tcMar>
              <w:top w:w="90" w:type="dxa"/>
              <w:start w:w="110" w:type="dxa"/>
              <w:bottom w:w="90" w:type="dxa"/>
              <w:end w:w="110" w:type="dxa"/>
            </w:tcMar>
            <w:shd w:fill="365F91"/>
          </w:tcPr>
          <w:p>
            <w:pPr>
              <w:spacing w:after="0" w:before="0"/>
              <w:jc w:val="center"/>
            </w:pPr>
            <w:r>
              <w:rPr>
                <w:rFonts w:ascii="Aptos" w:hAnsi="Aptos"/>
                <w:b/>
                <w:color w:val="FFFFFF"/>
                <w:sz w:val="19"/>
              </w:rPr>
              <w:t>B/LB</w:t>
            </w:r>
          </w:p>
        </w:tc>
        <w:tc>
          <w:tcPr>
            <w:tcW w:type="dxa" w:w="1800"/>
            <w:vAlign w:val="center"/>
            <w:tcMar>
              <w:top w:w="90" w:type="dxa"/>
              <w:start w:w="110" w:type="dxa"/>
              <w:bottom w:w="90" w:type="dxa"/>
              <w:end w:w="110" w:type="dxa"/>
            </w:tcMar>
            <w:shd w:fill="365F91"/>
          </w:tcPr>
          <w:p>
            <w:pPr>
              <w:spacing w:after="0" w:before="0"/>
              <w:jc w:val="center"/>
            </w:pPr>
            <w:r>
              <w:rPr>
                <w:rFonts w:ascii="Aptos" w:hAnsi="Aptos"/>
                <w:b/>
                <w:color w:val="FFFFFF"/>
                <w:sz w:val="19"/>
              </w:rPr>
              <w:t>Total</w:t>
            </w:r>
          </w:p>
        </w:tc>
      </w:tr>
      <w:tr>
        <w:tc>
          <w:tcPr>
            <w:tcW w:type="dxa" w:w="3350"/>
            <w:vAlign w:val="center"/>
            <w:tcMar>
              <w:top w:w="90" w:type="dxa"/>
              <w:start w:w="110" w:type="dxa"/>
              <w:bottom w:w="90" w:type="dxa"/>
              <w:end w:w="110" w:type="dxa"/>
            </w:tcMar>
          </w:tcPr>
          <w:p>
            <w:pPr>
              <w:spacing w:after="0" w:before="0"/>
            </w:pPr>
            <w:r>
              <w:rPr>
                <w:rFonts w:ascii="Aptos" w:hAnsi="Aptos"/>
                <w:sz w:val="19"/>
              </w:rPr>
              <w:t>Before strict review filter</w:t>
            </w:r>
          </w:p>
        </w:tc>
        <w:tc>
          <w:tcPr>
            <w:tcW w:type="dxa" w:w="2300"/>
            <w:vAlign w:val="center"/>
            <w:tcMar>
              <w:top w:w="90" w:type="dxa"/>
              <w:start w:w="110" w:type="dxa"/>
              <w:bottom w:w="90" w:type="dxa"/>
              <w:end w:w="110" w:type="dxa"/>
            </w:tcMar>
          </w:tcPr>
          <w:p>
            <w:pPr>
              <w:spacing w:after="0" w:before="0"/>
              <w:jc w:val="center"/>
            </w:pPr>
            <w:r>
              <w:rPr>
                <w:rFonts w:ascii="Aptos" w:hAnsi="Aptos"/>
                <w:sz w:val="19"/>
              </w:rPr>
              <w:t>71,362 (31.87%)</w:t>
            </w:r>
          </w:p>
        </w:tc>
        <w:tc>
          <w:tcPr>
            <w:tcW w:type="dxa" w:w="2300"/>
            <w:vAlign w:val="center"/>
            <w:tcMar>
              <w:top w:w="90" w:type="dxa"/>
              <w:start w:w="110" w:type="dxa"/>
              <w:bottom w:w="90" w:type="dxa"/>
              <w:end w:w="110" w:type="dxa"/>
            </w:tcMar>
          </w:tcPr>
          <w:p>
            <w:pPr>
              <w:spacing w:after="0" w:before="0"/>
              <w:jc w:val="center"/>
            </w:pPr>
            <w:r>
              <w:rPr>
                <w:rFonts w:ascii="Aptos" w:hAnsi="Aptos"/>
                <w:sz w:val="19"/>
              </w:rPr>
              <w:t>152,549 (68.13%)</w:t>
            </w:r>
          </w:p>
        </w:tc>
        <w:tc>
          <w:tcPr>
            <w:tcW w:type="dxa" w:w="1800"/>
            <w:vAlign w:val="center"/>
            <w:tcMar>
              <w:top w:w="90" w:type="dxa"/>
              <w:start w:w="110" w:type="dxa"/>
              <w:bottom w:w="90" w:type="dxa"/>
              <w:end w:w="110" w:type="dxa"/>
            </w:tcMar>
          </w:tcPr>
          <w:p>
            <w:pPr>
              <w:spacing w:after="0" w:before="0"/>
              <w:jc w:val="center"/>
            </w:pPr>
            <w:r>
              <w:rPr>
                <w:rFonts w:ascii="Aptos" w:hAnsi="Aptos"/>
                <w:sz w:val="19"/>
              </w:rPr>
              <w:t>223,911</w:t>
            </w:r>
          </w:p>
        </w:tc>
      </w:tr>
      <w:tr>
        <w:tc>
          <w:tcPr>
            <w:tcW w:type="dxa" w:w="3350"/>
            <w:vAlign w:val="center"/>
            <w:tcMar>
              <w:top w:w="90" w:type="dxa"/>
              <w:start w:w="110" w:type="dxa"/>
              <w:bottom w:w="90" w:type="dxa"/>
              <w:end w:w="110" w:type="dxa"/>
            </w:tcMar>
            <w:shd w:fill="EAF0F7"/>
          </w:tcPr>
          <w:p>
            <w:pPr>
              <w:spacing w:after="0" w:before="0"/>
            </w:pPr>
            <w:r>
              <w:rPr>
                <w:rFonts w:ascii="Aptos" w:hAnsi="Aptos"/>
                <w:sz w:val="19"/>
              </w:rPr>
              <w:t>After strict review filter</w:t>
            </w:r>
          </w:p>
        </w:tc>
        <w:tc>
          <w:tcPr>
            <w:tcW w:type="dxa" w:w="2300"/>
            <w:vAlign w:val="center"/>
            <w:tcMar>
              <w:top w:w="90" w:type="dxa"/>
              <w:start w:w="110" w:type="dxa"/>
              <w:bottom w:w="90" w:type="dxa"/>
              <w:end w:w="110" w:type="dxa"/>
            </w:tcMar>
            <w:shd w:fill="EAF0F7"/>
          </w:tcPr>
          <w:p>
            <w:pPr>
              <w:spacing w:after="0" w:before="0"/>
              <w:jc w:val="center"/>
            </w:pPr>
            <w:r>
              <w:rPr>
                <w:rFonts w:ascii="Aptos" w:hAnsi="Aptos"/>
                <w:sz w:val="19"/>
              </w:rPr>
              <w:t>24,904 (38.18%)</w:t>
            </w:r>
          </w:p>
        </w:tc>
        <w:tc>
          <w:tcPr>
            <w:tcW w:type="dxa" w:w="2300"/>
            <w:vAlign w:val="center"/>
            <w:tcMar>
              <w:top w:w="90" w:type="dxa"/>
              <w:start w:w="110" w:type="dxa"/>
              <w:bottom w:w="90" w:type="dxa"/>
              <w:end w:w="110" w:type="dxa"/>
            </w:tcMar>
            <w:shd w:fill="EAF0F7"/>
          </w:tcPr>
          <w:p>
            <w:pPr>
              <w:spacing w:after="0" w:before="0"/>
              <w:jc w:val="center"/>
            </w:pPr>
            <w:r>
              <w:rPr>
                <w:rFonts w:ascii="Aptos" w:hAnsi="Aptos"/>
                <w:sz w:val="19"/>
              </w:rPr>
              <w:t>40,321 (61.82%)</w:t>
            </w:r>
          </w:p>
        </w:tc>
        <w:tc>
          <w:tcPr>
            <w:tcW w:type="dxa" w:w="1800"/>
            <w:vAlign w:val="center"/>
            <w:tcMar>
              <w:top w:w="90" w:type="dxa"/>
              <w:start w:w="110" w:type="dxa"/>
              <w:bottom w:w="90" w:type="dxa"/>
              <w:end w:w="110" w:type="dxa"/>
            </w:tcMar>
            <w:shd w:fill="EAF0F7"/>
          </w:tcPr>
          <w:p>
            <w:pPr>
              <w:spacing w:after="0" w:before="0"/>
              <w:jc w:val="center"/>
            </w:pPr>
            <w:r>
              <w:rPr>
                <w:rFonts w:ascii="Aptos" w:hAnsi="Aptos"/>
                <w:sz w:val="19"/>
              </w:rPr>
              <w:t>65,225</w:t>
            </w:r>
          </w:p>
        </w:tc>
      </w:tr>
    </w:tbl>
    <w:p/>
    <w:p>
      <w:pPr>
        <w:spacing w:after="100"/>
      </w:pPr>
      <w:r>
        <w:rPr>
          <w:b/>
        </w:rPr>
        <w:t xml:space="preserve">Verification: </w:t>
      </w:r>
      <w:r>
        <w:t>24,904 + 40,321 = 65,225. The class-specific totals exactly reproduce the strict candidate count.</w:t>
      </w:r>
    </w:p>
    <w:p>
      <w:pPr>
        <w:spacing w:after="100"/>
      </w:pPr>
      <w:r>
        <w:rPr>
          <w:b/>
        </w:rPr>
        <w:t xml:space="preserve">Class ratio: </w:t>
      </w:r>
      <w:r>
        <w:t>The benign-to-pathogenic ratio is approximately 1.62:1.</w:t>
      </w:r>
    </w:p>
    <w:p>
      <w:pPr>
        <w:spacing w:after="100"/>
      </w:pPr>
      <w:r>
        <w:rPr>
          <w:b/>
        </w:rPr>
        <w:t xml:space="preserve">Retention: </w:t>
      </w:r>
      <w:r>
        <w:t>The strict filter retained approximately 34.90% of the pathogenic group, 26.43% of the benign group, and 29.13% of all binary-labeled candidates.</w:t>
      </w:r>
    </w:p>
    <w:p>
      <w:pPr>
        <w:pStyle w:val="Heading2"/>
      </w:pPr>
      <w:r>
        <w:t>26.6 Scientific interpretation</w:t>
      </w:r>
    </w:p>
    <w:p>
      <w:r>
        <w:t>The strict review-status requirement reduced the binary-labeled pool from 223,911 to 65,225 candidates while increasing the pathogenic proportion from 31.87% to 38.18%. This indicates that the stronger-review subset has a somewhat different class composition than the broader binary-labeled pool. The remaining imbalance is moderate and does not justify discarding benign records through arbitrary undersampling.</w:t>
      </w:r>
    </w:p>
    <w:p>
      <w:r>
        <w:t>Because class proportions affect some performance summaries, the later evaluation must report PR-AUC, MCC, calibration, sensitivity, and specificity in addition to ROC-AUC. The class counts also belong in the manuscript's benchmark-construction flow and Methods section.</w:t>
      </w:r>
    </w:p>
    <w:p>
      <w:pPr>
        <w:pStyle w:val="Heading2"/>
      </w:pPr>
      <w:r>
        <w:t>26.7 Git checkpoint</w:t>
      </w:r>
    </w:p>
    <w:p>
      <w:pPr>
        <w:pStyle w:val="Code"/>
        <w:keepLines/>
        <w:spacing w:after="0"/>
      </w:pPr>
      <w:r>
        <w:t>git add scripts/build_clinvar_benchmark.py</w:t>
      </w:r>
    </w:p>
    <w:p>
      <w:pPr>
        <w:pStyle w:val="Code"/>
        <w:keepLines/>
        <w:spacing w:after="0"/>
      </w:pPr>
      <w:r>
        <w:t>git commit -m "Add strict ClinVar benchmark class counts"</w:t>
      </w:r>
    </w:p>
    <w:p>
      <w:pPr>
        <w:pStyle w:val="Code"/>
        <w:keepLines/>
        <w:spacing w:after="0"/>
      </w:pPr>
      <w:r>
        <w:t>git push origin main</w:t>
      </w:r>
    </w:p>
    <w:p>
      <w:pPr>
        <w:pStyle w:val="Code"/>
        <w:keepLines/>
        <w:spacing w:after="0"/>
      </w:pPr>
      <w:r>
        <w:t>Commit: fb96cd6</w:t>
      </w:r>
    </w:p>
    <w:p>
      <w:r>
        <w:t>The commit contained only scripts/build_clinvar_benchmark.py. README.md, data/raw/README.md, scripts/inspect_clinvar.py, and the untracked root .gitignore remained outside this commit and must be reviewed separately.</w:t>
      </w:r>
    </w:p>
    <w:p>
      <w:pPr>
        <w:pStyle w:val="Heading1"/>
      </w:pPr>
      <w:r>
        <w:t>27. Revised Research Checkpoint</w:t>
      </w:r>
    </w:p>
    <w:p>
      <w:r>
        <w:t>The post-review class-count task is complete. The 65,225 records are still strict candidates rather than the final publication dataset. The next phase is a dataset-integrity audit before any processed benchmark table is treated as publication-ready.</w:t>
      </w:r>
    </w:p>
    <w:p>
      <w:pPr>
        <w:pStyle w:val="Heading2"/>
      </w:pPr>
      <w:r>
        <w:t>27.1 Exact next tasks</w:t>
      </w:r>
    </w:p>
    <w:p>
      <w:pPr>
        <w:pStyle w:val="ListBullet"/>
      </w:pPr>
      <w:r>
        <w:t>Count unique variants using chromosome, position, REF, and ALT.</w:t>
      </w:r>
    </w:p>
    <w:p>
      <w:pPr>
        <w:pStyle w:val="ListBullet"/>
      </w:pPr>
      <w:r>
        <w:t>Detect duplicate genomic representations.</w:t>
      </w:r>
    </w:p>
    <w:p>
      <w:pPr>
        <w:pStyle w:val="ListBullet"/>
      </w:pPr>
      <w:r>
        <w:t>Check whether any identical genomic variant receives both pathogenic and benign labels.</w:t>
      </w:r>
    </w:p>
    <w:p>
      <w:pPr>
        <w:pStyle w:val="ListBullet"/>
      </w:pPr>
      <w:r>
        <w:t>Break down candidates by exact 2-star, 3-star, and 4-star review status.</w:t>
      </w:r>
    </w:p>
    <w:p>
      <w:pPr>
        <w:pStyle w:val="ListBullet"/>
      </w:pPr>
      <w:r>
        <w:t>Inspect exact CLNSIG and CLNREVSTAT values for frozen-release edge cases.</w:t>
      </w:r>
    </w:p>
    <w:p>
      <w:pPr>
        <w:pStyle w:val="ListBullet"/>
      </w:pPr>
      <w:r>
        <w:t>Only after integrity QC, export the validated Benchmark 1A candidate table.</w:t>
      </w:r>
    </w:p>
    <w:p>
      <w:pPr>
        <w:pStyle w:val="Heading2"/>
      </w:pPr>
      <w:r>
        <w:t>27.2 Restart instruction</w:t>
      </w:r>
    </w:p>
    <w:p>
      <w:r>
        <w:t>Resume by extending the benchmark workflow, or by adding a dedicated QC script, to audit unique (CHROM, POS, REF, ALT) keys, duplicates, cross-label conflicts, and review-status-specific counts.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Entropy Variant Prioritization Study Notes  |  Page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spacing w:before="60" w:after="60"/>
      <w:ind w:left="360"/>
    </w:pPr>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