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Lines w:val="1"/>
        <w:spacing w:before="20"/>
        <w:jc w:val="center"/>
        <w:rPr>
          <w:rFonts w:ascii="Aptos Display" w:cs="Aptos Display" w:hAnsi="Aptos Display" w:eastAsia="Aptos Display"/>
          <w:b w:val="0"/>
          <w:bCs w:val="0"/>
          <w:outline w:val="0"/>
          <w:color w:val="0f4761"/>
          <w:sz w:val="34"/>
          <w:szCs w:val="34"/>
          <w:u w:color="0f4761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outline w:val="0"/>
          <w:color w:val="0f4761"/>
          <w:sz w:val="34"/>
          <w:szCs w:val="34"/>
          <w:u w:color="0f476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>B</w:t>
      </w: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sz w:val="34"/>
          <w:szCs w:val="34"/>
          <w:u w:color="0f476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 xml:space="preserve">iological </w:t>
      </w:r>
      <w:r>
        <w:rPr>
          <w:rFonts w:ascii="Aptos Display" w:cs="Aptos Display" w:hAnsi="Aptos Display" w:eastAsia="Aptos Display"/>
          <w:outline w:val="0"/>
          <w:color w:val="0f4761"/>
          <w:sz w:val="34"/>
          <w:szCs w:val="34"/>
          <w:u w:color="0f476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>H</w:t>
      </w: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sz w:val="34"/>
          <w:szCs w:val="34"/>
          <w:u w:color="0f476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 xml:space="preserve">emoglobin </w:t>
      </w:r>
      <w:r>
        <w:rPr>
          <w:rFonts w:ascii="Aptos Display" w:cs="Aptos Display" w:hAnsi="Aptos Display" w:eastAsia="Aptos Display"/>
          <w:outline w:val="0"/>
          <w:color w:val="0f4761"/>
          <w:sz w:val="34"/>
          <w:szCs w:val="34"/>
          <w:u w:color="0f476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>O</w:t>
      </w: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sz w:val="34"/>
          <w:szCs w:val="34"/>
          <w:u w:color="0f476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 xml:space="preserve">xygen </w:t>
      </w:r>
      <w:r>
        <w:rPr>
          <w:rFonts w:ascii="Aptos Display" w:cs="Aptos Display" w:hAnsi="Aptos Display" w:eastAsia="Aptos Display"/>
          <w:outline w:val="0"/>
          <w:color w:val="0f4761"/>
          <w:sz w:val="34"/>
          <w:szCs w:val="34"/>
          <w:u w:color="0f476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>C</w:t>
      </w: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sz w:val="34"/>
          <w:szCs w:val="34"/>
          <w:u w:color="0f476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 xml:space="preserve">arrier </w:t>
      </w:r>
    </w:p>
    <w:p>
      <w:pPr>
        <w:pStyle w:val="Heading"/>
        <w:keepLines w:val="1"/>
        <w:spacing w:before="20"/>
        <w:jc w:val="center"/>
        <w:rPr>
          <w:rFonts w:ascii="Aptos Display" w:cs="Aptos Display" w:hAnsi="Aptos Display" w:eastAsia="Aptos Display"/>
          <w:b w:val="0"/>
          <w:bCs w:val="0"/>
          <w:outline w:val="0"/>
          <w:color w:val="0f4761"/>
          <w:sz w:val="34"/>
          <w:szCs w:val="34"/>
          <w:u w:color="0f4761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sz w:val="34"/>
          <w:szCs w:val="34"/>
          <w:u w:color="0f476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>(</w:t>
      </w:r>
      <w:bookmarkStart w:name="Xa886fdcc9a54eb75f55bdce87bb453b14ceab95" w:id="0"/>
      <w:r>
        <w:rPr>
          <w:rFonts w:ascii="Aptos Display" w:cs="Aptos Display" w:hAnsi="Aptos Display" w:eastAsia="Aptos Display"/>
          <w:outline w:val="0"/>
          <w:color w:val="0f4761"/>
          <w:sz w:val="34"/>
          <w:szCs w:val="34"/>
          <w:u w:color="0f4761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>BHOC</w:t>
      </w: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sz w:val="34"/>
          <w:szCs w:val="34"/>
          <w:u w:color="0f4761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>)</w:t>
      </w: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sz w:val="34"/>
          <w:szCs w:val="34"/>
          <w:u w:color="0f476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 xml:space="preserve"> a new perspective in </w:t>
      </w:r>
    </w:p>
    <w:p>
      <w:pPr>
        <w:pStyle w:val="Heading"/>
        <w:keepLines w:val="1"/>
        <w:spacing w:before="20"/>
        <w:jc w:val="center"/>
        <w:rPr>
          <w:rFonts w:ascii="Aptos Display" w:cs="Aptos Display" w:hAnsi="Aptos Display" w:eastAsia="Aptos Display"/>
          <w:outline w:val="0"/>
          <w:color w:val="0f4761"/>
          <w:sz w:val="54"/>
          <w:szCs w:val="54"/>
          <w:u w:color="0f4761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outline w:val="0"/>
          <w:color w:val="0f4761"/>
          <w:sz w:val="54"/>
          <w:szCs w:val="54"/>
          <w:u w:color="0f476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 xml:space="preserve"> Precision Oxygen Therapeutics</w:t>
      </w:r>
      <w:r>
        <w:rPr>
          <w:rFonts w:ascii="Aptos Display" w:cs="Aptos Display" w:hAnsi="Aptos Display" w:eastAsia="Aptos Display"/>
          <w:outline w:val="0"/>
          <w:color w:val="0f4761"/>
          <w:sz w:val="54"/>
          <w:szCs w:val="54"/>
          <w:u w:color="0f4761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 xml:space="preserve"> </w:t>
      </w: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/>
          <w:sz w:val="34"/>
          <w:szCs w:val="34"/>
          <w:rtl w:val="0"/>
          <w:lang w:val="ru-RU"/>
        </w:rPr>
        <w:t xml:space="preserve"> </w:t>
      </w:r>
      <w:r>
        <w:rPr>
          <w:rFonts w:ascii="Times Roman" w:hAnsi="Times Roman"/>
          <w:sz w:val="34"/>
          <w:szCs w:val="34"/>
          <w:rtl w:val="0"/>
          <w:lang w:val="en-US"/>
        </w:rPr>
        <w:t>focused on microvascular and tissue-level oxygen delivery</w:t>
      </w:r>
      <w:bookmarkEnd w:id="0"/>
      <w:bookmarkStart w:name="X64bce62397445b917975b91cdd09935fb0959bd" w:id="1"/>
    </w:p>
    <w:p>
      <w:pPr>
        <w:pStyle w:val="Body A"/>
        <w:jc w:val="center"/>
        <w:rPr>
          <w:rFonts w:ascii="Aptos" w:cs="Aptos" w:hAnsi="Aptos" w:eastAsia="Aptos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A donor-independent, room-temperature +3 year stable oxygenation, endotoxin and cella antigen free , compatible with all blood types  .For all species - Companion and Wild life animals </w:t>
      </w:r>
    </w:p>
    <w:p>
      <w:pPr>
        <w:pStyle w:val="Heading"/>
        <w:keepLines w:val="1"/>
        <w:spacing w:before="20"/>
        <w:jc w:val="center"/>
        <w:rPr>
          <w:rFonts w:ascii="Aptos Display" w:cs="Aptos Display" w:hAnsi="Aptos Display" w:eastAsia="Aptos Display"/>
          <w:b w:val="0"/>
          <w:bCs w:val="0"/>
          <w:outline w:val="0"/>
          <w:color w:val="0f4761"/>
          <w:sz w:val="34"/>
          <w:szCs w:val="34"/>
          <w:u w:color="0f4761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0"/>
          <w:bCs w:val="0"/>
          <w:outline w:val="0"/>
          <w:color w:val="0f4761"/>
          <w:sz w:val="34"/>
          <w:szCs w:val="34"/>
          <w:u w:color="0f476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>Clinical &amp; Economic Benefits for US Veterinary Practices (2026)</w:t>
      </w: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"/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000000"/>
          <w:sz w:val="44"/>
          <w:szCs w:val="44"/>
          <w:u w:color="000000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Fonts w:ascii="Arial Unicode MS" w:hAnsi="Arial Unicode MS" w:hint="default"/>
          <w:outline w:val="0"/>
          <w:color w:val="000000"/>
          <w:sz w:val="44"/>
          <w:szCs w:val="44"/>
          <w:u w:color="000000"/>
          <w:shd w:val="clear" w:color="auto" w:fill="ffffff"/>
          <w:rtl w:val="1"/>
          <w:lang w:val="ar-SA" w:bidi="ar-SA"/>
          <w14:textFill>
            <w14:solidFill>
              <w14:srgbClr w14:val="000000">
                <w14:alpha w14:val="9802"/>
              </w14:srgbClr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44"/>
          <w:szCs w:val="44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𝗪𝗲</w:t>
      </w:r>
      <w:r>
        <w:rPr>
          <w:rFonts w:ascii="Helvetica" w:hAnsi="Helvetica"/>
          <w:outline w:val="0"/>
          <w:color w:val="000000"/>
          <w:sz w:val="44"/>
          <w:szCs w:val="44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44"/>
          <w:szCs w:val="44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𝗯𝗲𝗼𝗳</w:t>
      </w:r>
      <w:r>
        <w:rPr>
          <w:rFonts w:ascii="Helvetica" w:hAnsi="Helvetica"/>
          <w:outline w:val="0"/>
          <w:color w:val="000000"/>
          <w:sz w:val="44"/>
          <w:szCs w:val="44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44"/>
          <w:szCs w:val="44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𝗼𝗻𝗲</w:t>
      </w:r>
      <w:r>
        <w:rPr>
          <w:rFonts w:ascii="Helvetica" w:hAnsi="Helvetica"/>
          <w:outline w:val="0"/>
          <w:color w:val="000000"/>
          <w:sz w:val="44"/>
          <w:szCs w:val="44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44"/>
          <w:szCs w:val="44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𝗯𝗹𝗼𝗼𝗱</w:t>
      </w:r>
      <w:r>
        <w:rPr>
          <w:rFonts w:ascii="Helvetica" w:hAnsi="Helvetica"/>
          <w:outline w:val="0"/>
          <w:color w:val="000000"/>
          <w:sz w:val="44"/>
          <w:szCs w:val="44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44"/>
          <w:szCs w:val="44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𝘆𝗲</w:t>
      </w:r>
      <w:r>
        <w:rPr>
          <w:rFonts w:ascii="Helvetica" w:hAnsi="Helvetica"/>
          <w:outline w:val="0"/>
          <w:color w:val="000000"/>
          <w:sz w:val="44"/>
          <w:szCs w:val="44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44"/>
          <w:szCs w:val="44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𝗮𝗻𝗱</w:t>
      </w:r>
      <w:r>
        <w:rPr>
          <w:rFonts w:ascii="Arial Unicode MS" w:cs="Arial Unicode MS" w:hAnsi="Arial Unicode MS" w:eastAsia="Arial Unicode MS"/>
          <w:outline w:val="0"/>
          <w:color w:val="000000"/>
          <w:sz w:val="44"/>
          <w:szCs w:val="44"/>
          <w:u w:color="000000"/>
          <w:shd w:val="clear" w:color="auto" w:fill="ffffff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195764</wp:posOffset>
            </wp:positionH>
            <wp:positionV relativeFrom="line">
              <wp:posOffset>497391</wp:posOffset>
            </wp:positionV>
            <wp:extent cx="1659797" cy="253948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17789247059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778924705912.jpg" descr="1778924705912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797" cy="25394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hAnsi="Helvetica"/>
          <w:outline w:val="0"/>
          <w:color w:val="000000"/>
          <w:sz w:val="44"/>
          <w:szCs w:val="44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44"/>
          <w:szCs w:val="44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𝗜</w:t>
      </w:r>
      <w:r>
        <w:rPr>
          <w:rFonts w:ascii="Helvetica" w:hAnsi="Helvetica"/>
          <w:outline w:val="0"/>
          <w:color w:val="000000"/>
          <w:sz w:val="44"/>
          <w:szCs w:val="44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.</w:t>
      </w:r>
      <w:r>
        <w:rPr>
          <w:rFonts w:ascii="Helvetica" w:hAnsi="Helvetica" w:hint="default"/>
          <w:outline w:val="0"/>
          <w:color w:val="000000"/>
          <w:sz w:val="44"/>
          <w:szCs w:val="44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”</w:t>
      </w:r>
      <w:r>
        <w:rPr>
          <w:rFonts w:ascii="Helvetica" w:cs="Helvetica" w:hAnsi="Helvetica" w:eastAsia="Helvetica"/>
          <w:outline w:val="0"/>
          <w:color w:val="000000"/>
          <w:sz w:val="44"/>
          <w:szCs w:val="44"/>
          <w:u w:color="000000"/>
          <w:shd w:val="clear" w:color="auto" w:fill="ffffff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1753261</wp:posOffset>
            </wp:positionH>
            <wp:positionV relativeFrom="line">
              <wp:posOffset>422218</wp:posOffset>
            </wp:positionV>
            <wp:extent cx="2018639" cy="268983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17789247055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1778924705537.jpg" descr="1778924705537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639" cy="26898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hAnsi="Helvetica"/>
          <w:outline w:val="0"/>
          <w:color w:val="000000"/>
          <w:sz w:val="44"/>
          <w:szCs w:val="44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u w:color="000000"/>
          <w:shd w:val="clear" w:color="auto" w:fill="ffffff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Fonts w:ascii="Helvetica" w:hAnsi="Helvetica"/>
          <w:outline w:val="0"/>
          <w:color w:val="000000"/>
          <w:sz w:val="38"/>
          <w:szCs w:val="38"/>
          <w:u w:color="000000"/>
          <w:shd w:val="clear" w:color="auto" w:fill="ffffff"/>
          <w:rtl w:val="0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Fonts w:ascii="Helvetica" w:hAnsi="Helvetica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u w:color="000000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Fonts w:ascii="Helvetica" w:hAnsi="Helvetica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𝙏𝙝𝙚</w:t>
      </w:r>
      <w:r>
        <w:rPr>
          <w:rFonts w:ascii="Helvetica" w:hAnsi="Helvetica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𝙅𝙪𝙣𝙜𝙡𝙚</w:t>
      </w:r>
      <w:r>
        <w:rPr>
          <w:rFonts w:ascii="Helvetica" w:hAnsi="Helvetica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𝘽𝙤𝙤𝙠</w:t>
      </w:r>
      <w:r>
        <w:rPr>
          <w:rFonts w:ascii="Helvetica" w:hAnsi="Helvetica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𝙗𝙮</w:t>
      </w:r>
      <w:r>
        <w:rPr>
          <w:rFonts w:ascii="Helvetica" w:hAnsi="Helvetica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𝙍𝙪𝙙𝙮𝙖𝙧𝙙</w:t>
      </w:r>
      <w:r>
        <w:rPr>
          <w:rFonts w:ascii="Helvetica" w:hAnsi="Helvetica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𝙆𝙞𝙥𝙡𝙞𝙣𝙜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outline w:val="0"/>
          <w:color w:val="000000"/>
          <w:sz w:val="28"/>
          <w:szCs w:val="28"/>
          <w:u w:color="000000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00ff"/>
          <w:sz w:val="32"/>
          <w:szCs w:val="32"/>
          <w:u w:val="single" w:color="0000ff"/>
          <w:shd w:val="clear" w:color="auto" w:fill="ffffff"/>
          <w:lang w:val="ru-RU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00ff"/>
          <w:sz w:val="32"/>
          <w:szCs w:val="32"/>
          <w:u w:val="single" w:color="0000ff"/>
          <w:shd w:val="clear" w:color="auto" w:fill="ffffff"/>
          <w:lang w:val="ru-RU"/>
          <w14:textFill>
            <w14:solidFill>
              <w14:srgbClr w14:val="0000FF"/>
            </w14:solidFill>
          </w14:textFill>
        </w:rPr>
        <w:instrText xml:space="preserve"> HYPERLINK "https://www.linkedin.com/company/biological-hemoglobin-oxygen-carrier/"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00ff"/>
          <w:sz w:val="32"/>
          <w:szCs w:val="32"/>
          <w:u w:val="single" w:color="0000ff"/>
          <w:shd w:val="clear" w:color="auto" w:fill="ffffff"/>
          <w:lang w:val="ru-RU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ru-RU"/>
          <w14:textFill>
            <w14:solidFill>
              <w14:srgbClr w14:val="0000FF"/>
            </w14:solidFill>
          </w14:textFill>
        </w:rPr>
        <w:t>BHOC - Biological Hemoglobin Oxygen Carrier</w:t>
      </w:r>
      <w:r>
        <w:rPr/>
        <w:fldChar w:fldCharType="end" w:fldLock="0"/>
      </w:r>
      <w:r>
        <w:rPr>
          <w:rStyle w:val="None"/>
          <w:rFonts w:ascii="Helvetica" w:hAnsi="Helvetica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 </w:t>
      </w:r>
      <w:r>
        <w:rPr>
          <w:rStyle w:val="None"/>
          <w:rFonts w:ascii="Helvetica" w:hAnsi="Helvetica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are 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outline w:val="0"/>
          <w:color w:val="000000"/>
          <w:sz w:val="28"/>
          <w:szCs w:val="28"/>
          <w:u w:color="000000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outline w:val="0"/>
          <w:color w:val="000000"/>
          <w:sz w:val="28"/>
          <w:szCs w:val="28"/>
          <w:u w:color="000000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one"/>
          <w:rFonts w:ascii="Helvetica" w:hAnsi="Helvetica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   </w:t>
      </w:r>
      <w:r>
        <w:rPr>
          <w:rStyle w:val="None"/>
          <w:rFonts w:ascii="Apple Color Emoji" w:hAnsi="Apple Color Emoji" w:hint="default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✅</w:t>
      </w:r>
      <w:r>
        <w:rPr>
          <w:rStyle w:val="None"/>
          <w:rFonts w:ascii="Helvetica" w:hAnsi="Helvetica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Style w:val="None"/>
          <w:rFonts w:ascii="Helvetica" w:hAnsi="Helvetica"/>
          <w:outline w:val="0"/>
          <w:color w:val="000000"/>
          <w:sz w:val="32"/>
          <w:szCs w:val="32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"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32"/>
          <w:szCs w:val="32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𝗧𝗵𝗲</w:t>
      </w:r>
      <w:r>
        <w:rPr>
          <w:rStyle w:val="None"/>
          <w:rFonts w:ascii="Helvetica" w:hAnsi="Helvetica"/>
          <w:outline w:val="0"/>
          <w:color w:val="000000"/>
          <w:sz w:val="32"/>
          <w:szCs w:val="32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32"/>
          <w:szCs w:val="32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𝗕𝗮𝗿𝗲</w:t>
      </w:r>
      <w:r>
        <w:rPr>
          <w:rStyle w:val="None"/>
          <w:rFonts w:ascii="Helvetica" w:hAnsi="Helvetica"/>
          <w:outline w:val="0"/>
          <w:color w:val="000000"/>
          <w:sz w:val="32"/>
          <w:szCs w:val="32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32"/>
          <w:szCs w:val="32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𝗡𝗲𝗰𝗲𝘀𝘀𝗶𝘁𝗶𝗲𝘀</w:t>
      </w:r>
      <w:r>
        <w:rPr>
          <w:rStyle w:val="None"/>
          <w:rFonts w:ascii="Helvetica" w:hAnsi="Helvetica" w:hint="default"/>
          <w:outline w:val="0"/>
          <w:color w:val="000000"/>
          <w:sz w:val="32"/>
          <w:szCs w:val="32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”</w:t>
      </w:r>
      <w:r>
        <w:rPr>
          <w:rStyle w:val="None"/>
          <w:rFonts w:ascii="Helvetica" w:hAnsi="Helvetica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Style w:val="None"/>
          <w:rFonts w:ascii="Apple Color Emoji" w:hAnsi="Apple Color Emoji" w:hint="default"/>
          <w:outline w:val="0"/>
          <w:color w:val="000000"/>
          <w:sz w:val="28"/>
          <w:szCs w:val="28"/>
          <w:u w:color="000000"/>
          <w:shd w:val="clear" w:color="auto" w:fill="ffffff"/>
          <w:rtl w:val="0"/>
          <w:lang w:val="ru-RU"/>
          <w14:textFill>
            <w14:solidFill>
              <w14:srgbClr w14:val="000000">
                <w14:alpha w14:val="9802"/>
              </w14:srgbClr>
            </w14:solidFill>
          </w14:textFill>
        </w:rPr>
        <w:t>✅</w:t>
      </w: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Times Roman" w:cs="Times Roman" w:hAnsi="Times Roman" w:eastAsia="Times Roman"/>
          <w:b w:val="1"/>
          <w:bCs w:val="1"/>
          <w:lang w:val="en-US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 xml:space="preserve"> BHOC  Prove that  it is very correct - in Scientifically , in Ethically , In Mentality </w:t>
      </w: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b w:val="1"/>
          <w:bCs w:val="1"/>
          <w:lang w:val="en-US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sz w:val="28"/>
          <w:szCs w:val="28"/>
          <w:lang w:val="en-US"/>
        </w:rPr>
      </w:pPr>
      <w:r>
        <w:rPr>
          <w:rStyle w:val="None"/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      Nature solved oxygen delivery long before medicine tried to engineer it.</w:t>
      </w:r>
    </w:p>
    <w:p>
      <w:pPr>
        <w:pStyle w:val="Default"/>
        <w:suppressAutoHyphens w:val="1"/>
        <w:spacing w:before="0" w:after="20" w:line="240" w:lineRule="auto"/>
        <w:rPr>
          <w:rStyle w:val="None"/>
          <w:rFonts w:ascii="Times Roman" w:cs="Times Roman" w:hAnsi="Times Roman" w:eastAsia="Times Roman"/>
          <w:sz w:val="28"/>
          <w:szCs w:val="28"/>
          <w:lang w:val="en-US"/>
        </w:rPr>
      </w:pPr>
      <w:r>
        <w:rPr>
          <w:rStyle w:val="None"/>
          <w:rFonts w:ascii="Times Roman" w:hAnsi="Times Roman"/>
          <w:sz w:val="28"/>
          <w:szCs w:val="28"/>
          <w:rtl w:val="0"/>
          <w:lang w:val="en-US"/>
        </w:rPr>
        <w:t xml:space="preserve">         For millions of years, hemoglobin has been one of the most refined biological mechanisms for capturing, carrying, and releasing oxygen with precision.</w:t>
      </w:r>
    </w:p>
    <w:p>
      <w:pPr>
        <w:pStyle w:val="Default"/>
        <w:suppressAutoHyphens w:val="1"/>
        <w:spacing w:before="0" w:after="20" w:line="240" w:lineRule="auto"/>
        <w:rPr>
          <w:rStyle w:val="None"/>
          <w:rFonts w:ascii="Times Roman" w:cs="Times Roman" w:hAnsi="Times Roman" w:eastAsia="Times Roman"/>
          <w:sz w:val="28"/>
          <w:szCs w:val="28"/>
          <w:lang w:val="en-US"/>
        </w:rPr>
      </w:pPr>
      <w:r>
        <w:rPr>
          <w:rStyle w:val="None"/>
          <w:rFonts w:ascii="Times Roman" w:hAnsi="Times Roman"/>
          <w:sz w:val="28"/>
          <w:szCs w:val="28"/>
          <w:rtl w:val="0"/>
          <w:lang w:val="en-US"/>
        </w:rPr>
        <w:t>Our approach is not to invent circulatory oxygen transport from zero.</w:t>
      </w:r>
    </w:p>
    <w:p>
      <w:pPr>
        <w:pStyle w:val="Default"/>
        <w:suppressAutoHyphens w:val="1"/>
        <w:spacing w:before="0" w:after="20" w:line="240" w:lineRule="auto"/>
        <w:rPr>
          <w:rStyle w:val="None"/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after="20" w:line="240" w:lineRule="auto"/>
        <w:rPr>
          <w:rStyle w:val="None"/>
          <w:rFonts w:ascii="Times Roman" w:cs="Times Roman" w:hAnsi="Times Roman" w:eastAsia="Times Roman"/>
          <w:sz w:val="28"/>
          <w:szCs w:val="28"/>
        </w:rPr>
      </w:pPr>
      <w:r>
        <w:rPr>
          <w:rStyle w:val="None"/>
          <w:rFonts w:ascii="Times Roman" w:hAnsi="Times Roman"/>
          <w:sz w:val="28"/>
          <w:szCs w:val="28"/>
          <w:rtl w:val="0"/>
          <w:lang w:val="en-US"/>
        </w:rPr>
        <w:t xml:space="preserve">   We are taking a molecule already perfected by evolution -</w:t>
      </w:r>
      <w:r>
        <w:rPr>
          <w:rStyle w:val="None"/>
          <w:rFonts w:ascii="Times Roman" w:hAnsi="Times Roman"/>
          <w:sz w:val="28"/>
          <w:szCs w:val="28"/>
          <w:rtl w:val="0"/>
          <w:lang w:val="ru-RU"/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28"/>
          <w:szCs w:val="28"/>
          <w:rtl w:val="0"/>
          <w:lang w:val="ru-RU"/>
        </w:rPr>
        <w:t>hemoglobin</w:t>
      </w:r>
      <w:r>
        <w:rPr>
          <w:rStyle w:val="None"/>
          <w:rFonts w:ascii="Times Roman" w:hAnsi="Times Roman"/>
          <w:sz w:val="28"/>
          <w:szCs w:val="28"/>
          <w:rtl w:val="0"/>
          <w:lang w:val="ru-RU"/>
        </w:rPr>
        <w:t xml:space="preserve"> </w:t>
      </w:r>
      <w:r>
        <w:rPr>
          <w:rStyle w:val="None"/>
          <w:rFonts w:ascii="Times Roman" w:hAnsi="Times Roman"/>
          <w:sz w:val="28"/>
          <w:szCs w:val="28"/>
          <w:rtl w:val="0"/>
          <w:lang w:val="en-US"/>
        </w:rPr>
        <w:t xml:space="preserve">- and rebuilding it into a modern therapeutic platform:  </w:t>
      </w:r>
      <w:r>
        <w:rPr>
          <w:rStyle w:val="None"/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en-US"/>
        </w:rPr>
        <w:t>cell-free, purified, controlled, room-temperature stable, and designed for immediate microvascular oxygen delivery</w:t>
      </w:r>
      <w:r>
        <w:rPr>
          <w:rStyle w:val="None"/>
          <w:rFonts w:ascii="Times Roman" w:hAnsi="Times Roman"/>
          <w:sz w:val="28"/>
          <w:szCs w:val="28"/>
          <w:rtl w:val="0"/>
          <w:lang w:val="ru-RU"/>
        </w:rPr>
        <w:t>.</w:t>
      </w:r>
    </w:p>
    <w:p>
      <w:pPr>
        <w:pStyle w:val="Default"/>
        <w:suppressAutoHyphens w:val="1"/>
        <w:spacing w:before="0" w:after="20" w:line="240" w:lineRule="auto"/>
        <w:rPr>
          <w:rStyle w:val="None"/>
          <w:rFonts w:ascii="Times Roman" w:cs="Times Roman" w:hAnsi="Times Roman" w:eastAsia="Times Roman"/>
          <w:sz w:val="28"/>
          <w:szCs w:val="28"/>
          <w:lang w:val="en-US"/>
        </w:rPr>
      </w:pPr>
      <w:r>
        <w:rPr>
          <w:rStyle w:val="None"/>
          <w:rFonts w:ascii="Times Roman" w:hAnsi="Times Roman"/>
          <w:sz w:val="28"/>
          <w:szCs w:val="28"/>
          <w:rtl w:val="0"/>
          <w:lang w:val="en-US"/>
        </w:rPr>
        <w:t>In simple words:</w:t>
      </w:r>
    </w:p>
    <w:p>
      <w:pPr>
        <w:pStyle w:val="Default"/>
        <w:suppressAutoHyphens w:val="1"/>
        <w:spacing w:before="0" w:after="20" w:line="240" w:lineRule="auto"/>
        <w:rPr>
          <w:rStyle w:val="None"/>
          <w:rFonts w:ascii="Times Roman" w:cs="Times Roman" w:hAnsi="Times Roman" w:eastAsia="Times Roman"/>
          <w:sz w:val="28"/>
          <w:szCs w:val="28"/>
        </w:rPr>
      </w:pPr>
      <w:r>
        <w:rPr>
          <w:rStyle w:val="None"/>
          <w:rFonts w:ascii="Times Roman" w:hAnsi="Times Roman"/>
          <w:b w:val="1"/>
          <w:bCs w:val="1"/>
          <w:sz w:val="28"/>
          <w:szCs w:val="28"/>
          <w:rtl w:val="0"/>
          <w:lang w:val="en-US"/>
        </w:rPr>
        <w:t>We are not replacing nature.</w:t>
      </w:r>
      <w:r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lang w:val="ru-RU"/>
        </w:rPr>
        <w:br w:type="textWrapping"/>
      </w:r>
      <w:r>
        <w:rPr>
          <w:rStyle w:val="None"/>
          <w:rFonts w:ascii="Times Roman" w:hAnsi="Times Roman"/>
          <w:b w:val="1"/>
          <w:bCs w:val="1"/>
          <w:sz w:val="28"/>
          <w:szCs w:val="28"/>
          <w:rtl w:val="0"/>
          <w:lang w:val="en-US"/>
        </w:rPr>
        <w:t>We are learning from nature - and turning one of its most powerful mechanisms into precision oxygen metabolic support.</w:t>
      </w:r>
    </w:p>
    <w:p>
      <w:pPr>
        <w:pStyle w:val="Default"/>
        <w:suppressAutoHyphens w:val="1"/>
        <w:spacing w:before="0" w:after="20" w:line="240" w:lineRule="auto"/>
        <w:rPr>
          <w:rStyle w:val="None"/>
          <w:rFonts w:ascii="Times Roman" w:cs="Times Roman" w:hAnsi="Times Roman" w:eastAsia="Times Roman"/>
          <w:sz w:val="28"/>
          <w:szCs w:val="28"/>
        </w:rPr>
      </w:pPr>
      <w:r>
        <w:rPr>
          <w:rStyle w:val="None"/>
          <w:rFonts w:ascii="Times Roman" w:hAnsi="Times Roman"/>
          <w:sz w:val="28"/>
          <w:szCs w:val="28"/>
          <w:rtl w:val="0"/>
          <w:lang w:val="en-US"/>
        </w:rPr>
        <w:t>Because oxygen is not just a gas.</w:t>
      </w:r>
      <w:r>
        <w:rPr>
          <w:rStyle w:val="None"/>
          <w:rFonts w:ascii="Times Roman" w:cs="Times Roman" w:hAnsi="Times Roman" w:eastAsia="Times Roman"/>
          <w:sz w:val="28"/>
          <w:szCs w:val="28"/>
          <w:lang w:val="ru-RU"/>
        </w:rPr>
        <w:br w:type="textWrapping"/>
      </w:r>
      <w:r>
        <w:rPr>
          <w:rStyle w:val="None"/>
          <w:rFonts w:ascii="Times Roman" w:hAnsi="Times Roman"/>
          <w:sz w:val="28"/>
          <w:szCs w:val="28"/>
          <w:rtl w:val="0"/>
          <w:lang w:val="en-US"/>
        </w:rPr>
        <w:t>It is the currency of biological life.</w:t>
      </w:r>
    </w:p>
    <w:p>
      <w:pPr>
        <w:pStyle w:val="Default"/>
        <w:suppressAutoHyphens w:val="1"/>
        <w:spacing w:before="0" w:after="40" w:line="240" w:lineRule="auto"/>
        <w:rPr>
          <w:rStyle w:val="None"/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4"/>
          <w:szCs w:val="34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4"/>
          <w:szCs w:val="34"/>
          <w:rtl w:val="0"/>
          <w:lang w:val="en-US"/>
        </w:rPr>
        <w:t>Executive Summary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it-IT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it-IT"/>
          <w14:textFill>
            <w14:solidFill>
              <w14:srgbClr w14:val="535353"/>
            </w14:solidFill>
          </w14:textFill>
        </w:rPr>
        <w:t>1.1 Core Proposition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 xml:space="preserve">   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BHOC is a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donor-independent, room-temperature-stable (3+ years), endotoxin-free, cell-antigen-free biologic hemoglobin oxygen carrier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designed for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microvascular and tissue-level oxygen exchange and delivery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across all mammalian species. Unlike traditional </w:t>
      </w:r>
      <w:r>
        <w:rPr>
          <w:rStyle w:val="None"/>
          <w:rFonts w:ascii="Times Roman" w:hAnsi="Times Roman" w:hint="default"/>
          <w:sz w:val="30"/>
          <w:szCs w:val="30"/>
          <w:rtl w:val="0"/>
          <w:lang w:val="en-US"/>
        </w:rPr>
        <w:t>“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blood transfusions</w:t>
      </w:r>
      <w:r>
        <w:rPr>
          <w:rStyle w:val="None"/>
          <w:rFonts w:ascii="Times Roman" w:hAnsi="Times Roman" w:hint="default"/>
          <w:sz w:val="30"/>
          <w:szCs w:val="30"/>
          <w:rtl w:val="0"/>
          <w:lang w:val="en-US"/>
        </w:rPr>
        <w:t>”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, BHOC functions as a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precision oxygenation platform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, delivering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3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5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 xml:space="preserve">×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the oxygen-carrying capacity per mL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compared to packed red blood cells (pRBCs).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1.2 Scientific and Regulatory Foundation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ru-RU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Legacy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: BHOC builds upon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Oxyglobin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, the first and only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FDA-approved (1998)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and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EMA-approved (1999)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hemoglobin-based oxygen carrier (HBOC) for canine anemia.(Off label use in many other species)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Clinical Evidence Based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&gt;240,000 units sold</w:t>
      </w:r>
      <w:r>
        <w:rPr>
          <w:rStyle w:val="None"/>
          <w:rFonts w:ascii="Times Roman" w:hAnsi="Times Roman"/>
          <w:sz w:val="30"/>
          <w:szCs w:val="30"/>
          <w:rtl w:val="0"/>
          <w:lang w:val="it-IT"/>
        </w:rPr>
        <w:t xml:space="preserve"> (Oxyglobin/Hemopure).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~30 species treated off-label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in real-world veterinary practice.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25+ years of R&amp;D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,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27 clinical trials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, and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250+ preclinical studies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across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2,000+ animals in 11 species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.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95% treatment success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vs. 32% in control group (pivotal canine anemia trial).</w:t>
      </w:r>
    </w:p>
    <w:p>
      <w:pPr>
        <w:pStyle w:val="Default"/>
        <w:numPr>
          <w:ilvl w:val="1"/>
          <w:numId w:val="4"/>
        </w:numPr>
        <w:suppressAutoHyphens w:val="1"/>
        <w:spacing w:before="80" w:after="80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40" w:after="6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1.3 Market Opportunity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40" w:after="60"/>
        <w:ind w:right="0"/>
        <w:jc w:val="left"/>
        <w:rPr>
          <w:rFonts w:ascii="Arial Unicode MS" w:hAnsi="Arial Unicode MS"/>
          <w:sz w:val="30"/>
          <w:szCs w:val="30"/>
          <w:rtl w:val="0"/>
          <w:lang w:val="nl-NL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nl-NL"/>
        </w:rPr>
        <w:t>Unmet Need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: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+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70% of US veterinary clinics (+40,544 of 57,920)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lack transfusion capabilities, resulting in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$10B+ annual revenue leakage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from referred cases.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40" w:after="6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Economic Potential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40" w:after="6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Clinics without transfusion: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$50K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446K/year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in new revenue.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40" w:after="6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Clinics with transfusion: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$10K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20K/year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in cost savings + recurring revenue streams.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40" w:after="6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ru-RU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Margin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40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nl-NL"/>
        </w:rPr>
        <w:t>60% net margin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on BHOC procedures (vs. 0</w:t>
      </w:r>
      <w:r>
        <w:rPr>
          <w:rStyle w:val="None"/>
          <w:rFonts w:ascii="Times Roman" w:hAnsi="Times Roman" w:hint="default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10% for traditional blood).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it-IT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it-IT"/>
          <w14:textFill>
            <w14:solidFill>
              <w14:srgbClr w14:val="535353"/>
            </w14:solidFill>
          </w14:textFill>
        </w:rPr>
        <w:t>1.4 Key Differentiators (logistics)</w:t>
      </w:r>
    </w:p>
    <w:tbl>
      <w:tblPr>
        <w:tblW w:w="9632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157"/>
        <w:gridCol w:w="3434"/>
        <w:gridCol w:w="3041"/>
      </w:tblGrid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3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Parameter</w:t>
            </w:r>
          </w:p>
        </w:tc>
        <w:tc>
          <w:tcPr>
            <w:tcW w:type="dxa" w:w="34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Traditional Blood</w:t>
            </w:r>
          </w:p>
        </w:tc>
        <w:tc>
          <w:tcPr>
            <w:tcW w:type="dxa" w:w="30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BHOC</w:t>
            </w:r>
          </w:p>
        </w:tc>
      </w:tr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3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Donor Dependency</w:t>
            </w:r>
          </w:p>
        </w:tc>
        <w:tc>
          <w:tcPr>
            <w:tcW w:type="dxa" w:w="34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Required</w:t>
            </w:r>
          </w:p>
        </w:tc>
        <w:tc>
          <w:tcPr>
            <w:tcW w:type="dxa" w:w="30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Eliminated</w:t>
            </w:r>
          </w:p>
        </w:tc>
      </w:tr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3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Cross-matching</w:t>
            </w:r>
          </w:p>
        </w:tc>
        <w:tc>
          <w:tcPr>
            <w:tcW w:type="dxa" w:w="34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Required</w:t>
            </w:r>
          </w:p>
        </w:tc>
        <w:tc>
          <w:tcPr>
            <w:tcW w:type="dxa" w:w="30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Not required</w:t>
            </w:r>
          </w:p>
        </w:tc>
      </w:tr>
      <w:tr>
        <w:tblPrEx>
          <w:shd w:val="clear" w:color="auto" w:fill="cad1d7"/>
        </w:tblPrEx>
        <w:trPr>
          <w:trHeight w:val="600" w:hRule="atLeast"/>
        </w:trPr>
        <w:tc>
          <w:tcPr>
            <w:tcW w:type="dxa" w:w="3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Storage</w:t>
            </w:r>
          </w:p>
        </w:tc>
        <w:tc>
          <w:tcPr>
            <w:tcW w:type="dxa" w:w="34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Refrigerated (21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42 days)</w:t>
            </w:r>
          </w:p>
        </w:tc>
        <w:tc>
          <w:tcPr>
            <w:tcW w:type="dxa" w:w="30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Room temperature (3+ years)</w:t>
            </w:r>
          </w:p>
        </w:tc>
      </w:tr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3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Oxygen Efficiency</w:t>
            </w:r>
          </w:p>
        </w:tc>
        <w:tc>
          <w:tcPr>
            <w:tcW w:type="dxa" w:w="34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(pRBCs)</w:t>
            </w:r>
          </w:p>
        </w:tc>
        <w:tc>
          <w:tcPr>
            <w:tcW w:type="dxa" w:w="30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None"/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5</w:t>
            </w:r>
            <w:r>
              <w:rPr>
                <w:rStyle w:val="None"/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</w:rPr>
              <w:t>×</w:t>
            </w:r>
          </w:p>
        </w:tc>
      </w:tr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3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Wastage</w:t>
            </w:r>
          </w:p>
        </w:tc>
        <w:tc>
          <w:tcPr>
            <w:tcW w:type="dxa" w:w="34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10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30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&lt;2%</w:t>
            </w:r>
          </w:p>
        </w:tc>
      </w:tr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3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Time to Deployment</w:t>
            </w:r>
          </w:p>
        </w:tc>
        <w:tc>
          <w:tcPr>
            <w:tcW w:type="dxa" w:w="34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4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8 hours</w:t>
            </w:r>
          </w:p>
        </w:tc>
        <w:tc>
          <w:tcPr>
            <w:tcW w:type="dxa" w:w="30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&lt;3 minutes</w:t>
            </w:r>
          </w:p>
        </w:tc>
      </w:tr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3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Species Compatibility</w:t>
            </w:r>
          </w:p>
        </w:tc>
        <w:tc>
          <w:tcPr>
            <w:tcW w:type="dxa" w:w="34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Donor-dependent</w:t>
            </w:r>
          </w:p>
        </w:tc>
        <w:tc>
          <w:tcPr>
            <w:tcW w:type="dxa" w:w="30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Universal</w:t>
            </w:r>
          </w:p>
        </w:tc>
      </w:tr>
      <w:tr>
        <w:tblPrEx>
          <w:shd w:val="clear" w:color="auto" w:fill="cad1d7"/>
        </w:tblPrEx>
        <w:trPr>
          <w:trHeight w:val="580" w:hRule="atLeast"/>
        </w:trPr>
        <w:tc>
          <w:tcPr>
            <w:tcW w:type="dxa" w:w="31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Hematocrit recovery response</w:t>
            </w:r>
          </w:p>
        </w:tc>
        <w:tc>
          <w:tcPr>
            <w:tcW w:type="dxa" w:w="34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 xml:space="preserve">Need 5-6 day </w:t>
            </w:r>
          </w:p>
        </w:tc>
        <w:tc>
          <w:tcPr>
            <w:tcW w:type="dxa" w:w="30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From 1 day </w:t>
            </w:r>
          </w:p>
        </w:tc>
      </w:tr>
    </w:tbl>
    <w:p>
      <w:pPr>
        <w:pStyle w:val="Default"/>
        <w:widowControl w:val="0"/>
        <w:suppressAutoHyphens w:val="1"/>
        <w:spacing w:before="80" w:after="80" w:line="240" w:lineRule="auto"/>
        <w:ind w:left="216" w:hanging="216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it-IT"/>
          <w14:textFill>
            <w14:solidFill>
              <w14:srgbClr w14:val="535353"/>
            </w14:solidFill>
          </w14:textFill>
        </w:rPr>
      </w:pPr>
    </w:p>
    <w:p>
      <w:pPr>
        <w:pStyle w:val="Default"/>
        <w:widowControl w:val="0"/>
        <w:suppressAutoHyphens w:val="1"/>
        <w:spacing w:before="80" w:after="80" w:line="240" w:lineRule="auto"/>
        <w:ind w:left="216" w:hanging="216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it-IT"/>
          <w14:textFill>
            <w14:solidFill>
              <w14:srgbClr w14:val="535353"/>
            </w14:solidFill>
          </w14:textFill>
        </w:rPr>
      </w:pPr>
    </w:p>
    <w:p>
      <w:pPr>
        <w:pStyle w:val="Default"/>
        <w:widowControl w:val="0"/>
        <w:suppressAutoHyphens w:val="1"/>
        <w:spacing w:before="80" w:after="80" w:line="240" w:lineRule="auto"/>
        <w:ind w:left="216" w:hanging="216"/>
        <w:rPr>
          <w:rStyle w:val="None"/>
          <w:rFonts w:ascii="Times Roman" w:cs="Times Roman" w:hAnsi="Times Roman" w:eastAsia="Times Roman"/>
          <w:outline w:val="0"/>
          <w:color w:val="808080"/>
          <w:sz w:val="30"/>
          <w:szCs w:val="30"/>
          <w:u w:color="808080"/>
          <w:lang w:val="it-IT"/>
          <w14:textFill>
            <w14:solidFill>
              <w14:srgbClr w14:val="808080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808080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  Hematocrit recovery response/Hematocrit and  Oxygen</w:t>
      </w:r>
      <w:r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-403302</wp:posOffset>
            </wp:positionH>
            <wp:positionV relativeFrom="line">
              <wp:posOffset>202235</wp:posOffset>
            </wp:positionV>
            <wp:extent cx="2687017" cy="417303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0"/>
                <wp:lineTo x="0" y="21600"/>
                <wp:lineTo x="0" y="0"/>
              </wp:wrapPolygon>
            </wp:wrapThrough>
            <wp:docPr id="1073741828" name="officeArt object" descr="Hematocrit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Hematocrite.png" descr="Hematocrit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017" cy="4173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808080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 efficiency compare with pRBC </w:t>
      </w:r>
      <w:r>
        <w:rPr>
          <w:rStyle w:val="None"/>
          <w:rFonts w:ascii="Times Roman" w:cs="Times Roman" w:hAnsi="Times Roman" w:eastAsia="Times Roman"/>
          <w:outline w:val="0"/>
          <w:color w:val="808080"/>
          <w:sz w:val="30"/>
          <w:szCs w:val="30"/>
          <w:u w:color="808080"/>
          <w:lang w:val="ru-RU"/>
          <w14:textFill>
            <w14:solidFill>
              <w14:srgbClr w14:val="80808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3278345</wp:posOffset>
            </wp:positionH>
            <wp:positionV relativeFrom="line">
              <wp:posOffset>368205</wp:posOffset>
            </wp:positionV>
            <wp:extent cx="3358675" cy="2017183"/>
            <wp:effectExtent l="0" t="0" r="0" b="0"/>
            <wp:wrapTopAndBottom distT="152400" distB="152400"/>
            <wp:docPr id="1073741829" name="officeArt object" descr="3-5 x Oxygenation BHOC 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3-5 x Oxygenation BHOC .jpg" descr="3-5 x Oxygenation BHOC 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675" cy="20171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0"/>
          <w:szCs w:val="3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20"/>
          <w:szCs w:val="2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20"/>
          <w:szCs w:val="20"/>
          <w:rtl w:val="0"/>
          <w:lang w:val="en-US"/>
        </w:rPr>
        <w:t xml:space="preserve">* In left graphic , RBC was gaven 60 g of Hemoglobin comparer with HBOC of 30 g 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808080"/>
          <w:sz w:val="20"/>
          <w:szCs w:val="2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808080"/>
          <w:sz w:val="20"/>
          <w:szCs w:val="2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808080"/>
          <w:sz w:val="20"/>
          <w:szCs w:val="2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0"/>
          <w:szCs w:val="3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Style w:val="None"/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History and Regulatory Foundation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2.1 Oxyglobin: The Precedent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Oxyglobin, developed by Biopure Corporation, was the first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FDA-approved (1998)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and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EMA-approved (1999)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HBOC for the treatment of canine anemia. Its approval was based on: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2 core effectiveness studies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: A laboratory dose-response study and a multi-center clinical field trial in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it-IT"/>
        </w:rPr>
        <w:t>64 anemic dogs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Real-world evidence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885 veterinary reports</w:t>
      </w:r>
      <w:r>
        <w:rPr>
          <w:rStyle w:val="None"/>
          <w:rFonts w:ascii="Times Roman" w:hAnsi="Times Roman"/>
          <w:sz w:val="30"/>
          <w:szCs w:val="30"/>
          <w:rtl w:val="0"/>
          <w:lang w:val="fr-FR"/>
        </w:rPr>
        <w:t xml:space="preserve"> (Dec 1998</w:t>
      </w:r>
      <w:r>
        <w:rPr>
          <w:rStyle w:val="None"/>
          <w:rFonts w:ascii="Times Roman" w:hAnsi="Times Roman" w:hint="default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Aug 1999) demonstrated: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78% of dogs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showed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PCV improvement within 72 hours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without additional oxygen support.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85% of blood-loss cases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received Oxyglobin only (avg. pre-infusion PCV: 20%).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ru-RU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4.5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 xml:space="preserve">×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higher survival rate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for dogs with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PCV &lt;15%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vs. whole blood at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PCV &lt;10%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2.2 Limitations of Traditional RBC Transfusions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Traditional red blood cell (RBC) transfusions suffer from pharmacologic,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physiologic and operational inefficiencies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: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Microcirculatory failure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: RBCs may not reach hypoxic tissues due to endothelial damage and aggregate blockage.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fr-FR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fr-FR"/>
        </w:rPr>
        <w:t>Diffusion barriers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: Cellular membranes reduce oxygen transfer compared to cell-free stabilized hemoglobin (BHOC).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it-IT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it-IT"/>
        </w:rPr>
        <w:t>Storage lesions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: Refrigerated blood exhibits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impaired oxygen offloading</w:t>
      </w:r>
      <w:r>
        <w:rPr>
          <w:rStyle w:val="None"/>
          <w:rFonts w:ascii="Times Roman" w:hAnsi="Times Roman"/>
          <w:sz w:val="30"/>
          <w:szCs w:val="30"/>
          <w:rtl w:val="0"/>
          <w:lang w:val="it-IT"/>
        </w:rPr>
        <w:t xml:space="preserve"> due to biochemical changes.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Logistical and additional cost constraints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: Donor dependency, crossmatching, refrigeration, and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10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20% wastage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from expiration.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rtl w:val="0"/>
          <w:lang w:val="ru-RU"/>
          <w14:textFill>
            <w14:solidFill>
              <w14:srgbClr w14:val="535353"/>
            </w14:solidFill>
          </w14:textFill>
        </w:rPr>
        <w:t xml:space="preserve">2.3 </w:t>
      </w: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  BHOC as a Solution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BHOC addresses these limitations by providing: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it-IT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it-IT"/>
        </w:rPr>
        <w:t>Immediate microvascular oxygenation availability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via cell-free stabilized hemoglobin.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Standardized, donor-independent oxygen carrier support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for emergency and elective procedures via perfusion enhancement.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Reduced volume load risk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, particularly critical for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cats, exotics, and small animals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0"/>
          <w:szCs w:val="3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4"/>
          <w:szCs w:val="34"/>
          <w:lang w:val="en-US"/>
        </w:rPr>
      </w:pPr>
      <w:r>
        <w:rPr>
          <w:rStyle w:val="None"/>
          <w:rFonts w:ascii="Times Roman" w:hAnsi="Times Roman"/>
          <w:b w:val="1"/>
          <w:bCs w:val="1"/>
          <w:sz w:val="34"/>
          <w:szCs w:val="34"/>
          <w:rtl w:val="0"/>
          <w:lang w:val="en-US"/>
        </w:rPr>
        <w:t>3. Scientific Evidence for Expanded Applications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3.1 Mechanisms of Action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  <w:r>
        <w:rPr>
          <w:rStyle w:val="None"/>
          <w:rFonts w:ascii="Times Roman" w:hAnsi="Times Roman"/>
          <w:sz w:val="30"/>
          <w:szCs w:val="30"/>
          <w:rtl w:val="0"/>
          <w:lang w:val="de-DE"/>
        </w:rPr>
        <w:t>BHOC</w:t>
      </w:r>
      <w:r>
        <w:rPr>
          <w:rStyle w:val="None"/>
          <w:rFonts w:ascii="Arial Unicode MS" w:hAnsi="Arial Unicode MS" w:hint="default"/>
          <w:sz w:val="30"/>
          <w:szCs w:val="30"/>
          <w:rtl w:val="1"/>
          <w:lang w:val="ar-SA" w:bidi="ar-SA"/>
        </w:rPr>
        <w:t>’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s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precision oxygenation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enables applications beyond anemia, including: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Oncology Support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: Mitigates hypoxia-induced chemoresistance and reduces cardiotoxicity of doxorubicin.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Surgical Optimization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: Reduces postoperative infections (40%) and accelerates wound healing (30%).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nl-NL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nl-NL"/>
        </w:rPr>
        <w:t>Longevity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:  support  oxidative metabolism pathways associated with healthy aging and improves mitochondrial function via enhanced oxygen delivery.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Sports Medicine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: Antidoting-compliant performance enhancement (WADA, FEI, ARCI approved for animals).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3.2 Supporting Evidence</w:t>
      </w:r>
    </w:p>
    <w:tbl>
      <w:tblPr>
        <w:tblW w:w="9612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995"/>
        <w:gridCol w:w="6527"/>
        <w:gridCol w:w="1090"/>
      </w:tblGrid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19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Application</w:t>
            </w:r>
          </w:p>
        </w:tc>
        <w:tc>
          <w:tcPr>
            <w:tcW w:type="dxa" w:w="65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Key Findings</w:t>
            </w:r>
          </w:p>
        </w:tc>
        <w:tc>
          <w:tcPr>
            <w:tcW w:type="dxa" w:w="10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Sources</w:t>
            </w:r>
          </w:p>
        </w:tc>
      </w:tr>
      <w:tr>
        <w:tblPrEx>
          <w:shd w:val="clear" w:color="auto" w:fill="cad1d7"/>
        </w:tblPrEx>
        <w:trPr>
          <w:trHeight w:val="1120" w:hRule="atLeast"/>
        </w:trPr>
        <w:tc>
          <w:tcPr>
            <w:tcW w:type="dxa" w:w="19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Oncology</w:t>
            </w:r>
          </w:p>
        </w:tc>
        <w:tc>
          <w:tcPr>
            <w:tcW w:type="dxa" w:w="65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5</w:t>
            </w:r>
            <w:r>
              <w:rPr>
                <w:rStyle w:val="None"/>
                <w:rFonts w:ascii="Times Roman" w:hAnsi="Times Roman" w:hint="default"/>
                <w:b w:val="1"/>
                <w:bCs w:val="1"/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b w:val="1"/>
                <w:bCs w:val="1"/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20% dose reduction of doxorubicin with maintained efficacy; enhanced radiation therapy. Reduced metastasis</w:t>
            </w:r>
          </w:p>
        </w:tc>
        <w:tc>
          <w:tcPr>
            <w:tcW w:type="dxa" w:w="10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[5, 6, 7]</w:t>
            </w:r>
          </w:p>
        </w:tc>
      </w:tr>
      <w:tr>
        <w:tblPrEx>
          <w:shd w:val="clear" w:color="auto" w:fill="cad1d7"/>
        </w:tblPrEx>
        <w:trPr>
          <w:trHeight w:val="982" w:hRule="atLeast"/>
        </w:trPr>
        <w:tc>
          <w:tcPr>
            <w:tcW w:type="dxa" w:w="19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Surgery</w:t>
            </w:r>
          </w:p>
        </w:tc>
        <w:tc>
          <w:tcPr>
            <w:tcW w:type="dxa" w:w="65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40% reduction in postoperative infections; 50% mortality reduction in shock models.</w:t>
            </w:r>
          </w:p>
        </w:tc>
        <w:tc>
          <w:tcPr>
            <w:tcW w:type="dxa" w:w="10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[8, 9, 10]</w:t>
            </w:r>
          </w:p>
        </w:tc>
      </w:tr>
      <w:tr>
        <w:tblPrEx>
          <w:shd w:val="clear" w:color="auto" w:fill="cad1d7"/>
        </w:tblPrEx>
        <w:trPr>
          <w:trHeight w:val="760" w:hRule="atLeast"/>
        </w:trPr>
        <w:tc>
          <w:tcPr>
            <w:tcW w:type="dxa" w:w="19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Longevity</w:t>
            </w:r>
          </w:p>
        </w:tc>
        <w:tc>
          <w:tcPr>
            <w:tcW w:type="dxa" w:w="65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20% telomere length increase in human leukocytes with hyper-oxygenation.</w:t>
            </w:r>
          </w:p>
        </w:tc>
        <w:tc>
          <w:tcPr>
            <w:tcW w:type="dxa" w:w="10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[14, 15, 16]</w:t>
            </w:r>
          </w:p>
        </w:tc>
      </w:tr>
      <w:tr>
        <w:tblPrEx>
          <w:shd w:val="clear" w:color="auto" w:fill="cad1d7"/>
        </w:tblPrEx>
        <w:trPr>
          <w:trHeight w:val="760" w:hRule="atLeast"/>
        </w:trPr>
        <w:tc>
          <w:tcPr>
            <w:tcW w:type="dxa" w:w="19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Acute Care</w:t>
            </w:r>
          </w:p>
        </w:tc>
        <w:tc>
          <w:tcPr>
            <w:tcW w:type="dxa" w:w="65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Immediate deployment; no crossmatching; reduces mortality in trauma.</w:t>
            </w:r>
          </w:p>
        </w:tc>
        <w:tc>
          <w:tcPr>
            <w:tcW w:type="dxa" w:w="10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[10, 4]</w:t>
            </w:r>
          </w:p>
        </w:tc>
      </w:tr>
      <w:tr>
        <w:tblPrEx>
          <w:shd w:val="clear" w:color="auto" w:fill="cad1d7"/>
        </w:tblPrEx>
        <w:trPr>
          <w:trHeight w:val="600" w:hRule="atLeast"/>
        </w:trPr>
        <w:tc>
          <w:tcPr>
            <w:tcW w:type="dxa" w:w="19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Cats</w:t>
            </w:r>
          </w:p>
        </w:tc>
        <w:tc>
          <w:tcPr>
            <w:tcW w:type="dxa" w:w="65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Addresses volume overload risk; no donor dependency.</w:t>
            </w:r>
          </w:p>
        </w:tc>
        <w:tc>
          <w:tcPr>
            <w:tcW w:type="dxa" w:w="10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[4, 17, 19, 20]</w:t>
            </w:r>
          </w:p>
        </w:tc>
      </w:tr>
      <w:tr>
        <w:tblPrEx>
          <w:shd w:val="clear" w:color="auto" w:fill="cad1d7"/>
        </w:tblPrEx>
        <w:trPr>
          <w:trHeight w:val="760" w:hRule="atLeast"/>
        </w:trPr>
        <w:tc>
          <w:tcPr>
            <w:tcW w:type="dxa" w:w="19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Wildlife/Zoos</w:t>
            </w:r>
          </w:p>
        </w:tc>
        <w:tc>
          <w:tcPr>
            <w:tcW w:type="dxa" w:w="65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No donor blood available; room-temperature stable; universal compatibility.</w:t>
            </w:r>
          </w:p>
        </w:tc>
        <w:tc>
          <w:tcPr>
            <w:tcW w:type="dxa" w:w="10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[19, 4]</w:t>
            </w:r>
          </w:p>
        </w:tc>
      </w:tr>
    </w:tbl>
    <w:p>
      <w:pPr>
        <w:pStyle w:val="Default"/>
        <w:widowControl w:val="0"/>
        <w:suppressAutoHyphens w:val="1"/>
        <w:spacing w:before="80" w:after="80" w:line="240" w:lineRule="auto"/>
        <w:ind w:left="216" w:hanging="216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lang w:val="en-US"/>
          <w14:textFill>
            <w14:solidFill>
              <w14:srgbClr w14:val="535353"/>
            </w14:solidFill>
          </w14:textFill>
        </w:rPr>
      </w:pPr>
    </w:p>
    <w:p>
      <w:pPr>
        <w:pStyle w:val="Default"/>
        <w:widowControl w:val="0"/>
        <w:suppressAutoHyphens w:val="1"/>
        <w:spacing w:before="80" w:after="80" w:line="240" w:lineRule="auto"/>
        <w:ind w:left="108" w:hanging="108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lang w:val="en-US"/>
          <w14:textFill>
            <w14:solidFill>
              <w14:srgbClr w14:val="535353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3.3 Clinical Studies in Cats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Clinical use of Oxyglobin in 48 cats (2002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2006)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: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sz w:val="30"/>
          <w:szCs w:val="30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sz w:val="30"/>
          <w:szCs w:val="30"/>
          <w:u w:val="single" w:color="0000ee"/>
          <w:lang w:val="ru-RU"/>
          <w14:textFill>
            <w14:solidFill>
              <w14:srgbClr w14:val="0000EE"/>
            </w14:solidFill>
          </w14:textFill>
        </w:rPr>
        <w:instrText xml:space="preserve"> HYPERLINK "https://pubmed.ncbi.nlm.nih.gov/18455461/"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sz w:val="30"/>
          <w:szCs w:val="30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sz w:val="30"/>
          <w:szCs w:val="30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PubMed</w:t>
      </w:r>
      <w:r>
        <w:rPr>
          <w:rFonts w:ascii="Arial Unicode MS" w:cs="Arial Unicode MS" w:hAnsi="Arial Unicode MS" w:eastAsia="Arial Unicode MS"/>
          <w:sz w:val="30"/>
          <w:szCs w:val="30"/>
        </w:rPr>
        <w:fldChar w:fldCharType="end" w:fldLock="0"/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Use of hemoglobin-based oxygen-carrying solution in cats: 72 cases (1998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2000)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: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sz w:val="30"/>
          <w:szCs w:val="30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sz w:val="30"/>
          <w:szCs w:val="30"/>
          <w:u w:val="single" w:color="0000ee"/>
          <w:lang w:val="ru-RU"/>
          <w14:textFill>
            <w14:solidFill>
              <w14:srgbClr w14:val="0000EE"/>
            </w14:solidFill>
          </w14:textFill>
        </w:rPr>
        <w:instrText xml:space="preserve"> HYPERLINK "https://pubmed.ncbi.nlm.nih.gov/12420832/"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sz w:val="30"/>
          <w:szCs w:val="30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sz w:val="30"/>
          <w:szCs w:val="30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PubMed</w:t>
      </w:r>
      <w:r>
        <w:rPr>
          <w:rFonts w:ascii="Arial Unicode MS" w:cs="Arial Unicode MS" w:hAnsi="Arial Unicode MS" w:eastAsia="Arial Unicode MS"/>
          <w:sz w:val="30"/>
          <w:szCs w:val="30"/>
        </w:rPr>
        <w:fldChar w:fldCharType="end" w:fldLock="0"/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4"/>
          <w:szCs w:val="34"/>
          <w:lang w:val="en-US"/>
        </w:rPr>
      </w:pPr>
      <w:r>
        <w:rPr>
          <w:rStyle w:val="None"/>
          <w:rFonts w:ascii="Times Roman" w:hAnsi="Times Roman"/>
          <w:b w:val="1"/>
          <w:bCs w:val="1"/>
          <w:sz w:val="34"/>
          <w:szCs w:val="34"/>
          <w:rtl w:val="0"/>
          <w:lang w:val="en-US"/>
        </w:rPr>
        <w:t>4. Market Analysis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4.1 US Veterinary Market Overview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ru-RU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Total Market Size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$72.6B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 (2026, IBISWorld).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Clinic Segmentation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: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Small Animal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: 40,544 clinics (70% of 57,920).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pt-PT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pt-PT"/>
        </w:rPr>
        <w:t>Equine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: 5,792 clinics (10%).</w:t>
      </w:r>
    </w:p>
    <w:p>
      <w:pPr>
        <w:pStyle w:val="Default"/>
        <w:numPr>
          <w:ilvl w:val="1"/>
          <w:numId w:val="4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Mixed/Exotic/Wildlife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: 11,584 clinics (20%).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4.2 Unmet Needs by Segment</w:t>
      </w:r>
    </w:p>
    <w:tbl>
      <w:tblPr>
        <w:tblW w:w="9504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53"/>
        <w:gridCol w:w="2651"/>
        <w:gridCol w:w="3168"/>
        <w:gridCol w:w="1832"/>
      </w:tblGrid>
      <w:tr>
        <w:tblPrEx>
          <w:shd w:val="clear" w:color="auto" w:fill="cad1d7"/>
        </w:tblPrEx>
        <w:trPr>
          <w:trHeight w:val="600" w:hRule="atLeast"/>
        </w:trPr>
        <w:tc>
          <w:tcPr>
            <w:tcW w:type="dxa" w:w="18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Segment</w:t>
            </w:r>
          </w:p>
        </w:tc>
        <w:tc>
          <w:tcPr>
            <w:tcW w:type="dxa" w:w="26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Current Transfusion Capability</w:t>
            </w:r>
          </w:p>
        </w:tc>
        <w:tc>
          <w:tcPr>
            <w:tcW w:type="dxa" w:w="31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BHOC Opportunity</w:t>
            </w:r>
          </w:p>
        </w:tc>
        <w:tc>
          <w:tcPr>
            <w:tcW w:type="dxa" w:w="18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Revenue Potential</w:t>
            </w:r>
          </w:p>
        </w:tc>
      </w:tr>
      <w:tr>
        <w:tblPrEx>
          <w:shd w:val="clear" w:color="auto" w:fill="cad1d7"/>
        </w:tblPrEx>
        <w:trPr>
          <w:trHeight w:val="600" w:hRule="atLeast"/>
        </w:trPr>
        <w:tc>
          <w:tcPr>
            <w:tcW w:type="dxa" w:w="18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Small Animal</w:t>
            </w:r>
          </w:p>
        </w:tc>
        <w:tc>
          <w:tcPr>
            <w:tcW w:type="dxa" w:w="26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30% can transfuse</w:t>
            </w:r>
          </w:p>
        </w:tc>
        <w:tc>
          <w:tcPr>
            <w:tcW w:type="dxa" w:w="31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Convert 70% of referred cases to in-house</w:t>
            </w:r>
          </w:p>
        </w:tc>
        <w:tc>
          <w:tcPr>
            <w:tcW w:type="dxa" w:w="18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$5B</w:t>
            </w:r>
            <w:r>
              <w:rPr>
                <w:rStyle w:val="None"/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10B/year</w:t>
            </w:r>
          </w:p>
        </w:tc>
      </w:tr>
      <w:tr>
        <w:tblPrEx>
          <w:shd w:val="clear" w:color="auto" w:fill="cad1d7"/>
        </w:tblPrEx>
        <w:trPr>
          <w:trHeight w:val="600" w:hRule="atLeast"/>
        </w:trPr>
        <w:tc>
          <w:tcPr>
            <w:tcW w:type="dxa" w:w="18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Equine</w:t>
            </w:r>
          </w:p>
        </w:tc>
        <w:tc>
          <w:tcPr>
            <w:tcW w:type="dxa" w:w="26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20% have donor access</w:t>
            </w:r>
          </w:p>
        </w:tc>
        <w:tc>
          <w:tcPr>
            <w:tcW w:type="dxa" w:w="31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Immediate oxygenation for 80% of practices</w:t>
            </w:r>
          </w:p>
        </w:tc>
        <w:tc>
          <w:tcPr>
            <w:tcW w:type="dxa" w:w="18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$1B</w:t>
            </w:r>
            <w:r>
              <w:rPr>
                <w:rStyle w:val="None"/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2B/year</w:t>
            </w:r>
          </w:p>
        </w:tc>
      </w:tr>
      <w:tr>
        <w:tblPrEx>
          <w:shd w:val="clear" w:color="auto" w:fill="cad1d7"/>
        </w:tblPrEx>
        <w:trPr>
          <w:trHeight w:val="600" w:hRule="atLeast"/>
        </w:trPr>
        <w:tc>
          <w:tcPr>
            <w:tcW w:type="dxa" w:w="18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Mixed/Exotic/Wildlife</w:t>
            </w:r>
          </w:p>
        </w:tc>
        <w:tc>
          <w:tcPr>
            <w:tcW w:type="dxa" w:w="26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&lt;10% have species-specific blood</w:t>
            </w:r>
          </w:p>
        </w:tc>
        <w:tc>
          <w:tcPr>
            <w:tcW w:type="dxa" w:w="31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Universal platform for 90% of practices</w:t>
            </w:r>
          </w:p>
        </w:tc>
        <w:tc>
          <w:tcPr>
            <w:tcW w:type="dxa" w:w="18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$2B</w:t>
            </w:r>
            <w:r>
              <w:rPr>
                <w:rStyle w:val="None"/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4B/year</w:t>
            </w:r>
          </w:p>
        </w:tc>
      </w:tr>
    </w:tbl>
    <w:p>
      <w:pPr>
        <w:pStyle w:val="Default"/>
        <w:widowControl w:val="0"/>
        <w:suppressAutoHyphens w:val="1"/>
        <w:spacing w:before="80" w:after="80" w:line="240" w:lineRule="auto"/>
        <w:ind w:left="216" w:hanging="216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</w:p>
    <w:p>
      <w:pPr>
        <w:pStyle w:val="Default"/>
        <w:widowControl w:val="0"/>
        <w:suppressAutoHyphens w:val="1"/>
        <w:spacing w:before="80" w:after="80" w:line="240" w:lineRule="auto"/>
        <w:ind w:left="108" w:hanging="108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14:textFill>
            <w14:solidFill>
              <w14:srgbClr w14:val="535353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de-DE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de-DE"/>
          <w14:textFill>
            <w14:solidFill>
              <w14:srgbClr w14:val="535353"/>
            </w14:solidFill>
          </w14:textFill>
        </w:rPr>
        <w:t>4.3 Population Data</w:t>
      </w:r>
    </w:p>
    <w:tbl>
      <w:tblPr>
        <w:tblW w:w="9552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184"/>
        <w:gridCol w:w="4162"/>
        <w:gridCol w:w="2206"/>
      </w:tblGrid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1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Species</w:t>
            </w:r>
          </w:p>
        </w:tc>
        <w:tc>
          <w:tcPr>
            <w:tcW w:type="dxa" w:w="41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US Population (2025</w:t>
            </w:r>
            <w:r>
              <w:rPr>
                <w:rStyle w:val="None"/>
                <w:rFonts w:ascii="Times Roman" w:hAnsi="Times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2026)</w:t>
            </w:r>
          </w:p>
        </w:tc>
        <w:tc>
          <w:tcPr>
            <w:tcW w:type="dxa" w:w="22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Growth Trend</w:t>
            </w:r>
          </w:p>
        </w:tc>
      </w:tr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1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Dogs</w:t>
            </w:r>
          </w:p>
        </w:tc>
        <w:tc>
          <w:tcPr>
            <w:tcW w:type="dxa" w:w="41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87.3M</w:t>
            </w:r>
          </w:p>
        </w:tc>
        <w:tc>
          <w:tcPr>
            <w:tcW w:type="dxa" w:w="22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Growth Trend</w:t>
            </w:r>
          </w:p>
        </w:tc>
      </w:tr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1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Cats</w:t>
            </w:r>
          </w:p>
        </w:tc>
        <w:tc>
          <w:tcPr>
            <w:tcW w:type="dxa" w:w="41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76.3M</w:t>
            </w:r>
          </w:p>
        </w:tc>
        <w:tc>
          <w:tcPr>
            <w:tcW w:type="dxa" w:w="22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Growth Trend</w:t>
            </w:r>
          </w:p>
        </w:tc>
      </w:tr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1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Horses</w:t>
            </w:r>
          </w:p>
        </w:tc>
        <w:tc>
          <w:tcPr>
            <w:tcW w:type="dxa" w:w="41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9.2M</w:t>
            </w:r>
          </w:p>
        </w:tc>
        <w:tc>
          <w:tcPr>
            <w:tcW w:type="dxa" w:w="22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Stable</w:t>
            </w:r>
          </w:p>
        </w:tc>
      </w:tr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1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Birds</w:t>
            </w:r>
          </w:p>
        </w:tc>
        <w:tc>
          <w:tcPr>
            <w:tcW w:type="dxa" w:w="41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6M households</w:t>
            </w:r>
          </w:p>
        </w:tc>
        <w:tc>
          <w:tcPr>
            <w:tcW w:type="dxa" w:w="22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Stable</w:t>
            </w:r>
          </w:p>
        </w:tc>
      </w:tr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1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Reptiles</w:t>
            </w:r>
          </w:p>
        </w:tc>
        <w:tc>
          <w:tcPr>
            <w:tcW w:type="dxa" w:w="41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6M households</w:t>
            </w:r>
          </w:p>
        </w:tc>
        <w:tc>
          <w:tcPr>
            <w:tcW w:type="dxa" w:w="22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Stable</w:t>
            </w:r>
          </w:p>
        </w:tc>
      </w:tr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1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Small Mammals</w:t>
            </w:r>
          </w:p>
        </w:tc>
        <w:tc>
          <w:tcPr>
            <w:tcW w:type="dxa" w:w="41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6</w:t>
            </w:r>
            <w:r>
              <w:rPr>
                <w:rStyle w:val="None"/>
                <w:rFonts w:ascii="Times Roman" w:hAnsi="Times Roman" w:hint="default"/>
                <w:sz w:val="28"/>
                <w:szCs w:val="28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7M households</w:t>
            </w:r>
          </w:p>
        </w:tc>
        <w:tc>
          <w:tcPr>
            <w:tcW w:type="dxa" w:w="22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Slight decline</w:t>
            </w:r>
          </w:p>
        </w:tc>
      </w:tr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1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Backyard Chickens</w:t>
            </w:r>
          </w:p>
        </w:tc>
        <w:tc>
          <w:tcPr>
            <w:tcW w:type="dxa" w:w="41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11M households (8M as pets)</w:t>
            </w:r>
          </w:p>
        </w:tc>
        <w:tc>
          <w:tcPr>
            <w:tcW w:type="dxa" w:w="22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Growing</w:t>
            </w:r>
          </w:p>
        </w:tc>
      </w:tr>
    </w:tbl>
    <w:p>
      <w:pPr>
        <w:pStyle w:val="Default"/>
        <w:widowControl w:val="0"/>
        <w:suppressAutoHyphens w:val="1"/>
        <w:spacing w:before="80" w:after="80" w:line="240" w:lineRule="auto"/>
        <w:ind w:left="216" w:hanging="216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de-DE"/>
          <w14:textFill>
            <w14:solidFill>
              <w14:srgbClr w14:val="535353"/>
            </w14:solidFill>
          </w14:textFill>
        </w:rPr>
      </w:pPr>
    </w:p>
    <w:p>
      <w:pPr>
        <w:pStyle w:val="Default"/>
        <w:widowControl w:val="0"/>
        <w:suppressAutoHyphens w:val="1"/>
        <w:spacing w:before="80" w:after="80" w:line="240" w:lineRule="auto"/>
        <w:ind w:left="108" w:hanging="108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de-DE"/>
          <w14:textFill>
            <w14:solidFill>
              <w14:srgbClr w14:val="535353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14:textFill>
            <w14:solidFill>
              <w14:srgbClr w14:val="535353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4.4 Wildlife and Niche Markets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Wildlife Rehabilitation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200,000+ cases/year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in North America (no donor blood available).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Zoos/Aquariums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: Critical need for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room-temperature-stable, universal oxygenation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Travel/Relocation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: Geographic donor blood type mismatches create demand for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emergency oxygen bridges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4"/>
          <w:szCs w:val="34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4"/>
          <w:szCs w:val="34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4"/>
          <w:szCs w:val="34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4"/>
          <w:szCs w:val="34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4"/>
          <w:szCs w:val="34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4"/>
          <w:szCs w:val="34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4"/>
          <w:szCs w:val="34"/>
          <w:lang w:val="en-US"/>
        </w:rPr>
      </w:pPr>
      <w:r>
        <w:rPr>
          <w:rStyle w:val="None"/>
          <w:rFonts w:ascii="Times Roman" w:hAnsi="Times Roman"/>
          <w:b w:val="1"/>
          <w:bCs w:val="1"/>
          <w:sz w:val="34"/>
          <w:szCs w:val="34"/>
          <w:rtl w:val="0"/>
          <w:lang w:val="en-US"/>
        </w:rPr>
        <w:t>5. Product Architecture and Delivery Systems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de-DE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de-DE"/>
          <w14:textFill>
            <w14:solidFill>
              <w14:srgbClr w14:val="535353"/>
            </w14:solidFill>
          </w14:textFill>
        </w:rPr>
        <w:t>5.1 Product Formulations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BHOC will be offered in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three dose packages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to accommodate diverse species and possibly multi-dose use cases:</w:t>
      </w:r>
    </w:p>
    <w:tbl>
      <w:tblPr>
        <w:tblW w:w="9632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616"/>
        <w:gridCol w:w="1327"/>
        <w:gridCol w:w="3275"/>
        <w:gridCol w:w="3414"/>
      </w:tblGrid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1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Pack</w:t>
            </w:r>
          </w:p>
        </w:tc>
        <w:tc>
          <w:tcPr>
            <w:tcW w:type="dxa" w:w="13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Volume</w:t>
            </w:r>
          </w:p>
        </w:tc>
        <w:tc>
          <w:tcPr>
            <w:tcW w:type="dxa" w:w="32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Primary Use Case</w:t>
            </w:r>
          </w:p>
        </w:tc>
        <w:tc>
          <w:tcPr>
            <w:tcW w:type="dxa" w:w="34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Target Species</w:t>
            </w:r>
          </w:p>
        </w:tc>
      </w:tr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1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BHOC-20</w:t>
            </w:r>
          </w:p>
        </w:tc>
        <w:tc>
          <w:tcPr>
            <w:tcW w:type="dxa" w:w="13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20 mL</w:t>
            </w:r>
          </w:p>
        </w:tc>
        <w:tc>
          <w:tcPr>
            <w:tcW w:type="dxa" w:w="32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Feline/exotic/small canine</w:t>
            </w:r>
          </w:p>
        </w:tc>
        <w:tc>
          <w:tcPr>
            <w:tcW w:type="dxa" w:w="34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Cats, rabbits, birds, reptiles</w:t>
            </w:r>
          </w:p>
        </w:tc>
      </w:tr>
      <w:tr>
        <w:tblPrEx>
          <w:shd w:val="clear" w:color="auto" w:fill="cad1d7"/>
        </w:tblPrEx>
        <w:trPr>
          <w:trHeight w:val="600" w:hRule="atLeast"/>
        </w:trPr>
        <w:tc>
          <w:tcPr>
            <w:tcW w:type="dxa" w:w="1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BHOC-80</w:t>
            </w:r>
          </w:p>
        </w:tc>
        <w:tc>
          <w:tcPr>
            <w:tcW w:type="dxa" w:w="13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80 mL</w:t>
            </w:r>
          </w:p>
        </w:tc>
        <w:tc>
          <w:tcPr>
            <w:tcW w:type="dxa" w:w="32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Small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medium canine/ICU support</w:t>
            </w:r>
          </w:p>
        </w:tc>
        <w:tc>
          <w:tcPr>
            <w:tcW w:type="dxa" w:w="34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Dogs (10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30 kg), foals</w:t>
            </w:r>
          </w:p>
        </w:tc>
      </w:tr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1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BHOC-200</w:t>
            </w:r>
          </w:p>
        </w:tc>
        <w:tc>
          <w:tcPr>
            <w:tcW w:type="dxa" w:w="13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200 mL</w:t>
            </w:r>
          </w:p>
        </w:tc>
        <w:tc>
          <w:tcPr>
            <w:tcW w:type="dxa" w:w="32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Medium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large canine/surgical</w:t>
            </w:r>
          </w:p>
        </w:tc>
        <w:tc>
          <w:tcPr>
            <w:tcW w:type="dxa" w:w="34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Dogs (30+ kg), horses</w:t>
            </w:r>
          </w:p>
        </w:tc>
      </w:tr>
    </w:tbl>
    <w:p>
      <w:pPr>
        <w:pStyle w:val="Default"/>
        <w:widowControl w:val="0"/>
        <w:suppressAutoHyphens w:val="1"/>
        <w:spacing w:before="80" w:after="80" w:line="240" w:lineRule="auto"/>
        <w:ind w:left="216" w:hanging="216"/>
        <w:rPr>
          <w:rStyle w:val="None"/>
          <w:rFonts w:ascii="Times Roman" w:cs="Times Roman" w:hAnsi="Times Roman" w:eastAsia="Times Roman"/>
          <w:sz w:val="30"/>
          <w:szCs w:val="30"/>
          <w:lang w:val="en-US"/>
        </w:rPr>
      </w:pPr>
    </w:p>
    <w:p>
      <w:pPr>
        <w:pStyle w:val="Default"/>
        <w:widowControl w:val="0"/>
        <w:suppressAutoHyphens w:val="1"/>
        <w:spacing w:before="80" w:after="80"/>
        <w:ind w:left="108" w:hanging="108"/>
        <w:rPr>
          <w:rStyle w:val="None"/>
          <w:rFonts w:ascii="Times Roman" w:cs="Times Roman" w:hAnsi="Times Roman" w:eastAsia="Times Roman"/>
          <w:sz w:val="30"/>
          <w:szCs w:val="30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/>
        <w:rPr>
          <w:rStyle w:val="None"/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/>
        <w:rPr>
          <w:rStyle w:val="None"/>
          <w:rFonts w:ascii="Times Roman" w:cs="Times Roman" w:hAnsi="Times Roman" w:eastAsia="Times Roman"/>
          <w:i w:val="1"/>
          <w:iCs w:val="1"/>
          <w:outline w:val="0"/>
          <w:color w:val="535353"/>
          <w:sz w:val="30"/>
          <w:szCs w:val="30"/>
          <w:u w:color="535353"/>
          <w14:textFill>
            <w14:solidFill>
              <w14:srgbClr w14:val="535353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0"/>
          <w:szCs w:val="30"/>
          <w:u w:color="535353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0"/>
          <w:szCs w:val="3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5.2 </w:t>
      </w: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0"/>
          <w:szCs w:val="30"/>
          <w:u w:color="535353"/>
          <w:rtl w:val="0"/>
          <w:lang w:val="ru-RU"/>
          <w14:textFill>
            <w14:solidFill>
              <w14:srgbClr w14:val="535353"/>
            </w14:solidFill>
          </w14:textFill>
        </w:rPr>
        <w:t xml:space="preserve">BHOC is not only a product </w:t>
      </w: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0"/>
          <w:szCs w:val="3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-</w:t>
      </w: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0"/>
          <w:szCs w:val="30"/>
          <w:u w:color="535353"/>
          <w:rtl w:val="0"/>
          <w:lang w:val="ru-RU"/>
          <w14:textFill>
            <w14:solidFill>
              <w14:srgbClr w14:val="535353"/>
            </w14:solidFill>
          </w14:textFill>
        </w:rPr>
        <w:t xml:space="preserve"> it is a guided administration system.</w:t>
      </w: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0"/>
          <w:szCs w:val="3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 And in future our web &amp; app application 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 Product batch 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 unit will be supported by a dedicated administration device 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, each product will be have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 unique QR code, helping prevent incorrect use, wrong protocols, or treating BHOC as an ordinary blood transfusion.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 Increase traceability   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  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This is not traditional transfusion practice.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BHOC requires controlled administration:</w:t>
      </w:r>
      <w:r>
        <w:rPr>
          <w:rStyle w:val="None"/>
          <w:rFonts w:ascii="Times Roman" w:cs="Times Roman" w:hAnsi="Times Roman" w:eastAsia="Times Roman"/>
          <w:sz w:val="30"/>
          <w:szCs w:val="30"/>
          <w:rtl w:val="0"/>
          <w:lang w:val="ru-RU"/>
        </w:rPr>
        <w:br w:type="textWrapping"/>
        <w:t xml:space="preserve">• 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smaller access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, smaller needle </w:t>
      </w:r>
      <w:r>
        <w:rPr>
          <w:rStyle w:val="None"/>
          <w:rFonts w:ascii="Times Roman" w:cs="Times Roman" w:hAnsi="Times Roman" w:eastAsia="Times Roman"/>
          <w:sz w:val="30"/>
          <w:szCs w:val="30"/>
          <w:rtl w:val="0"/>
          <w:lang w:val="ru-RU"/>
        </w:rPr>
        <w:br w:type="textWrapping"/>
        <w:t xml:space="preserve">• 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controlled speed</w:t>
      </w:r>
      <w:r>
        <w:rPr>
          <w:rStyle w:val="None"/>
          <w:rFonts w:ascii="Times Roman" w:cs="Times Roman" w:hAnsi="Times Roman" w:eastAsia="Times Roman"/>
          <w:sz w:val="30"/>
          <w:szCs w:val="30"/>
          <w:rtl w:val="0"/>
          <w:lang w:val="ru-RU"/>
        </w:rPr>
        <w:br w:type="textWrapping"/>
        <w:t xml:space="preserve">• 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controlled volume</w:t>
      </w:r>
      <w:r>
        <w:rPr>
          <w:rStyle w:val="None"/>
          <w:rFonts w:ascii="Times Roman" w:cs="Times Roman" w:hAnsi="Times Roman" w:eastAsia="Times Roman"/>
          <w:sz w:val="30"/>
          <w:szCs w:val="30"/>
          <w:rtl w:val="0"/>
          <w:lang w:val="ru-RU"/>
        </w:rPr>
        <w:br w:type="textWrapping"/>
        <w:t xml:space="preserve">• 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application-specific protocols</w:t>
      </w:r>
      <w:r>
        <w:rPr>
          <w:rStyle w:val="None"/>
          <w:rFonts w:ascii="Times Roman" w:cs="Times Roman" w:hAnsi="Times Roman" w:eastAsia="Times Roman"/>
          <w:sz w:val="30"/>
          <w:szCs w:val="30"/>
          <w:rtl w:val="0"/>
          <w:lang w:val="ru-RU"/>
        </w:rPr>
        <w:br w:type="textWrapping"/>
        <w:t xml:space="preserve">• 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traceable product use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  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Our goal is to support veterinarians through the full treatment journey 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-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 from emergency use to recovery support 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-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 with clear guidance for each clinical application.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  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An additional advantage: when veterinarians voluntarily share treatment information and give permission for public use of anonymized clinical experience, they may participate in a special complimentary bonus system, including the option to receive selected product units free of charge.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 xml:space="preserve">  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This creates a smarter ecosystem:</w:t>
      </w:r>
      <w:r>
        <w:rPr>
          <w:rStyle w:val="None"/>
          <w:rFonts w:ascii="Times Roman" w:cs="Times Roman" w:hAnsi="Times Roman" w:eastAsia="Times Roman"/>
          <w:sz w:val="30"/>
          <w:szCs w:val="30"/>
          <w:lang w:val="ru-RU"/>
        </w:rPr>
        <w:br w:type="textWrapping"/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better protocols, better clinical learning, stronger veterinary adoption, and more real-world evidence.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Arial Unicode MS" w:cs="Arial Unicode MS" w:hAnsi="Arial Unicode MS" w:eastAsia="Arial Unicode MS"/>
          <w:sz w:val="30"/>
          <w:szCs w:val="30"/>
          <w:lang w:val="en-US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5.3 Pricing and Margin Structure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Pricing Philosophy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: BHOC should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not be priced per mL like blood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(traditional blood: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$0.50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1.00/mL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). Instead, it is priced for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total procedure value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, eliminating: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28"/>
          <w:szCs w:val="28"/>
          <w:rtl w:val="0"/>
          <w:lang w:val="en-US"/>
        </w:rPr>
      </w:pPr>
      <w:r>
        <w:rPr>
          <w:rStyle w:val="None"/>
          <w:rFonts w:ascii="Times Roman" w:hAnsi="Times Roman"/>
          <w:sz w:val="28"/>
          <w:szCs w:val="28"/>
          <w:rtl w:val="0"/>
          <w:lang w:val="en-US"/>
        </w:rPr>
        <w:t>Donor dependency.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28"/>
          <w:szCs w:val="28"/>
          <w:rtl w:val="0"/>
          <w:lang w:val="en-US"/>
        </w:rPr>
      </w:pPr>
      <w:r>
        <w:rPr>
          <w:rStyle w:val="None"/>
          <w:rFonts w:ascii="Times Roman" w:hAnsi="Times Roman"/>
          <w:sz w:val="28"/>
          <w:szCs w:val="28"/>
          <w:rtl w:val="0"/>
          <w:lang w:val="en-US"/>
        </w:rPr>
        <w:t>Crossmatching costs (</w:t>
      </w:r>
      <w:r>
        <w:rPr>
          <w:rStyle w:val="None"/>
          <w:rFonts w:ascii="Times Roman" w:hAnsi="Times Roman"/>
          <w:b w:val="1"/>
          <w:bCs w:val="1"/>
          <w:sz w:val="28"/>
          <w:szCs w:val="28"/>
          <w:rtl w:val="0"/>
          <w:lang w:val="en-US"/>
        </w:rPr>
        <w:t>$100</w:t>
      </w:r>
      <w:r>
        <w:rPr>
          <w:rStyle w:val="None"/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28"/>
          <w:szCs w:val="28"/>
          <w:rtl w:val="0"/>
          <w:lang w:val="en-US"/>
        </w:rPr>
        <w:t>300/case</w:t>
      </w:r>
      <w:r>
        <w:rPr>
          <w:rStyle w:val="None"/>
          <w:rFonts w:ascii="Times Roman" w:hAnsi="Times Roman"/>
          <w:sz w:val="28"/>
          <w:szCs w:val="28"/>
          <w:rtl w:val="0"/>
          <w:lang w:val="ru-RU"/>
        </w:rPr>
        <w:t>).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28"/>
          <w:szCs w:val="28"/>
          <w:rtl w:val="0"/>
          <w:lang w:val="en-US"/>
        </w:rPr>
      </w:pPr>
      <w:r>
        <w:rPr>
          <w:rStyle w:val="None"/>
          <w:rFonts w:ascii="Times Roman" w:hAnsi="Times Roman"/>
          <w:sz w:val="28"/>
          <w:szCs w:val="28"/>
          <w:rtl w:val="0"/>
          <w:lang w:val="en-US"/>
        </w:rPr>
        <w:t>Storage/refrigeration (</w:t>
      </w:r>
      <w:r>
        <w:rPr>
          <w:rStyle w:val="None"/>
          <w:rFonts w:ascii="Times Roman" w:hAnsi="Times Roman"/>
          <w:b w:val="1"/>
          <w:bCs w:val="1"/>
          <w:sz w:val="28"/>
          <w:szCs w:val="28"/>
          <w:rtl w:val="0"/>
          <w:lang w:val="en-US"/>
        </w:rPr>
        <w:t>$1,000</w:t>
      </w:r>
      <w:r>
        <w:rPr>
          <w:rStyle w:val="None"/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28"/>
          <w:szCs w:val="28"/>
          <w:rtl w:val="0"/>
          <w:lang w:val="en-US"/>
        </w:rPr>
        <w:t>5,000/year</w:t>
      </w:r>
      <w:r>
        <w:rPr>
          <w:rStyle w:val="None"/>
          <w:rFonts w:ascii="Times Roman" w:hAnsi="Times Roman"/>
          <w:sz w:val="28"/>
          <w:szCs w:val="28"/>
          <w:rtl w:val="0"/>
          <w:lang w:val="ru-RU"/>
        </w:rPr>
        <w:t>).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28"/>
          <w:szCs w:val="28"/>
          <w:rtl w:val="0"/>
          <w:lang w:val="da-DK"/>
        </w:rPr>
      </w:pPr>
      <w:r>
        <w:rPr>
          <w:rStyle w:val="None"/>
          <w:rFonts w:ascii="Times Roman" w:hAnsi="Times Roman"/>
          <w:sz w:val="28"/>
          <w:szCs w:val="28"/>
          <w:rtl w:val="0"/>
          <w:lang w:val="da-DK"/>
        </w:rPr>
        <w:t>Wastage (</w:t>
      </w:r>
      <w:r>
        <w:rPr>
          <w:rStyle w:val="None"/>
          <w:rFonts w:ascii="Times Roman" w:hAnsi="Times Roman"/>
          <w:b w:val="1"/>
          <w:bCs w:val="1"/>
          <w:sz w:val="28"/>
          <w:szCs w:val="28"/>
          <w:rtl w:val="0"/>
          <w:lang w:val="ru-RU"/>
        </w:rPr>
        <w:t>10</w:t>
      </w:r>
      <w:r>
        <w:rPr>
          <w:rStyle w:val="None"/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28"/>
          <w:szCs w:val="28"/>
          <w:rtl w:val="0"/>
          <w:lang w:val="en-US"/>
        </w:rPr>
        <w:t>20% for blood vs. &lt;2% for BHOC</w:t>
      </w:r>
      <w:r>
        <w:rPr>
          <w:rStyle w:val="None"/>
          <w:rFonts w:ascii="Times Roman" w:hAnsi="Times Roman"/>
          <w:sz w:val="28"/>
          <w:szCs w:val="28"/>
          <w:rtl w:val="0"/>
          <w:lang w:val="ru-RU"/>
        </w:rPr>
        <w:t>).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28"/>
          <w:szCs w:val="28"/>
          <w:rtl w:val="0"/>
          <w:lang w:val="en-US"/>
        </w:rPr>
      </w:pPr>
      <w:r>
        <w:rPr>
          <w:rStyle w:val="None"/>
          <w:rFonts w:ascii="Times Roman" w:hAnsi="Times Roman"/>
          <w:sz w:val="28"/>
          <w:szCs w:val="28"/>
          <w:rtl w:val="0"/>
          <w:lang w:val="en-US"/>
        </w:rPr>
        <w:t>Emergency delays (</w:t>
      </w:r>
      <w:r>
        <w:rPr>
          <w:rStyle w:val="None"/>
          <w:rFonts w:ascii="Times Roman" w:hAnsi="Times Roman"/>
          <w:b w:val="1"/>
          <w:bCs w:val="1"/>
          <w:sz w:val="28"/>
          <w:szCs w:val="28"/>
          <w:rtl w:val="0"/>
          <w:lang w:val="ru-RU"/>
        </w:rPr>
        <w:t>1</w:t>
      </w:r>
      <w:r>
        <w:rPr>
          <w:rStyle w:val="None"/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28"/>
          <w:szCs w:val="28"/>
          <w:rtl w:val="0"/>
          <w:lang w:val="en-US"/>
        </w:rPr>
        <w:t>4 hours for blood vs. &lt;5 minutes for BHOC</w:t>
      </w:r>
      <w:r>
        <w:rPr>
          <w:rStyle w:val="None"/>
          <w:rFonts w:ascii="Times Roman" w:hAnsi="Times Roman"/>
          <w:sz w:val="28"/>
          <w:szCs w:val="28"/>
          <w:rtl w:val="0"/>
          <w:lang w:val="ru-RU"/>
        </w:rPr>
        <w:t>).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Margin Target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40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nl-NL"/>
        </w:rPr>
        <w:t>60% net margin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after accounting for staffing, monitoring, and operational overhead.</w:t>
      </w:r>
    </w:p>
    <w:p>
      <w:pPr>
        <w:pStyle w:val="Default"/>
        <w:numPr>
          <w:ilvl w:val="0"/>
          <w:numId w:val="4"/>
        </w:numPr>
        <w:suppressAutoHyphens w:val="1"/>
        <w:spacing w:before="80" w:after="8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b w:val="1"/>
          <w:bCs w:val="1"/>
          <w:sz w:val="34"/>
          <w:szCs w:val="34"/>
          <w:lang w:val="en-US"/>
        </w:rPr>
      </w:pPr>
      <w:r>
        <w:rPr>
          <w:rStyle w:val="None"/>
          <w:rFonts w:ascii="Times Roman" w:hAnsi="Times Roman"/>
          <w:b w:val="1"/>
          <w:bCs w:val="1"/>
          <w:sz w:val="34"/>
          <w:szCs w:val="34"/>
          <w:rtl w:val="0"/>
          <w:lang w:val="en-US"/>
        </w:rPr>
        <w:t>6. New Medical Procedures Enabled by BHOC</w:t>
      </w: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sz w:val="30"/>
          <w:szCs w:val="30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s-ES_tradnl"/>
        </w:rPr>
        <w:t>BHOC enables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 xml:space="preserve"> 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creating new revenue streams beyond emergency care.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it-IT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it-IT"/>
          <w14:textFill>
            <w14:solidFill>
              <w14:srgbClr w14:val="535353"/>
            </w14:solidFill>
          </w14:textFill>
        </w:rPr>
        <w:t>6.1 Procedure Menu</w:t>
      </w:r>
    </w:p>
    <w:tbl>
      <w:tblPr>
        <w:tblW w:w="9612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747"/>
        <w:gridCol w:w="2526"/>
        <w:gridCol w:w="2866"/>
        <w:gridCol w:w="1473"/>
      </w:tblGrid>
      <w:tr>
        <w:tblPrEx>
          <w:shd w:val="clear" w:color="auto" w:fill="cad1d7"/>
        </w:tblPrEx>
        <w:trPr>
          <w:trHeight w:val="360" w:hRule="atLeast"/>
        </w:trPr>
        <w:tc>
          <w:tcPr>
            <w:tcW w:type="dxa" w:w="274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Procedure</w:t>
            </w:r>
          </w:p>
        </w:tc>
        <w:tc>
          <w:tcPr>
            <w:tcW w:type="dxa" w:w="2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Indications</w:t>
            </w:r>
          </w:p>
        </w:tc>
        <w:tc>
          <w:tcPr>
            <w:tcW w:type="dxa" w:w="2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Mechanism</w:t>
            </w:r>
          </w:p>
        </w:tc>
        <w:tc>
          <w:tcPr>
            <w:tcW w:type="dxa" w:w="1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Price Range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274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Oxygen Rescue (Feline/Exotic)</w:t>
            </w:r>
          </w:p>
        </w:tc>
        <w:tc>
          <w:tcPr>
            <w:tcW w:type="dxa" w:w="2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Anemia, trauma, surgical bleeding</w:t>
            </w:r>
          </w:p>
        </w:tc>
        <w:tc>
          <w:tcPr>
            <w:tcW w:type="dxa" w:w="2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Immediate microvascular oxygenation</w:t>
            </w:r>
          </w:p>
        </w:tc>
        <w:tc>
          <w:tcPr>
            <w:tcW w:type="dxa" w:w="1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$600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1,200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274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Oxygen Rescue (Canine)</w:t>
            </w:r>
          </w:p>
        </w:tc>
        <w:tc>
          <w:tcPr>
            <w:tcW w:type="dxa" w:w="2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Anemia, trauma, IMHA, parvovirus</w:t>
            </w:r>
          </w:p>
        </w:tc>
        <w:tc>
          <w:tcPr>
            <w:tcW w:type="dxa" w:w="2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Immediate microvascular oxygenation</w:t>
            </w:r>
          </w:p>
        </w:tc>
        <w:tc>
          <w:tcPr>
            <w:tcW w:type="dxa" w:w="1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$900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1,800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274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Surgical Oxygen Support</w:t>
            </w:r>
          </w:p>
        </w:tc>
        <w:tc>
          <w:tcPr>
            <w:tcW w:type="dxa" w:w="2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Preoperative, high-risk surgeries</w:t>
            </w:r>
          </w:p>
        </w:tc>
        <w:tc>
          <w:tcPr>
            <w:tcW w:type="dxa" w:w="2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Reduces oxygen debt</w:t>
            </w:r>
          </w:p>
        </w:tc>
        <w:tc>
          <w:tcPr>
            <w:tcW w:type="dxa" w:w="1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$700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1,500 (add-on)</w:t>
            </w:r>
          </w:p>
        </w:tc>
      </w:tr>
      <w:tr>
        <w:tblPrEx>
          <w:shd w:val="clear" w:color="auto" w:fill="cad1d7"/>
        </w:tblPrEx>
        <w:trPr>
          <w:trHeight w:val="880" w:hRule="atLeast"/>
        </w:trPr>
        <w:tc>
          <w:tcPr>
            <w:tcW w:type="dxa" w:w="274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Equine Emergency Oxygenation</w:t>
            </w:r>
          </w:p>
        </w:tc>
        <w:tc>
          <w:tcPr>
            <w:tcW w:type="dxa" w:w="2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Colic, foal maladjustment, transport</w:t>
            </w:r>
          </w:p>
        </w:tc>
        <w:tc>
          <w:tcPr>
            <w:tcW w:type="dxa" w:w="2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Field-ready, no cold chain</w:t>
            </w:r>
          </w:p>
        </w:tc>
        <w:tc>
          <w:tcPr>
            <w:tcW w:type="dxa" w:w="1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$2,500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5,000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274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Recovery Optimization</w:t>
            </w:r>
          </w:p>
        </w:tc>
        <w:tc>
          <w:tcPr>
            <w:tcW w:type="dxa" w:w="2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Post-surgical, trauma, orthopedic repair</w:t>
            </w:r>
          </w:p>
        </w:tc>
        <w:tc>
          <w:tcPr>
            <w:tcW w:type="dxa" w:w="2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Enhanced tissue oxygenation</w:t>
            </w:r>
          </w:p>
        </w:tc>
        <w:tc>
          <w:tcPr>
            <w:tcW w:type="dxa" w:w="1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$300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800/session</w:t>
            </w:r>
          </w:p>
        </w:tc>
      </w:tr>
      <w:tr>
        <w:tblPrEx>
          <w:shd w:val="clear" w:color="auto" w:fill="cad1d7"/>
        </w:tblPrEx>
        <w:trPr>
          <w:trHeight w:val="629" w:hRule="atLeast"/>
        </w:trPr>
        <w:tc>
          <w:tcPr>
            <w:tcW w:type="dxa" w:w="274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Anti-Cancer Support</w:t>
            </w:r>
          </w:p>
        </w:tc>
        <w:tc>
          <w:tcPr>
            <w:tcW w:type="dxa" w:w="2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Chemotherapy fatigue, tumor hypoxia</w:t>
            </w:r>
          </w:p>
        </w:tc>
        <w:tc>
          <w:tcPr>
            <w:tcW w:type="dxa" w:w="2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Improves O</w:t>
            </w:r>
            <w:r>
              <w:rPr>
                <w:rStyle w:val="None"/>
                <w:rFonts w:ascii="Arial Unicode MS" w:hAnsi="Arial Unicode MS" w:hint="default"/>
                <w:shd w:val="nil" w:color="auto" w:fill="auto"/>
                <w:rtl w:val="0"/>
                <w:lang w:val="en-US"/>
              </w:rPr>
              <w:t>₂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 xml:space="preserve"> delivery to healthy tissues</w:t>
            </w:r>
          </w:p>
        </w:tc>
        <w:tc>
          <w:tcPr>
            <w:tcW w:type="dxa" w:w="1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$400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1,000/session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274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Longevity &amp; Vitality Plan</w:t>
            </w:r>
          </w:p>
        </w:tc>
        <w:tc>
          <w:tcPr>
            <w:tcW w:type="dxa" w:w="2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Senior pets, cognitive decline</w:t>
            </w:r>
          </w:p>
        </w:tc>
        <w:tc>
          <w:tcPr>
            <w:tcW w:type="dxa" w:w="2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Restores oxidative metabolism</w:t>
            </w:r>
          </w:p>
        </w:tc>
        <w:tc>
          <w:tcPr>
            <w:tcW w:type="dxa" w:w="1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$1,200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3,000/year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274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Sports Recovery &amp; Performance</w:t>
            </w:r>
          </w:p>
        </w:tc>
        <w:tc>
          <w:tcPr>
            <w:tcW w:type="dxa" w:w="2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Racing, endurance, show animals</w:t>
            </w:r>
          </w:p>
        </w:tc>
        <w:tc>
          <w:tcPr>
            <w:tcW w:type="dxa" w:w="2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Muscle recovery, metabolic stress reduction</w:t>
            </w:r>
          </w:p>
        </w:tc>
        <w:tc>
          <w:tcPr>
            <w:tcW w:type="dxa" w:w="1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$400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4,000/session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274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Iron Supplement Infusion</w:t>
            </w:r>
          </w:p>
        </w:tc>
        <w:tc>
          <w:tcPr>
            <w:tcW w:type="dxa" w:w="2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Iron-deficiency anemia, CKD</w:t>
            </w:r>
          </w:p>
        </w:tc>
        <w:tc>
          <w:tcPr>
            <w:tcW w:type="dxa" w:w="2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Bioavailable iron + oxygenation</w:t>
            </w:r>
          </w:p>
        </w:tc>
        <w:tc>
          <w:tcPr>
            <w:tcW w:type="dxa" w:w="1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$500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1,200/infusion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274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Wildlife/Zoo Emergency</w:t>
            </w:r>
          </w:p>
        </w:tc>
        <w:tc>
          <w:tcPr>
            <w:tcW w:type="dxa" w:w="2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Trauma, poisoning, injury</w:t>
            </w:r>
          </w:p>
        </w:tc>
        <w:tc>
          <w:tcPr>
            <w:tcW w:type="dxa" w:w="2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No donor blood, room-temperature stable</w:t>
            </w:r>
          </w:p>
        </w:tc>
        <w:tc>
          <w:tcPr>
            <w:tcW w:type="dxa" w:w="1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$1,500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3,000/case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274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Travel/Relocation Support</w:t>
            </w:r>
          </w:p>
        </w:tc>
        <w:tc>
          <w:tcPr>
            <w:tcW w:type="dxa" w:w="2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International transport, donor mismatches</w:t>
            </w:r>
          </w:p>
        </w:tc>
        <w:tc>
          <w:tcPr>
            <w:tcW w:type="dxa" w:w="28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Emergency oxygen bridge</w:t>
            </w:r>
          </w:p>
        </w:tc>
        <w:tc>
          <w:tcPr>
            <w:tcW w:type="dxa" w:w="14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$800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1,500/case</w:t>
            </w:r>
          </w:p>
        </w:tc>
      </w:tr>
    </w:tbl>
    <w:p>
      <w:pPr>
        <w:pStyle w:val="Default"/>
        <w:widowControl w:val="0"/>
        <w:suppressAutoHyphens w:val="1"/>
        <w:spacing w:before="80" w:after="80" w:line="240" w:lineRule="auto"/>
        <w:ind w:left="216" w:hanging="216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it-IT"/>
          <w14:textFill>
            <w14:solidFill>
              <w14:srgbClr w14:val="535353"/>
            </w14:solidFill>
          </w14:textFill>
        </w:rPr>
      </w:pPr>
    </w:p>
    <w:p>
      <w:pPr>
        <w:pStyle w:val="Default"/>
        <w:widowControl w:val="0"/>
        <w:suppressAutoHyphens w:val="1"/>
        <w:spacing w:before="80" w:after="80" w:line="240" w:lineRule="auto"/>
        <w:ind w:left="108" w:hanging="108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it-IT"/>
          <w14:textFill>
            <w14:solidFill>
              <w14:srgbClr w14:val="535353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i w:val="1"/>
          <w:iCs w:val="1"/>
          <w:sz w:val="26"/>
          <w:szCs w:val="26"/>
        </w:rPr>
      </w:pPr>
      <w:r>
        <w:rPr>
          <w:rStyle w:val="None"/>
          <w:rFonts w:ascii="Times Roman" w:hAnsi="Times Roman"/>
          <w:i w:val="1"/>
          <w:iCs w:val="1"/>
          <w:sz w:val="26"/>
          <w:szCs w:val="26"/>
          <w:rtl w:val="0"/>
          <w:lang w:val="en-US"/>
        </w:rPr>
        <w:t xml:space="preserve">*Prices are estimates based on 2026 market data. Margin on product: </w:t>
      </w:r>
      <w:r>
        <w:rPr>
          <w:rStyle w:val="None"/>
          <w:rFonts w:ascii="Times Roman" w:hAnsi="Times Roman"/>
          <w:b w:val="1"/>
          <w:bCs w:val="1"/>
          <w:i w:val="1"/>
          <w:iCs w:val="1"/>
          <w:sz w:val="26"/>
          <w:szCs w:val="26"/>
          <w:rtl w:val="0"/>
          <w:lang w:val="ru-RU"/>
        </w:rPr>
        <w:t>10</w:t>
      </w:r>
      <w:r>
        <w:rPr>
          <w:rStyle w:val="None"/>
          <w:rFonts w:ascii="Times Roman" w:hAnsi="Times Roman" w:hint="default"/>
          <w:b w:val="1"/>
          <w:bCs w:val="1"/>
          <w:i w:val="1"/>
          <w:iCs w:val="1"/>
          <w:sz w:val="26"/>
          <w:szCs w:val="26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i w:val="1"/>
          <w:iCs w:val="1"/>
          <w:sz w:val="26"/>
          <w:szCs w:val="26"/>
          <w:rtl w:val="0"/>
          <w:lang w:val="ru-RU"/>
        </w:rPr>
        <w:t>30%</w:t>
      </w:r>
      <w:r>
        <w:rPr>
          <w:rStyle w:val="None"/>
          <w:rFonts w:ascii="Times Roman" w:hAnsi="Times Roman"/>
          <w:i w:val="1"/>
          <w:iCs w:val="1"/>
          <w:sz w:val="26"/>
          <w:szCs w:val="26"/>
          <w:rtl w:val="0"/>
          <w:lang w:val="ru-RU"/>
        </w:rPr>
        <w:t>.*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outline w:val="0"/>
          <w:color w:val="535353"/>
          <w:sz w:val="30"/>
          <w:szCs w:val="30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outline w:val="0"/>
          <w:color w:val="535353"/>
          <w:sz w:val="30"/>
          <w:szCs w:val="30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6.2 Recurring Revenue Logic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Oncology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: Multiple sessions over weeks/months.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de-DE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de-DE"/>
        </w:rPr>
        <w:t>Iron Infusion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: Repeat visits every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2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4 weeks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nl-NL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nl-NL"/>
        </w:rPr>
        <w:t>Longevity &amp; Vitality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: Annual plans with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fr-FR"/>
        </w:rPr>
        <w:t>12 sessions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Sports Medicine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: Corporate partnerships (racing teams, breeders).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Travel/Relocation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: One-time high-margin use.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0"/>
          <w:szCs w:val="3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4"/>
          <w:szCs w:val="34"/>
          <w:lang w:val="en-US"/>
        </w:rPr>
      </w:pPr>
      <w:r>
        <w:rPr>
          <w:rStyle w:val="None"/>
          <w:rFonts w:ascii="Times Roman" w:hAnsi="Times Roman"/>
          <w:b w:val="1"/>
          <w:bCs w:val="1"/>
          <w:sz w:val="34"/>
          <w:szCs w:val="34"/>
          <w:rtl w:val="0"/>
          <w:lang w:val="en-US"/>
        </w:rPr>
        <w:t>7. Clinic Benefits: Financial and Operational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7.1 Cost Savings from BHOC Adoption</w:t>
      </w:r>
    </w:p>
    <w:tbl>
      <w:tblPr>
        <w:tblW w:w="9544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561"/>
        <w:gridCol w:w="3141"/>
        <w:gridCol w:w="2842"/>
      </w:tblGrid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Cost Driver</w:t>
            </w:r>
          </w:p>
        </w:tc>
        <w:tc>
          <w:tcPr>
            <w:tcW w:type="dxa" w:w="3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Traditional Blood</w:t>
            </w:r>
          </w:p>
        </w:tc>
        <w:tc>
          <w:tcPr>
            <w:tcW w:type="dxa" w:w="28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BHOC</w:t>
            </w:r>
          </w:p>
        </w:tc>
      </w:tr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Donor Program Maintenance</w:t>
            </w:r>
          </w:p>
        </w:tc>
        <w:tc>
          <w:tcPr>
            <w:tcW w:type="dxa" w:w="3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$5,000</w:t>
            </w:r>
            <w:r>
              <w:rPr>
                <w:rStyle w:val="None"/>
                <w:rFonts w:ascii="Times Roman" w:hAnsi="Times Roman" w:hint="default"/>
                <w:sz w:val="28"/>
                <w:szCs w:val="28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10,000/year</w:t>
            </w:r>
          </w:p>
        </w:tc>
        <w:tc>
          <w:tcPr>
            <w:tcW w:type="dxa" w:w="28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Eliminated</w:t>
            </w:r>
          </w:p>
        </w:tc>
      </w:tr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Refrigeration Equipment</w:t>
            </w:r>
          </w:p>
        </w:tc>
        <w:tc>
          <w:tcPr>
            <w:tcW w:type="dxa" w:w="3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$1,000</w:t>
            </w:r>
            <w:r>
              <w:rPr>
                <w:rStyle w:val="None"/>
                <w:rFonts w:ascii="Times Roman" w:hAnsi="Times Roman" w:hint="default"/>
                <w:sz w:val="28"/>
                <w:szCs w:val="28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5,000/year</w:t>
            </w:r>
          </w:p>
        </w:tc>
        <w:tc>
          <w:tcPr>
            <w:tcW w:type="dxa" w:w="28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Not required</w:t>
            </w:r>
          </w:p>
        </w:tc>
      </w:tr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Crossmatching</w:t>
            </w:r>
          </w:p>
        </w:tc>
        <w:tc>
          <w:tcPr>
            <w:tcW w:type="dxa" w:w="3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$100</w:t>
            </w:r>
            <w:r>
              <w:rPr>
                <w:rStyle w:val="None"/>
                <w:rFonts w:ascii="Times Roman" w:hAnsi="Times Roman" w:hint="default"/>
                <w:sz w:val="28"/>
                <w:szCs w:val="28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300/case</w:t>
            </w:r>
          </w:p>
        </w:tc>
        <w:tc>
          <w:tcPr>
            <w:tcW w:type="dxa" w:w="28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Not required</w:t>
            </w:r>
          </w:p>
        </w:tc>
      </w:tr>
      <w:tr>
        <w:tblPrEx>
          <w:shd w:val="clear" w:color="auto" w:fill="cad1d7"/>
        </w:tblPrEx>
        <w:trPr>
          <w:trHeight w:val="760" w:hRule="atLeast"/>
        </w:trPr>
        <w:tc>
          <w:tcPr>
            <w:tcW w:type="dxa" w:w="3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Donor Search Delay</w:t>
            </w:r>
          </w:p>
        </w:tc>
        <w:tc>
          <w:tcPr>
            <w:tcW w:type="dxa" w:w="3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Times Roman" w:hAnsi="Times Roman" w:hint="default"/>
                <w:sz w:val="28"/>
                <w:szCs w:val="28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4 hours</w:t>
            </w:r>
          </w:p>
        </w:tc>
        <w:tc>
          <w:tcPr>
            <w:tcW w:type="dxa" w:w="28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Immediate availability</w:t>
            </w:r>
          </w:p>
        </w:tc>
      </w:tr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Blood Expiration Losses</w:t>
            </w:r>
          </w:p>
        </w:tc>
        <w:tc>
          <w:tcPr>
            <w:tcW w:type="dxa" w:w="3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10</w:t>
            </w:r>
            <w:r>
              <w:rPr>
                <w:rStyle w:val="None"/>
                <w:rFonts w:ascii="Times Roman" w:hAnsi="Times Roman" w:hint="default"/>
                <w:sz w:val="28"/>
                <w:szCs w:val="28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20% wastage</w:t>
            </w:r>
          </w:p>
        </w:tc>
        <w:tc>
          <w:tcPr>
            <w:tcW w:type="dxa" w:w="28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&lt;2% wastage</w:t>
            </w:r>
          </w:p>
        </w:tc>
      </w:tr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Reaction Management Costs</w:t>
            </w:r>
          </w:p>
        </w:tc>
        <w:tc>
          <w:tcPr>
            <w:tcW w:type="dxa" w:w="3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$200</w:t>
            </w:r>
            <w:r>
              <w:rPr>
                <w:rStyle w:val="None"/>
                <w:rFonts w:ascii="Times Roman" w:hAnsi="Times Roman" w:hint="default"/>
                <w:sz w:val="28"/>
                <w:szCs w:val="28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800/case</w:t>
            </w:r>
          </w:p>
        </w:tc>
        <w:tc>
          <w:tcPr>
            <w:tcW w:type="dxa" w:w="28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Reduced risk</w:t>
            </w:r>
          </w:p>
        </w:tc>
      </w:tr>
    </w:tbl>
    <w:p>
      <w:pPr>
        <w:pStyle w:val="Default"/>
        <w:widowControl w:val="0"/>
        <w:suppressAutoHyphens w:val="1"/>
        <w:spacing w:before="80" w:after="80" w:line="240" w:lineRule="auto"/>
        <w:ind w:left="216" w:hanging="216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</w:p>
    <w:p>
      <w:pPr>
        <w:pStyle w:val="Default"/>
        <w:widowControl w:val="0"/>
        <w:suppressAutoHyphens w:val="1"/>
        <w:spacing w:before="80" w:after="80" w:line="240" w:lineRule="auto"/>
        <w:ind w:left="108" w:hanging="108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7.2 Why Total Case Cost Matters</w:t>
      </w: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sz w:val="30"/>
          <w:szCs w:val="3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Clinics derive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minimal profit from blood itself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. The majority of revenue comes from: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ICU/emergency care.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Staffing and diagnostics.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Monitoring and hospitalization.</w:t>
      </w: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sz w:val="30"/>
          <w:szCs w:val="30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de-DE"/>
        </w:rPr>
        <w:t>BHOC</w:t>
      </w:r>
      <w:r>
        <w:rPr>
          <w:rStyle w:val="None"/>
          <w:rFonts w:ascii="Arial Unicode MS" w:hAnsi="Arial Unicode MS" w:hint="default"/>
          <w:sz w:val="30"/>
          <w:szCs w:val="30"/>
          <w:rtl w:val="1"/>
          <w:lang w:val="ar-SA" w:bidi="ar-SA"/>
        </w:rPr>
        <w:t>’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s Advantages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: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Higher-margin procedures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 (40</w:t>
      </w:r>
      <w:r>
        <w:rPr>
          <w:rStyle w:val="None"/>
          <w:rFonts w:ascii="Times Roman" w:hAnsi="Times Roman" w:hint="default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sz w:val="30"/>
          <w:szCs w:val="30"/>
          <w:rtl w:val="0"/>
          <w:lang w:val="fr-FR"/>
        </w:rPr>
        <w:t>60% net margin).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Reduced hidden costs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(no donor logistics, crossmatching, or storage).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Shorter hospitalization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potential.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Multiple billable procedures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from one platform.</w:t>
      </w: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7.3 Procedure-Based Revenue Model</w:t>
      </w:r>
    </w:p>
    <w:tbl>
      <w:tblPr>
        <w:tblW w:w="9544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027"/>
        <w:gridCol w:w="3093"/>
        <w:gridCol w:w="3424"/>
      </w:tblGrid>
      <w:tr>
        <w:tblPrEx>
          <w:shd w:val="clear" w:color="auto" w:fill="cad1d7"/>
        </w:tblPrEx>
        <w:trPr>
          <w:trHeight w:val="360" w:hRule="atLeast"/>
        </w:trPr>
        <w:tc>
          <w:tcPr>
            <w:tcW w:type="dxa" w:w="3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Factor</w:t>
            </w:r>
          </w:p>
        </w:tc>
        <w:tc>
          <w:tcPr>
            <w:tcW w:type="dxa" w:w="30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Traditional Blood</w:t>
            </w:r>
          </w:p>
        </w:tc>
        <w:tc>
          <w:tcPr>
            <w:tcW w:type="dxa" w:w="34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BHOC</w:t>
            </w:r>
          </w:p>
        </w:tc>
      </w:tr>
      <w:tr>
        <w:tblPrEx>
          <w:shd w:val="clear" w:color="auto" w:fill="cad1d7"/>
        </w:tblPrEx>
        <w:trPr>
          <w:trHeight w:val="360" w:hRule="atLeast"/>
        </w:trPr>
        <w:tc>
          <w:tcPr>
            <w:tcW w:type="dxa" w:w="3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Case Capture</w:t>
            </w:r>
          </w:p>
        </w:tc>
        <w:tc>
          <w:tcPr>
            <w:tcW w:type="dxa" w:w="30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30</w:t>
            </w:r>
            <w:r>
              <w:rPr>
                <w:rStyle w:val="None"/>
                <w:rFonts w:ascii="Times Roman" w:hAnsi="Times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70% referred out</w:t>
            </w:r>
          </w:p>
        </w:tc>
        <w:tc>
          <w:tcPr>
            <w:tcW w:type="dxa" w:w="34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95%+ in-house</w:t>
            </w:r>
          </w:p>
        </w:tc>
      </w:tr>
      <w:tr>
        <w:tblPrEx>
          <w:shd w:val="clear" w:color="auto" w:fill="cad1d7"/>
        </w:tblPrEx>
        <w:trPr>
          <w:trHeight w:val="360" w:hRule="atLeast"/>
        </w:trPr>
        <w:tc>
          <w:tcPr>
            <w:tcW w:type="dxa" w:w="3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Time to Treatment</w:t>
            </w:r>
          </w:p>
        </w:tc>
        <w:tc>
          <w:tcPr>
            <w:tcW w:type="dxa" w:w="30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Times Roman" w:hAnsi="Times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4 hours</w:t>
            </w:r>
          </w:p>
        </w:tc>
        <w:tc>
          <w:tcPr>
            <w:tcW w:type="dxa" w:w="34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&lt;5 minutes</w:t>
            </w:r>
          </w:p>
        </w:tc>
      </w:tr>
      <w:tr>
        <w:tblPrEx>
          <w:shd w:val="clear" w:color="auto" w:fill="cad1d7"/>
        </w:tblPrEx>
        <w:trPr>
          <w:trHeight w:val="360" w:hRule="atLeast"/>
        </w:trPr>
        <w:tc>
          <w:tcPr>
            <w:tcW w:type="dxa" w:w="3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Staff Training</w:t>
            </w:r>
          </w:p>
        </w:tc>
        <w:tc>
          <w:tcPr>
            <w:tcW w:type="dxa" w:w="30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Complex workflow</w:t>
            </w:r>
          </w:p>
        </w:tc>
        <w:tc>
          <w:tcPr>
            <w:tcW w:type="dxa" w:w="34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Standardized</w:t>
            </w:r>
          </w:p>
        </w:tc>
      </w:tr>
      <w:tr>
        <w:tblPrEx>
          <w:shd w:val="clear" w:color="auto" w:fill="cad1d7"/>
        </w:tblPrEx>
        <w:trPr>
          <w:trHeight w:val="360" w:hRule="atLeast"/>
        </w:trPr>
        <w:tc>
          <w:tcPr>
            <w:tcW w:type="dxa" w:w="3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Inventory Risk</w:t>
            </w:r>
          </w:p>
        </w:tc>
        <w:tc>
          <w:tcPr>
            <w:tcW w:type="dxa" w:w="30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10</w:t>
            </w:r>
            <w:r>
              <w:rPr>
                <w:rStyle w:val="None"/>
                <w:rFonts w:ascii="Times Roman" w:hAnsi="Times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20% wastage</w:t>
            </w:r>
          </w:p>
        </w:tc>
        <w:tc>
          <w:tcPr>
            <w:tcW w:type="dxa" w:w="34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&lt;1% wastage</w:t>
            </w:r>
          </w:p>
        </w:tc>
      </w:tr>
      <w:tr>
        <w:tblPrEx>
          <w:shd w:val="clear" w:color="auto" w:fill="cad1d7"/>
        </w:tblPrEx>
        <w:trPr>
          <w:trHeight w:val="360" w:hRule="atLeast"/>
        </w:trPr>
        <w:tc>
          <w:tcPr>
            <w:tcW w:type="dxa" w:w="3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Complication Management</w:t>
            </w:r>
          </w:p>
        </w:tc>
        <w:tc>
          <w:tcPr>
            <w:tcW w:type="dxa" w:w="30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Immune mismatch risk</w:t>
            </w:r>
          </w:p>
        </w:tc>
        <w:tc>
          <w:tcPr>
            <w:tcW w:type="dxa" w:w="34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Reduced complexity</w:t>
            </w:r>
          </w:p>
        </w:tc>
      </w:tr>
      <w:tr>
        <w:tblPrEx>
          <w:shd w:val="clear" w:color="auto" w:fill="cad1d7"/>
        </w:tblPrEx>
        <w:trPr>
          <w:trHeight w:val="360" w:hRule="atLeast"/>
        </w:trPr>
        <w:tc>
          <w:tcPr>
            <w:tcW w:type="dxa" w:w="3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Per-Case Net Margin</w:t>
            </w:r>
          </w:p>
        </w:tc>
        <w:tc>
          <w:tcPr>
            <w:tcW w:type="dxa" w:w="30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Times Roman" w:hAnsi="Times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10%</w:t>
            </w:r>
          </w:p>
        </w:tc>
        <w:tc>
          <w:tcPr>
            <w:tcW w:type="dxa" w:w="34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10</w:t>
            </w:r>
            <w:r>
              <w:rPr>
                <w:rStyle w:val="None"/>
                <w:rFonts w:ascii="Times Roman" w:hAnsi="Times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30%</w:t>
            </w:r>
          </w:p>
        </w:tc>
      </w:tr>
      <w:tr>
        <w:tblPrEx>
          <w:shd w:val="clear" w:color="auto" w:fill="cad1d7"/>
        </w:tblPrEx>
        <w:trPr>
          <w:trHeight w:val="360" w:hRule="atLeast"/>
        </w:trPr>
        <w:tc>
          <w:tcPr>
            <w:tcW w:type="dxa" w:w="3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Recurring Revenue</w:t>
            </w:r>
          </w:p>
        </w:tc>
        <w:tc>
          <w:tcPr>
            <w:tcW w:type="dxa" w:w="30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Acute only</w:t>
            </w:r>
          </w:p>
        </w:tc>
        <w:tc>
          <w:tcPr>
            <w:tcW w:type="dxa" w:w="34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Chronic/supportive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3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Oxygen Delivery Efficiency</w:t>
            </w:r>
          </w:p>
        </w:tc>
        <w:tc>
          <w:tcPr>
            <w:tcW w:type="dxa" w:w="30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Times Roman" w:hAnsi="Times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(pRBCs)</w:t>
            </w:r>
          </w:p>
        </w:tc>
        <w:tc>
          <w:tcPr>
            <w:tcW w:type="dxa" w:w="34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None"/>
                <w:rFonts w:ascii="Times Roman" w:hAnsi="Times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5</w:t>
            </w:r>
            <w:r>
              <w:rPr>
                <w:rStyle w:val="None"/>
                <w:rFonts w:ascii="Times Roman" w:hAnsi="Times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×</w:t>
            </w:r>
          </w:p>
        </w:tc>
      </w:tr>
    </w:tbl>
    <w:p>
      <w:pPr>
        <w:pStyle w:val="Default"/>
        <w:widowControl w:val="0"/>
        <w:suppressAutoHyphens w:val="1"/>
        <w:spacing w:before="80" w:after="80" w:line="240" w:lineRule="auto"/>
        <w:ind w:left="216" w:hanging="216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lang w:val="en-US"/>
          <w14:textFill>
            <w14:solidFill>
              <w14:srgbClr w14:val="535353"/>
            </w14:solidFill>
          </w14:textFill>
        </w:rPr>
      </w:pPr>
    </w:p>
    <w:p>
      <w:pPr>
        <w:pStyle w:val="Default"/>
        <w:widowControl w:val="0"/>
        <w:suppressAutoHyphens w:val="1"/>
        <w:spacing w:before="80" w:after="80" w:line="240" w:lineRule="auto"/>
        <w:ind w:left="108" w:hanging="108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lang w:val="en-US"/>
          <w14:textFill>
            <w14:solidFill>
              <w14:srgbClr w14:val="535353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0"/>
          <w:szCs w:val="3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0"/>
          <w:szCs w:val="3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0"/>
          <w:szCs w:val="3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4"/>
          <w:szCs w:val="34"/>
          <w:lang w:val="en-US"/>
        </w:rPr>
      </w:pPr>
      <w:r>
        <w:rPr>
          <w:rStyle w:val="None"/>
          <w:rFonts w:ascii="Times Roman" w:hAnsi="Times Roman"/>
          <w:b w:val="1"/>
          <w:bCs w:val="1"/>
          <w:sz w:val="34"/>
          <w:szCs w:val="34"/>
          <w:rtl w:val="0"/>
          <w:lang w:val="en-US"/>
        </w:rPr>
        <w:t>8. ROI Analysis for Clinics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8.1 Clinics Without Transfusion Capabilities</w:t>
      </w: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sz w:val="30"/>
          <w:szCs w:val="30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 xml:space="preserve">Assumptions 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: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Monthly cases: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15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20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Average revenue/case: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$1,500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(range: $600</w:t>
      </w:r>
      <w:r>
        <w:rPr>
          <w:rStyle w:val="None"/>
          <w:rFonts w:ascii="Times Roman" w:hAnsi="Times Roman" w:hint="default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>2,000).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BHOC cost/case: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$400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(range: $200</w:t>
      </w:r>
      <w:r>
        <w:rPr>
          <w:rStyle w:val="None"/>
          <w:rFonts w:ascii="Times Roman" w:hAnsi="Times Roman" w:hint="default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600).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Operational savings/case: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$300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0"/>
          <w:szCs w:val="3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High-Volume Clinic Example</w:t>
      </w:r>
    </w:p>
    <w:tbl>
      <w:tblPr>
        <w:tblW w:w="9547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759"/>
        <w:gridCol w:w="3320"/>
        <w:gridCol w:w="2468"/>
      </w:tblGrid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7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Metric</w:t>
            </w:r>
          </w:p>
        </w:tc>
        <w:tc>
          <w:tcPr>
            <w:tcW w:type="dxa" w:w="33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Calculation</w:t>
            </w:r>
          </w:p>
        </w:tc>
        <w:tc>
          <w:tcPr>
            <w:tcW w:type="dxa" w:w="2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Result</w:t>
            </w:r>
          </w:p>
        </w:tc>
      </w:tr>
      <w:tr>
        <w:tblPrEx>
          <w:shd w:val="clear" w:color="auto" w:fill="cad1d7"/>
        </w:tblPrEx>
        <w:trPr>
          <w:trHeight w:val="715" w:hRule="atLeast"/>
        </w:trPr>
        <w:tc>
          <w:tcPr>
            <w:tcW w:type="dxa" w:w="37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Monthly Revenue</w:t>
            </w:r>
          </w:p>
        </w:tc>
        <w:tc>
          <w:tcPr>
            <w:tcW w:type="dxa" w:w="33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20 </w:t>
            </w:r>
            <w:r>
              <w:rPr>
                <w:rStyle w:val="None"/>
                <w:rFonts w:ascii="Times Roman" w:hAnsi="Times Roman" w:hint="default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$1,500</w:t>
            </w:r>
          </w:p>
        </w:tc>
        <w:tc>
          <w:tcPr>
            <w:tcW w:type="dxa" w:w="2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$30,000</w:t>
            </w:r>
          </w:p>
        </w:tc>
      </w:tr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7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Monthly BHOC Cost</w:t>
            </w:r>
          </w:p>
        </w:tc>
        <w:tc>
          <w:tcPr>
            <w:tcW w:type="dxa" w:w="33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20 </w:t>
            </w:r>
            <w:r>
              <w:rPr>
                <w:rStyle w:val="None"/>
                <w:rFonts w:ascii="Times Roman" w:hAnsi="Times Roman" w:hint="default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$400</w:t>
            </w:r>
          </w:p>
        </w:tc>
        <w:tc>
          <w:tcPr>
            <w:tcW w:type="dxa" w:w="2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$8,000</w:t>
            </w:r>
          </w:p>
        </w:tc>
      </w:tr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7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Monthly Operational Savings</w:t>
            </w:r>
          </w:p>
        </w:tc>
        <w:tc>
          <w:tcPr>
            <w:tcW w:type="dxa" w:w="33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20 </w:t>
            </w:r>
            <w:r>
              <w:rPr>
                <w:rStyle w:val="None"/>
                <w:rFonts w:ascii="Times Roman" w:hAnsi="Times Roman" w:hint="default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$300</w:t>
            </w:r>
          </w:p>
        </w:tc>
        <w:tc>
          <w:tcPr>
            <w:tcW w:type="dxa" w:w="2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$6,000</w:t>
            </w:r>
          </w:p>
        </w:tc>
      </w:tr>
      <w:tr>
        <w:tblPrEx>
          <w:shd w:val="clear" w:color="auto" w:fill="cad1d7"/>
        </w:tblPrEx>
        <w:trPr>
          <w:trHeight w:val="760" w:hRule="atLeast"/>
        </w:trPr>
        <w:tc>
          <w:tcPr>
            <w:tcW w:type="dxa" w:w="37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Monthly Profit</w:t>
            </w:r>
          </w:p>
        </w:tc>
        <w:tc>
          <w:tcPr>
            <w:tcW w:type="dxa" w:w="33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($30,000 </w:t>
            </w:r>
            <w:r>
              <w:rPr>
                <w:rStyle w:val="None"/>
                <w:rFonts w:ascii="Times Roman" w:hAnsi="Times Roman" w:hint="default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$8,000) + $6,000</w:t>
            </w:r>
          </w:p>
        </w:tc>
        <w:tc>
          <w:tcPr>
            <w:tcW w:type="dxa" w:w="2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$28,000</w:t>
            </w:r>
          </w:p>
        </w:tc>
      </w:tr>
      <w:tr>
        <w:tblPrEx>
          <w:shd w:val="clear" w:color="auto" w:fill="cad1d7"/>
        </w:tblPrEx>
        <w:trPr>
          <w:trHeight w:val="400" w:hRule="atLeast"/>
        </w:trPr>
        <w:tc>
          <w:tcPr>
            <w:tcW w:type="dxa" w:w="37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Annual Profit</w:t>
            </w:r>
          </w:p>
        </w:tc>
        <w:tc>
          <w:tcPr>
            <w:tcW w:type="dxa" w:w="33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$28,000 </w:t>
            </w:r>
            <w:r>
              <w:rPr>
                <w:rStyle w:val="None"/>
                <w:rFonts w:ascii="Times Roman" w:hAnsi="Times Roman" w:hint="default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24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$336,000</w:t>
            </w:r>
          </w:p>
        </w:tc>
      </w:tr>
    </w:tbl>
    <w:p>
      <w:pPr>
        <w:pStyle w:val="Default"/>
        <w:widowControl w:val="0"/>
        <w:suppressAutoHyphens w:val="1"/>
        <w:spacing w:before="80" w:after="80" w:line="240" w:lineRule="auto"/>
        <w:ind w:left="216" w:hanging="216"/>
        <w:rPr>
          <w:rStyle w:val="None"/>
          <w:rFonts w:ascii="Times Roman" w:cs="Times Roman" w:hAnsi="Times Roman" w:eastAsia="Times Roman"/>
          <w:b w:val="1"/>
          <w:bCs w:val="1"/>
          <w:sz w:val="30"/>
          <w:szCs w:val="30"/>
          <w:lang w:val="en-US"/>
        </w:rPr>
      </w:pPr>
    </w:p>
    <w:p>
      <w:pPr>
        <w:pStyle w:val="Default"/>
        <w:widowControl w:val="0"/>
        <w:suppressAutoHyphens w:val="1"/>
        <w:spacing w:before="80" w:after="80" w:line="240" w:lineRule="auto"/>
        <w:ind w:left="108" w:hanging="108"/>
        <w:rPr>
          <w:rStyle w:val="None"/>
          <w:rFonts w:ascii="Times Roman" w:cs="Times Roman" w:hAnsi="Times Roman" w:eastAsia="Times Roman"/>
          <w:b w:val="1"/>
          <w:bCs w:val="1"/>
          <w:sz w:val="30"/>
          <w:szCs w:val="30"/>
          <w:lang w:val="en-US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0"/>
          <w:szCs w:val="30"/>
        </w:rPr>
      </w:pPr>
    </w:p>
    <w:p>
      <w:pPr>
        <w:pStyle w:val="Default"/>
        <w:suppressAutoHyphens w:val="1"/>
        <w:spacing w:before="80" w:after="80" w:line="264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8.2 Clinics With Transfusion Capabilities</w:t>
      </w:r>
    </w:p>
    <w:p>
      <w:pPr>
        <w:pStyle w:val="Default"/>
        <w:suppressAutoHyphens w:val="1"/>
        <w:spacing w:before="80" w:after="80" w:line="264" w:lineRule="auto"/>
        <w:rPr>
          <w:rStyle w:val="None"/>
          <w:rFonts w:ascii="Times Roman" w:cs="Times Roman" w:hAnsi="Times Roman" w:eastAsia="Times Roman"/>
          <w:sz w:val="30"/>
          <w:szCs w:val="30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Assumptions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: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80" w:after="8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Monthly cases: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10 (</w:t>
      </w: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u w:val="single"/>
          <w:rtl w:val="0"/>
          <w:lang w:val="it-IT"/>
        </w:rPr>
        <w:t>anemic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) + 5 (</w:t>
      </w: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u w:val="single"/>
          <w:rtl w:val="0"/>
          <w:lang w:val="it-IT"/>
        </w:rPr>
        <w:t>non-anemic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)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80" w:after="8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Average revenue: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$1,200 (anemic), $800 (non-anemic)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80" w:after="8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Operational savings/case: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$250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.</w:t>
      </w:r>
    </w:p>
    <w:p>
      <w:pPr>
        <w:pStyle w:val="Default"/>
        <w:suppressAutoHyphens w:val="1"/>
        <w:spacing w:before="80" w:after="80" w:line="264" w:lineRule="auto"/>
        <w:rPr>
          <w:rStyle w:val="None"/>
          <w:rFonts w:ascii="Times Roman" w:cs="Times Roman" w:hAnsi="Times Roman" w:eastAsia="Times Roman"/>
          <w:sz w:val="30"/>
          <w:szCs w:val="30"/>
        </w:rPr>
      </w:pPr>
    </w:p>
    <w:tbl>
      <w:tblPr>
        <w:tblW w:w="9268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260"/>
        <w:gridCol w:w="3990"/>
        <w:gridCol w:w="2018"/>
      </w:tblGrid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32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Metric</w:t>
            </w:r>
          </w:p>
        </w:tc>
        <w:tc>
          <w:tcPr>
            <w:tcW w:type="dxa" w:w="39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Calculation</w:t>
            </w:r>
          </w:p>
        </w:tc>
        <w:tc>
          <w:tcPr>
            <w:tcW w:type="dxa" w:w="20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Result</w:t>
            </w:r>
          </w:p>
        </w:tc>
      </w:tr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32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Monthly Revenue (Anemic)</w:t>
            </w:r>
          </w:p>
        </w:tc>
        <w:tc>
          <w:tcPr>
            <w:tcW w:type="dxa" w:w="39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 xml:space="preserve">10 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$1,200</w:t>
            </w:r>
          </w:p>
        </w:tc>
        <w:tc>
          <w:tcPr>
            <w:tcW w:type="dxa" w:w="20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$12,000</w:t>
            </w:r>
          </w:p>
        </w:tc>
      </w:tr>
      <w:tr>
        <w:tblPrEx>
          <w:shd w:val="clear" w:color="auto" w:fill="cad1d7"/>
        </w:tblPrEx>
        <w:trPr>
          <w:trHeight w:val="600" w:hRule="atLeast"/>
        </w:trPr>
        <w:tc>
          <w:tcPr>
            <w:tcW w:type="dxa" w:w="32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Monthly Revenue (Non-Anemic)</w:t>
            </w:r>
          </w:p>
        </w:tc>
        <w:tc>
          <w:tcPr>
            <w:tcW w:type="dxa" w:w="39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 xml:space="preserve">5 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$800</w:t>
            </w:r>
          </w:p>
        </w:tc>
        <w:tc>
          <w:tcPr>
            <w:tcW w:type="dxa" w:w="20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$4,000</w:t>
            </w:r>
          </w:p>
        </w:tc>
      </w:tr>
      <w:tr>
        <w:tblPrEx>
          <w:shd w:val="clear" w:color="auto" w:fill="cad1d7"/>
        </w:tblPrEx>
        <w:trPr>
          <w:trHeight w:val="370" w:hRule="atLeast"/>
        </w:trPr>
        <w:tc>
          <w:tcPr>
            <w:tcW w:type="dxa" w:w="32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Total Monthly Revenue</w:t>
            </w:r>
          </w:p>
        </w:tc>
        <w:tc>
          <w:tcPr>
            <w:tcW w:type="dxa" w:w="39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$16,000</w:t>
            </w:r>
          </w:p>
        </w:tc>
      </w:tr>
      <w:tr>
        <w:tblPrEx>
          <w:shd w:val="clear" w:color="auto" w:fill="cad1d7"/>
        </w:tblPrEx>
        <w:trPr>
          <w:trHeight w:val="600" w:hRule="atLeast"/>
        </w:trPr>
        <w:tc>
          <w:tcPr>
            <w:tcW w:type="dxa" w:w="32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Monthly Operational Savings</w:t>
            </w:r>
          </w:p>
        </w:tc>
        <w:tc>
          <w:tcPr>
            <w:tcW w:type="dxa" w:w="39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 xml:space="preserve">15 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 xml:space="preserve">$250 (not including in calculation) </w:t>
            </w:r>
          </w:p>
        </w:tc>
        <w:tc>
          <w:tcPr>
            <w:tcW w:type="dxa" w:w="20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$3,750</w:t>
            </w:r>
          </w:p>
        </w:tc>
      </w:tr>
      <w:tr>
        <w:tblPrEx>
          <w:shd w:val="clear" w:color="auto" w:fill="cad1d7"/>
        </w:tblPrEx>
        <w:trPr>
          <w:trHeight w:val="620" w:hRule="atLeast"/>
        </w:trPr>
        <w:tc>
          <w:tcPr>
            <w:tcW w:type="dxa" w:w="32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Monthly Profit</w:t>
            </w:r>
          </w:p>
        </w:tc>
        <w:tc>
          <w:tcPr>
            <w:tcW w:type="dxa" w:w="39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Body A"/>
              <w:suppressAutoHyphens w:val="1"/>
              <w:bidi w:val="0"/>
              <w:spacing w:after="240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$16,000</w:t>
            </w:r>
          </w:p>
        </w:tc>
      </w:tr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32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Annual Profit</w:t>
            </w:r>
          </w:p>
        </w:tc>
        <w:tc>
          <w:tcPr>
            <w:tcW w:type="dxa" w:w="39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 xml:space="preserve">$16 000 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20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$192 000</w:t>
            </w:r>
          </w:p>
        </w:tc>
      </w:tr>
    </w:tbl>
    <w:p>
      <w:pPr>
        <w:pStyle w:val="Default"/>
        <w:widowControl w:val="0"/>
        <w:suppressAutoHyphens w:val="1"/>
        <w:spacing w:before="80" w:after="80" w:line="240" w:lineRule="auto"/>
        <w:ind w:left="216" w:hanging="216"/>
        <w:rPr>
          <w:rStyle w:val="None"/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widowControl w:val="0"/>
        <w:suppressAutoHyphens w:val="1"/>
        <w:spacing w:before="80" w:after="80" w:line="240" w:lineRule="auto"/>
        <w:ind w:left="108" w:hanging="108"/>
        <w:rPr>
          <w:rStyle w:val="None"/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14:textFill>
            <w14:solidFill>
              <w14:srgbClr w14:val="535353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8.3 Recurring Revenue Example (Longevity Plan)</w:t>
      </w: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sz w:val="30"/>
          <w:szCs w:val="30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Assumptions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: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Monthly clients: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10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(12 sessions/year).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Revenue/client: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$200/session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BHOC cost/session: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$100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.</w:t>
      </w:r>
    </w:p>
    <w:tbl>
      <w:tblPr>
        <w:tblW w:w="9386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180"/>
        <w:gridCol w:w="2982"/>
        <w:gridCol w:w="3224"/>
      </w:tblGrid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31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Metric</w:t>
            </w:r>
          </w:p>
        </w:tc>
        <w:tc>
          <w:tcPr>
            <w:tcW w:type="dxa" w:w="29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Calculation</w:t>
            </w:r>
          </w:p>
        </w:tc>
        <w:tc>
          <w:tcPr>
            <w:tcW w:type="dxa" w:w="32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Result</w:t>
            </w:r>
          </w:p>
        </w:tc>
      </w:tr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31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Monthly Revenue</w:t>
            </w:r>
          </w:p>
        </w:tc>
        <w:tc>
          <w:tcPr>
            <w:tcW w:type="dxa" w:w="29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 xml:space="preserve">10 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$200</w:t>
            </w:r>
          </w:p>
        </w:tc>
        <w:tc>
          <w:tcPr>
            <w:tcW w:type="dxa" w:w="32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$2,000</w:t>
            </w:r>
          </w:p>
        </w:tc>
      </w:tr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31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Monthly BHOC Cost</w:t>
            </w:r>
          </w:p>
        </w:tc>
        <w:tc>
          <w:tcPr>
            <w:tcW w:type="dxa" w:w="29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 xml:space="preserve">10 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$100</w:t>
            </w:r>
          </w:p>
        </w:tc>
        <w:tc>
          <w:tcPr>
            <w:tcW w:type="dxa" w:w="32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$1,000</w:t>
            </w:r>
          </w:p>
        </w:tc>
      </w:tr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31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Monthly Profit</w:t>
            </w:r>
          </w:p>
        </w:tc>
        <w:tc>
          <w:tcPr>
            <w:tcW w:type="dxa" w:w="29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 xml:space="preserve">$2,000 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$1,000</w:t>
            </w:r>
          </w:p>
        </w:tc>
        <w:tc>
          <w:tcPr>
            <w:tcW w:type="dxa" w:w="32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$1,000</w:t>
            </w:r>
          </w:p>
        </w:tc>
      </w:tr>
      <w:tr>
        <w:tblPrEx>
          <w:shd w:val="clear" w:color="auto" w:fill="cad1d7"/>
        </w:tblPrEx>
        <w:trPr>
          <w:trHeight w:val="329" w:hRule="atLeast"/>
        </w:trPr>
        <w:tc>
          <w:tcPr>
            <w:tcW w:type="dxa" w:w="31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Annual Profit</w:t>
            </w:r>
          </w:p>
        </w:tc>
        <w:tc>
          <w:tcPr>
            <w:tcW w:type="dxa" w:w="29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 xml:space="preserve">$1,000 </w:t>
            </w:r>
            <w:r>
              <w:rPr>
                <w:rStyle w:val="None"/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Times Roman" w:hAnsi="Times Roman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32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$12,000</w:t>
            </w:r>
          </w:p>
        </w:tc>
      </w:tr>
    </w:tbl>
    <w:p>
      <w:pPr>
        <w:pStyle w:val="Default"/>
        <w:widowControl w:val="0"/>
        <w:numPr>
          <w:ilvl w:val="0"/>
          <w:numId w:val="9"/>
        </w:numPr>
        <w:suppressAutoHyphens w:val="1"/>
        <w:spacing w:before="80" w:after="80" w:line="240" w:lineRule="auto"/>
      </w:pPr>
    </w:p>
    <w:p>
      <w:pPr>
        <w:pStyle w:val="Default"/>
        <w:widowControl w:val="0"/>
        <w:numPr>
          <w:ilvl w:val="0"/>
          <w:numId w:val="10"/>
        </w:numPr>
        <w:suppressAutoHyphens w:val="1"/>
        <w:spacing w:before="80" w:after="80" w:line="240" w:lineRule="auto"/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0"/>
          <w:szCs w:val="3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0"/>
          <w:szCs w:val="3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4"/>
          <w:szCs w:val="34"/>
        </w:rPr>
      </w:pPr>
      <w:r>
        <w:rPr>
          <w:rStyle w:val="None"/>
          <w:rFonts w:ascii="Times Roman" w:hAnsi="Times Roman"/>
          <w:b w:val="1"/>
          <w:bCs w:val="1"/>
          <w:sz w:val="34"/>
          <w:szCs w:val="34"/>
          <w:rtl w:val="0"/>
          <w:lang w:val="en-US"/>
        </w:rPr>
        <w:t xml:space="preserve">9. Implementation Strategy (2026 -2027 </w:t>
      </w:r>
      <w:r>
        <w:rPr>
          <w:rStyle w:val="None"/>
          <w:rFonts w:ascii="Times Roman" w:hAnsi="Times Roman"/>
          <w:b w:val="1"/>
          <w:bCs w:val="1"/>
          <w:sz w:val="34"/>
          <w:szCs w:val="34"/>
          <w:rtl w:val="0"/>
          <w:lang w:val="ru-RU"/>
        </w:rPr>
        <w:t>)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9.1 Addressing Anemic Cases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 xml:space="preserve">  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BHOC converts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complex, donor-dependent transfusion workflows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into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standardized, immediate oxygenation procedures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with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3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5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 xml:space="preserve">×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oxygen-delivery efficiency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 vs. pRBCs.</w:t>
      </w:r>
    </w:p>
    <w:p>
      <w:pPr>
        <w:pStyle w:val="Default"/>
        <w:suppressAutoHyphens w:val="1"/>
        <w:spacing w:before="80" w:after="80" w:line="216" w:lineRule="auto"/>
        <w:rPr>
          <w:rStyle w:val="None"/>
          <w:rFonts w:ascii="Times Roman" w:cs="Times Roman" w:hAnsi="Times Roman" w:eastAsia="Times Roman"/>
          <w:i w:val="1"/>
          <w:iCs w:val="1"/>
          <w:sz w:val="30"/>
          <w:szCs w:val="30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Applications Beyond Emergency Medicine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ru-RU"/>
        </w:rPr>
        <w:t>: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16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Recovery Optimization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fr-FR"/>
        </w:rPr>
        <w:t xml:space="preserve"> (post-surgical, trauma).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16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Anti-Cancer Support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en-US"/>
        </w:rPr>
        <w:t xml:space="preserve"> (chemotherapy, tumor hypoxia).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16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nl-NL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nl-NL"/>
        </w:rPr>
        <w:t>Longevity &amp; Vitality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en-US"/>
        </w:rPr>
        <w:t xml:space="preserve"> (senior pets, mitochondrial support).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16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Sports Recovery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en-US"/>
        </w:rPr>
        <w:t xml:space="preserve"> (racing, endurance).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16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Iron Supplement Infusion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en-US"/>
        </w:rPr>
        <w:t xml:space="preserve"> (iron-deficiency anemia, CKD).</w:t>
      </w:r>
    </w:p>
    <w:p>
      <w:pPr>
        <w:pStyle w:val="Default"/>
        <w:numPr>
          <w:ilvl w:val="0"/>
          <w:numId w:val="12"/>
        </w:numPr>
        <w:suppressAutoHyphens w:val="1"/>
        <w:spacing w:before="80" w:after="80"/>
        <w:rPr>
          <w:rFonts w:ascii="Times Roman" w:cs="Times Roman" w:hAnsi="Times Roman" w:eastAsia="Times Roman"/>
          <w:b w:val="1"/>
          <w:bCs w:val="1"/>
          <w:outline w:val="0"/>
          <w:color w:val="535353"/>
          <w:sz w:val="26"/>
          <w:szCs w:val="26"/>
          <w:u w:color="535353"/>
          <w14:textFill>
            <w14:solidFill>
              <w14:srgbClr w14:val="535353"/>
            </w14:solidFill>
          </w14:textFill>
        </w:rPr>
      </w:pPr>
    </w:p>
    <w:tbl>
      <w:tblPr>
        <w:tblW w:w="954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520"/>
        <w:gridCol w:w="6025"/>
      </w:tblGrid>
      <w:tr>
        <w:tblPrEx>
          <w:shd w:val="clear" w:color="auto" w:fill="cad1d7"/>
        </w:tblPrEx>
        <w:trPr>
          <w:trHeight w:val="750" w:hRule="atLeast"/>
        </w:trPr>
        <w:tc>
          <w:tcPr>
            <w:tcW w:type="dxa" w:w="35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sz w:val="28"/>
                <w:szCs w:val="28"/>
                <w:shd w:val="nil" w:color="auto" w:fill="auto"/>
                <w:rtl w:val="0"/>
                <w:lang w:val="en-US"/>
              </w:rPr>
              <w:t>Clinic Type</w:t>
            </w:r>
          </w:p>
        </w:tc>
        <w:tc>
          <w:tcPr>
            <w:tcW w:type="dxa" w:w="60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jc w:val="center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BHOC Value Proposition</w:t>
            </w:r>
          </w:p>
        </w:tc>
      </w:tr>
      <w:tr>
        <w:tblPrEx>
          <w:shd w:val="clear" w:color="auto" w:fill="cad1d7"/>
        </w:tblPrEx>
        <w:trPr>
          <w:trHeight w:val="709" w:hRule="atLeast"/>
        </w:trPr>
        <w:tc>
          <w:tcPr>
            <w:tcW w:type="dxa" w:w="35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Clinics without transfusion</w:t>
            </w:r>
          </w:p>
        </w:tc>
        <w:tc>
          <w:tcPr>
            <w:tcW w:type="dxa" w:w="60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New emergency treatment category (+ </w:t>
            </w:r>
            <w:r>
              <w:rPr>
                <w:rStyle w:val="None"/>
                <w:rFonts w:ascii="Times Roman" w:hAnsi="Times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60% margin</w:t>
            </w: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ad1d7"/>
        </w:tblPrEx>
        <w:trPr>
          <w:trHeight w:val="655" w:hRule="atLeast"/>
        </w:trPr>
        <w:tc>
          <w:tcPr>
            <w:tcW w:type="dxa" w:w="35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Clinics with blood banks</w:t>
            </w:r>
          </w:p>
        </w:tc>
        <w:tc>
          <w:tcPr>
            <w:tcW w:type="dxa" w:w="60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Reduces donor overhead, wastage, delays , time &amp; staff </w:t>
            </w:r>
          </w:p>
        </w:tc>
      </w:tr>
      <w:tr>
        <w:tblPrEx>
          <w:shd w:val="clear" w:color="auto" w:fill="cad1d7"/>
        </w:tblPrEx>
        <w:trPr>
          <w:trHeight w:val="760" w:hRule="atLeast"/>
        </w:trPr>
        <w:tc>
          <w:tcPr>
            <w:tcW w:type="dxa" w:w="35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Specialty/Referral Hospitals</w:t>
            </w:r>
          </w:p>
        </w:tc>
        <w:tc>
          <w:tcPr>
            <w:tcW w:type="dxa" w:w="60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Enhances ICU/surgical outcomes with higher margins</w:t>
            </w:r>
          </w:p>
        </w:tc>
      </w:tr>
      <w:tr>
        <w:tblPrEx>
          <w:shd w:val="clear" w:color="auto" w:fill="cad1d7"/>
        </w:tblPrEx>
        <w:trPr>
          <w:trHeight w:val="599" w:hRule="atLeast"/>
        </w:trPr>
        <w:tc>
          <w:tcPr>
            <w:tcW w:type="dxa" w:w="35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Equine/Wildlife Practices</w:t>
            </w:r>
          </w:p>
        </w:tc>
        <w:tc>
          <w:tcPr>
            <w:tcW w:type="dxa" w:w="60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uppressAutoHyphens w:val="1"/>
              <w:spacing w:after="240"/>
              <w:outlineLvl w:val="0"/>
            </w:pPr>
            <w:r>
              <w:rPr>
                <w:rStyle w:val="None"/>
                <w:rFonts w:ascii="Times Roman" w:hAnsi="Times Roman"/>
                <w:sz w:val="26"/>
                <w:szCs w:val="26"/>
                <w:shd w:val="nil" w:color="auto" w:fill="auto"/>
                <w:rtl w:val="0"/>
                <w:lang w:val="en-US"/>
              </w:rPr>
              <w:t>Enables immediate, donor-free oxygenation</w:t>
            </w:r>
          </w:p>
        </w:tc>
      </w:tr>
    </w:tbl>
    <w:p>
      <w:pPr>
        <w:pStyle w:val="Default"/>
        <w:widowControl w:val="0"/>
        <w:numPr>
          <w:ilvl w:val="0"/>
          <w:numId w:val="13"/>
        </w:numPr>
        <w:suppressAutoHyphens w:val="1"/>
        <w:spacing w:before="80" w:after="80" w:line="240" w:lineRule="auto"/>
        <w:rPr>
          <w:rFonts w:ascii="Times Roman" w:cs="Times Roman" w:hAnsi="Times Roman" w:eastAsia="Times Roman"/>
          <w:b w:val="1"/>
          <w:bCs w:val="1"/>
          <w:outline w:val="0"/>
          <w:color w:val="535353"/>
          <w:sz w:val="26"/>
          <w:szCs w:val="26"/>
          <w:u w:color="535353"/>
          <w14:textFill>
            <w14:solidFill>
              <w14:srgbClr w14:val="535353"/>
            </w14:solidFill>
          </w14:textFill>
        </w:rPr>
      </w:pPr>
    </w:p>
    <w:p>
      <w:pPr>
        <w:pStyle w:val="Default"/>
        <w:widowControl w:val="0"/>
        <w:numPr>
          <w:ilvl w:val="0"/>
          <w:numId w:val="14"/>
        </w:numPr>
        <w:suppressAutoHyphens w:val="1"/>
        <w:spacing w:before="80" w:after="80" w:line="240" w:lineRule="auto"/>
        <w:rPr>
          <w:rFonts w:ascii="Times Roman" w:cs="Times Roman" w:hAnsi="Times Roman" w:eastAsia="Times Roman"/>
          <w:b w:val="1"/>
          <w:bCs w:val="1"/>
          <w:outline w:val="0"/>
          <w:color w:val="535353"/>
          <w:sz w:val="26"/>
          <w:szCs w:val="26"/>
          <w:u w:color="535353"/>
          <w14:textFill>
            <w14:solidFill>
              <w14:srgbClr w14:val="535353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it-IT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it-IT"/>
          <w14:textFill>
            <w14:solidFill>
              <w14:srgbClr w14:val="535353"/>
            </w14:solidFill>
          </w14:textFill>
        </w:rPr>
        <w:t>9.2 Non-Anemic Applications</w:t>
      </w: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i w:val="1"/>
          <w:iCs w:val="1"/>
          <w:sz w:val="30"/>
          <w:szCs w:val="30"/>
        </w:rPr>
      </w:pP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es-ES_tradnl"/>
        </w:rPr>
        <w:t xml:space="preserve">BHOC enables </w:t>
      </w: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proactive oxygenation support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da-DK"/>
        </w:rPr>
        <w:t xml:space="preserve"> for: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Surgery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it-IT"/>
        </w:rPr>
        <w:t xml:space="preserve"> (preoperative optimization).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Cancer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en-US"/>
        </w:rPr>
        <w:t xml:space="preserve"> (tumor hypoxia management).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ru-RU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ru-RU"/>
        </w:rPr>
        <w:t>Diabetes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en-US"/>
        </w:rPr>
        <w:t xml:space="preserve"> (improved tissue oxygenation </w:t>
      </w:r>
      <w:r>
        <w:rPr>
          <w:rStyle w:val="None"/>
          <w:rFonts w:ascii="Arial Unicode MS" w:hAnsi="Arial Unicode MS" w:hint="default"/>
          <w:sz w:val="30"/>
          <w:szCs w:val="30"/>
          <w:rtl w:val="0"/>
          <w:lang w:val="ru-RU"/>
        </w:rPr>
        <w:t>→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ru-RU"/>
        </w:rPr>
        <w:t xml:space="preserve"> 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it-IT"/>
        </w:rPr>
        <w:t>glucose metabolism).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nl-NL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nl-NL"/>
        </w:rPr>
        <w:t>Longevity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en-US"/>
        </w:rPr>
        <w:t xml:space="preserve"> (mitochondrial support, telomere length).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Debilitation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en-US"/>
        </w:rPr>
        <w:t xml:space="preserve"> (post-trauma recovery).</w:t>
      </w: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i w:val="1"/>
          <w:iCs w:val="1"/>
          <w:sz w:val="30"/>
          <w:szCs w:val="30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New Opportunities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ru-RU"/>
        </w:rPr>
        <w:t>: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Recurring revenue streams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en-US"/>
        </w:rPr>
        <w:t xml:space="preserve"> (wellness plans, sports medicine).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Joint development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fr-FR"/>
        </w:rPr>
        <w:t xml:space="preserve"> (publications, R&amp;D collaborations).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Licensing/royalty potential</w:t>
      </w:r>
      <w:r>
        <w:rPr>
          <w:rStyle w:val="None"/>
          <w:rFonts w:ascii="Times Roman" w:hAnsi="Times Roman"/>
          <w:i w:val="1"/>
          <w:iCs w:val="1"/>
          <w:sz w:val="30"/>
          <w:szCs w:val="30"/>
          <w:rtl w:val="0"/>
          <w:lang w:val="en-US"/>
        </w:rPr>
        <w:t xml:space="preserve"> for novel applications.</w:t>
      </w: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i w:val="1"/>
          <w:iCs w:val="1"/>
          <w:sz w:val="30"/>
          <w:szCs w:val="30"/>
        </w:rPr>
      </w:pP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sz w:val="34"/>
          <w:szCs w:val="34"/>
          <w:lang w:val="en-US"/>
        </w:rPr>
      </w:pPr>
      <w:r>
        <w:rPr>
          <w:rStyle w:val="None"/>
          <w:rFonts w:ascii="Times Roman" w:hAnsi="Times Roman"/>
          <w:b w:val="1"/>
          <w:bCs w:val="1"/>
          <w:sz w:val="34"/>
          <w:szCs w:val="34"/>
          <w:rtl w:val="0"/>
          <w:lang w:val="en-US"/>
        </w:rPr>
        <w:t>10. Summary for Stakeholders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0"/>
          <w:szCs w:val="30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10.1 Scientific and Commercial Value</w:t>
      </w:r>
    </w:p>
    <w:p>
      <w:pPr>
        <w:pStyle w:val="Default"/>
        <w:suppressAutoHyphens w:val="1"/>
        <w:spacing w:before="80" w:after="80" w:line="264" w:lineRule="auto"/>
        <w:rPr>
          <w:rStyle w:val="None"/>
          <w:rFonts w:ascii="Times Roman" w:cs="Times Roman" w:hAnsi="Times Roman" w:eastAsia="Times Roman"/>
          <w:sz w:val="30"/>
          <w:szCs w:val="3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BHOC is the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first universal, donor-independent critical oxygenation support platform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for veterinary medicine, addressing: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fr-FR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fr-FR"/>
        </w:rPr>
        <w:t>Unmet oxygenation demand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(80% of clinics lack full support).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Operational inefficiencies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(delays, wastage, crossmatching).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Emerging applications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(oncology, longevity, sports medicine).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pt-PT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pt-PT"/>
          <w14:textFill>
            <w14:solidFill>
              <w14:srgbClr w14:val="535353"/>
            </w14:solidFill>
          </w14:textFill>
        </w:rPr>
        <w:t>10.2 Financial Impact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Clinics without transfusion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$50K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446K/year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in new profit.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Clinics with transfusion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$10K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20K/year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in savings + recurring revenue.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de-DE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de-DE"/>
        </w:rPr>
        <w:t>High value  markets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(zoos, wildlife, travel):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High-margin opportunities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>.</w:t>
      </w:r>
    </w:p>
    <w:p>
      <w:pPr>
        <w:pStyle w:val="Default"/>
        <w:suppressAutoHyphens w:val="1"/>
        <w:spacing w:before="80" w:after="80" w:line="264" w:lineRule="auto"/>
        <w:rPr>
          <w:rStyle w:val="None"/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lang w:val="en-US"/>
          <w14:textFill>
            <w14:solidFill>
              <w14:srgbClr w14:val="535353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535353"/>
          <w:sz w:val="32"/>
          <w:szCs w:val="32"/>
          <w:u w:val="single" w:color="535353"/>
          <w:rtl w:val="0"/>
          <w:lang w:val="en-US"/>
          <w14:textFill>
            <w14:solidFill>
              <w14:srgbClr w14:val="535353"/>
            </w14:solidFill>
          </w14:textFill>
        </w:rPr>
        <w:t>10.3 Strategic Positioning</w:t>
      </w:r>
    </w:p>
    <w:p>
      <w:pPr>
        <w:pStyle w:val="Default"/>
        <w:suppressAutoHyphens w:val="1"/>
        <w:spacing w:before="80" w:after="80" w:line="264" w:lineRule="auto"/>
        <w:rPr>
          <w:rStyle w:val="None"/>
          <w:rFonts w:ascii="Times Roman" w:cs="Times Roman" w:hAnsi="Times Roman" w:eastAsia="Times Roman"/>
          <w:sz w:val="30"/>
          <w:szCs w:val="30"/>
          <w:lang w:val="en-US"/>
        </w:rPr>
      </w:pP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BHOC is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not a blood replacement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but a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high-efficiency oxygen delivery system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with: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ru-RU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3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>–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ru-RU"/>
        </w:rPr>
        <w:t>5</w:t>
      </w:r>
      <w:r>
        <w:rPr>
          <w:rStyle w:val="None"/>
          <w:rFonts w:ascii="Times Roman" w:hAnsi="Times Roman" w:hint="default"/>
          <w:b w:val="1"/>
          <w:bCs w:val="1"/>
          <w:sz w:val="30"/>
          <w:szCs w:val="30"/>
          <w:rtl w:val="0"/>
          <w:lang w:val="ru-RU"/>
        </w:rPr>
        <w:t xml:space="preserve">× </w:t>
      </w: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oxygen efficiency</w:t>
      </w:r>
      <w:r>
        <w:rPr>
          <w:rStyle w:val="None"/>
          <w:rFonts w:ascii="Times Roman" w:hAnsi="Times Roman"/>
          <w:sz w:val="30"/>
          <w:szCs w:val="30"/>
          <w:rtl w:val="0"/>
          <w:lang w:val="ru-RU"/>
        </w:rPr>
        <w:t xml:space="preserve"> vs. pRBCs.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it-IT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it-IT"/>
        </w:rPr>
        <w:t>Universal compatibility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(all blood types, all species).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80" w:after="80" w:line="264" w:lineRule="auto"/>
        <w:ind w:right="0"/>
        <w:jc w:val="left"/>
        <w:rPr>
          <w:rFonts w:ascii="Arial Unicode MS" w:hAnsi="Arial Unicode MS"/>
          <w:sz w:val="30"/>
          <w:szCs w:val="30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sz w:val="30"/>
          <w:szCs w:val="30"/>
          <w:rtl w:val="0"/>
          <w:lang w:val="en-US"/>
        </w:rPr>
        <w:t>Recurring revenue potential</w:t>
      </w:r>
      <w:r>
        <w:rPr>
          <w:rStyle w:val="None"/>
          <w:rFonts w:ascii="Times Roman" w:hAnsi="Times Roman"/>
          <w:sz w:val="30"/>
          <w:szCs w:val="30"/>
          <w:rtl w:val="0"/>
          <w:lang w:val="en-US"/>
        </w:rPr>
        <w:t xml:space="preserve"> (oncology, longevity, sports).</w:t>
      </w: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0"/>
          <w:szCs w:val="3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10.4. Core Problems BHOC Is Designed to Address &amp; New Frontier of Precision Oxygenation Medicine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Limitations of the Traditional Donor Blood System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14:textFill>
            <w14:solidFill>
              <w14:srgbClr w14:val="A7A7A7"/>
            </w14:solidFill>
          </w14:textFill>
        </w:rPr>
      </w:pP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Current donor blood systems remain structurally limited by: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dependence on donor availability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limited immediate access during emergencies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geographic and logistical restrictions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short shelf life and cold-chain dependency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crossmatching and compatibility delays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high wastage rates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donor-program maintenance costs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limited support for wildlife, exotic, and field veterinary medicine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14:textFill>
            <w14:solidFill>
              <w14:srgbClr w14:val="A7A7A7"/>
            </w14:solidFill>
          </w14:textFill>
        </w:rPr>
      </w:pP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Evolution of the Donor Blood Model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BHOC does not aim to eliminate donor blood systems.</w:t>
      </w:r>
      <w:r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lang w:val="ru-RU"/>
        </w:rPr>
        <w:br w:type="textWrapping"/>
      </w: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Instead, it may help transform them into smarter and more efficient oxygen-support networks through: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 w:hint="default"/>
          <w:outline w:val="0"/>
          <w:color w:val="a7a7a7"/>
          <w:sz w:val="28"/>
          <w:szCs w:val="28"/>
          <w:rtl w:val="0"/>
          <w:lang w:val="ar-SA" w:bidi="ar-SA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Arial Unicode MS" w:hAnsi="Arial Unicode MS" w:hint="default"/>
          <w:outline w:val="0"/>
          <w:color w:val="a7a7a7"/>
          <w:sz w:val="28"/>
          <w:szCs w:val="28"/>
          <w:u w:color="a7a7a7"/>
          <w:rtl w:val="1"/>
          <w:lang w:val="ar-SA" w:bidi="ar-SA"/>
          <w14:textFill>
            <w14:solidFill>
              <w14:srgbClr w14:val="A7A7A7"/>
            </w14:solidFill>
          </w14:textFill>
        </w:rPr>
        <w:t>“</w:t>
      </w: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donor-on-call</w:t>
      </w:r>
      <w:r>
        <w:rPr>
          <w:rStyle w:val="None"/>
          <w:rFonts w:ascii="Times Roman" w:hAnsi="Times Roman" w:hint="default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ru-RU"/>
          <w14:textFill>
            <w14:solidFill>
              <w14:srgbClr w14:val="A7A7A7"/>
            </w14:solidFill>
          </w14:textFill>
        </w:rPr>
        <w:t xml:space="preserve">” </w:t>
      </w: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activation models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reduced emergency stockpile dependency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faster oxygen-support deployment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strategic reserve and bridge-support capability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immediate oxygenation support before donor blood becomes available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</w:rPr>
      </w:pP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Problems Traditional RBC Transfusion Does Not Fully Solve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Traditional RBC transfusion does not  address with the best outcome: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immediate tissue oxygen delivery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microvascular and endothelial dysfunction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oxygen diffusion into narrowed or damaged vessels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delayed oxygen unloading from stored RBCs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oxygen-support needs in species without practical donor systems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emergency deployment in remote, wildlife, battlefield, transport, or disaster settings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The core biological metabolic target is not simply hemoglobin replacement - but effective tissue oxygenation.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14:textFill>
            <w14:solidFill>
              <w14:srgbClr w14:val="A7A7A7"/>
            </w14:solidFill>
          </w14:textFill>
        </w:rPr>
      </w:pP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BHOC Strategic Advantages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BHOC is designed as a Precision Oxygen Therapeutic and microvascular Oxygen Bridge platform with potential advantages including: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immediate oxygen-delivery support (safe resuscitation)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microvascular and tissue-level oxygenation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potentially improved oxygen diffusion in compromised circulation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lower required infusion volumes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reduced fluid-overload risk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room-temperature stable shelf solution (+3 years target)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ready-to-use emergency deployment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reduced donor dependency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reduced crossmatching burden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support for companion, exotic, equine, zoo, wildlife, and field veterinary medicine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14:textFill>
            <w14:solidFill>
              <w14:srgbClr w14:val="A7A7A7"/>
            </w14:solidFill>
          </w14:textFill>
        </w:rPr>
      </w:pP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Critical Zoo, Wildlife &amp; Exotic-Animal Value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For zoo, wildlife, falcon, equine, and exotic-animal medicine, BHOC may represent one of the first practical immediately deployable oxygen-support platforms where: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donor blood is unavailable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crossmatching is impossible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refrigeration infrastructure is limited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species-specific blood products do not exist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emergency oxygenation time is critical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This may create an entirely new operational capability for veterinary emergency and critical-care medicine.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14:textFill>
            <w14:solidFill>
              <w14:srgbClr w14:val="A7A7A7"/>
            </w14:solidFill>
          </w14:textFill>
        </w:rPr>
      </w:pP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New Scientific &amp; Clinical Frontier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BHOC may open a new frontier in veterinary medicine: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Precision Tissue-Level Oxygenation Medicine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This emerging field may include: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supportive treatment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curative-support strategies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recovery optimization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rehabilitation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fr-FR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fr-FR"/>
          <w14:textFill>
            <w14:solidFill>
              <w14:srgbClr w14:val="A7A7A7"/>
            </w14:solidFill>
          </w14:textFill>
        </w:rPr>
        <w:t>post-surgical oxygenation support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it-IT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it-IT"/>
          <w14:textFill>
            <w14:solidFill>
              <w14:srgbClr w14:val="A7A7A7"/>
            </w14:solidFill>
          </w14:textFill>
        </w:rPr>
        <w:t>oncology-support protocols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longevity and vitality programs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critical-care stabilization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sports recovery and metabolic support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28"/>
          <w:szCs w:val="28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28"/>
          <w:szCs w:val="28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organ-support applications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The strategic shift is: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u w:val="single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u w:val="single"/>
          <w:rtl w:val="0"/>
          <w:lang w:val="en-US"/>
        </w:rPr>
        <w:t>From replacing blood volume</w:t>
      </w:r>
      <w:r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u w:val="single"/>
          <w:lang w:val="ru-RU"/>
        </w:rPr>
        <w:br w:type="textWrapping"/>
      </w: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u w:val="single"/>
          <w:rtl w:val="0"/>
          <w:lang w:val="en-US"/>
        </w:rPr>
        <w:t>to supporting oxygen biology at the tissue and microvascular level.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14:textFill>
            <w14:solidFill>
              <w14:srgbClr w14:val="A7A7A7"/>
            </w14:solidFill>
          </w14:textFill>
        </w:rPr>
      </w:pP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New Scientific Field &amp; New Veterinary Practice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BHOC may help establish: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a new field of scientific investigation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new veterinary practice models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new supportive therapeutic categories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new recurring-treatment pathways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new oxygenation-focused clinical protocols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This expands veterinary medicine beyond transfusion toward active management of tissue oxygenation and metabolic support.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14:textFill>
            <w14:solidFill>
              <w14:srgbClr w14:val="A7A7A7"/>
            </w14:solidFill>
          </w14:textFill>
        </w:rPr>
      </w:pP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Bridge to Xenotransplantation &amp; Human Translation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30"/>
          <w:szCs w:val="3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30"/>
          <w:szCs w:val="30"/>
          <w:rtl w:val="0"/>
          <w:lang w:val="en-US"/>
        </w:rPr>
        <w:t>Veterinary BHOC may also serve as a bridge platform for future xenotransplantation and translational human medicine through: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supportive organ oxygenation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it-IT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it-IT"/>
          <w14:textFill>
            <w14:solidFill>
              <w14:srgbClr w14:val="A7A7A7"/>
            </w14:solidFill>
          </w14:textFill>
        </w:rPr>
        <w:t>ex vivo organ perfusion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recovery of marginal organs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pre-transplant oxygen support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ischemia-reperfusion injury reduction</w:t>
      </w:r>
    </w:p>
    <w:p>
      <w:pPr>
        <w:pStyle w:val="Default"/>
        <w:numPr>
          <w:ilvl w:val="0"/>
          <w:numId w:val="15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a7a7a7"/>
          <w:sz w:val="30"/>
          <w:szCs w:val="30"/>
          <w:rtl w:val="0"/>
          <w:lang w:val="en-US"/>
          <w14:textFill>
            <w14:solidFill>
              <w14:srgbClr w14:val="A7A7A7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:rtl w:val="0"/>
          <w:lang w:val="en-US"/>
          <w14:textFill>
            <w14:solidFill>
              <w14:srgbClr w14:val="A7A7A7"/>
            </w14:solidFill>
          </w14:textFill>
        </w:rPr>
        <w:t>veterinary-to-human translational models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a7a7a7"/>
          <w:sz w:val="30"/>
          <w:szCs w:val="30"/>
          <w:u w:color="a7a7a7"/>
          <w14:textFill>
            <w14:solidFill>
              <w14:srgbClr w14:val="A7A7A7"/>
            </w14:solidFill>
          </w14:textFill>
        </w:rPr>
      </w:pP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4ead2b"/>
          <w:sz w:val="34"/>
          <w:szCs w:val="34"/>
          <w:u w:color="4ead2b"/>
          <w:lang w:val="en-US"/>
          <w14:textFill>
            <w14:solidFill>
              <w14:srgbClr w14:val="4EAD2B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4ead2b"/>
          <w:sz w:val="34"/>
          <w:szCs w:val="34"/>
          <w:u w:color="4ead2b"/>
          <w:rtl w:val="0"/>
          <w:lang w:val="en-US"/>
          <w14:textFill>
            <w14:solidFill>
              <w14:srgbClr w14:val="4EAD2B"/>
            </w14:solidFill>
          </w14:textFill>
        </w:rPr>
        <w:t>In this context, BHOC is not only a product.</w:t>
      </w:r>
    </w:p>
    <w:p>
      <w:pPr>
        <w:pStyle w:val="Default"/>
        <w:suppressAutoHyphens w:val="1"/>
        <w:spacing w:before="20" w:after="2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outline w:val="0"/>
          <w:color w:val="4ead2b"/>
          <w:sz w:val="34"/>
          <w:szCs w:val="34"/>
          <w:u w:color="4ead2b"/>
          <w:lang w:val="en-US"/>
          <w14:textFill>
            <w14:solidFill>
              <w14:srgbClr w14:val="4EAD2B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4ead2b"/>
          <w:sz w:val="34"/>
          <w:szCs w:val="34"/>
          <w:u w:color="4ead2b"/>
          <w:rtl w:val="0"/>
          <w:lang w:val="en-US"/>
          <w14:textFill>
            <w14:solidFill>
              <w14:srgbClr w14:val="4EAD2B"/>
            </w14:solidFill>
          </w14:textFill>
        </w:rPr>
        <w:t>It is a platform for building:</w:t>
      </w:r>
    </w:p>
    <w:p>
      <w:pPr>
        <w:pStyle w:val="Default"/>
        <w:numPr>
          <w:ilvl w:val="0"/>
          <w:numId w:val="17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4ead2b"/>
          <w:sz w:val="34"/>
          <w:szCs w:val="34"/>
          <w:rtl w:val="0"/>
          <w:lang w:val="en-US"/>
          <w14:textFill>
            <w14:solidFill>
              <w14:srgbClr w14:val="4EAD2B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4ead2b"/>
          <w:sz w:val="34"/>
          <w:szCs w:val="34"/>
          <w:u w:color="4ead2b"/>
          <w:rtl w:val="0"/>
          <w:lang w:val="en-US"/>
          <w14:textFill>
            <w14:solidFill>
              <w14:srgbClr w14:val="4EAD2B"/>
            </w14:solidFill>
          </w14:textFill>
        </w:rPr>
        <w:t>a new metabolic oxygenation science,</w:t>
      </w:r>
    </w:p>
    <w:p>
      <w:pPr>
        <w:pStyle w:val="Default"/>
        <w:numPr>
          <w:ilvl w:val="0"/>
          <w:numId w:val="17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4ead2b"/>
          <w:sz w:val="34"/>
          <w:szCs w:val="34"/>
          <w:rtl w:val="0"/>
          <w:lang w:val="en-US"/>
          <w14:textFill>
            <w14:solidFill>
              <w14:srgbClr w14:val="4EAD2B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4ead2b"/>
          <w:sz w:val="34"/>
          <w:szCs w:val="34"/>
          <w:u w:color="4ead2b"/>
          <w:rtl w:val="0"/>
          <w:lang w:val="en-US"/>
          <w14:textFill>
            <w14:solidFill>
              <w14:srgbClr w14:val="4EAD2B"/>
            </w14:solidFill>
          </w14:textFill>
        </w:rPr>
        <w:t>a new therapeutic direction,</w:t>
      </w:r>
    </w:p>
    <w:p>
      <w:pPr>
        <w:pStyle w:val="Default"/>
        <w:numPr>
          <w:ilvl w:val="0"/>
          <w:numId w:val="17"/>
        </w:numPr>
        <w:suppressAutoHyphens w:val="1"/>
        <w:bidi w:val="0"/>
        <w:spacing w:before="20" w:after="20" w:line="240" w:lineRule="auto"/>
        <w:ind w:right="0"/>
        <w:jc w:val="left"/>
        <w:rPr>
          <w:rFonts w:ascii="Arial Unicode MS" w:hAnsi="Arial Unicode MS"/>
          <w:outline w:val="0"/>
          <w:color w:val="4ead2b"/>
          <w:sz w:val="34"/>
          <w:szCs w:val="34"/>
          <w:rtl w:val="0"/>
          <w:lang w:val="en-US"/>
          <w14:textFill>
            <w14:solidFill>
              <w14:srgbClr w14:val="4EAD2B"/>
            </w14:solidFill>
          </w14:textFill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outline w:val="0"/>
          <w:color w:val="4ead2b"/>
          <w:sz w:val="34"/>
          <w:szCs w:val="34"/>
          <w:u w:color="4ead2b"/>
          <w:rtl w:val="0"/>
          <w:lang w:val="en-US"/>
          <w14:textFill>
            <w14:solidFill>
              <w14:srgbClr w14:val="4EAD2B"/>
            </w14:solidFill>
          </w14:textFill>
        </w:rPr>
        <w:t>and a new category of Precision Oxygenation Medicine.</w:t>
      </w: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i w:val="1"/>
          <w:iCs w:val="1"/>
          <w:outline w:val="0"/>
          <w:color w:val="0082cc"/>
          <w:sz w:val="22"/>
          <w:szCs w:val="22"/>
          <w:u w:color="0082cc"/>
          <w14:textFill>
            <w14:solidFill>
              <w14:srgbClr w14:val="0082CC"/>
            </w14:solidFill>
          </w14:textFill>
        </w:rPr>
      </w:pP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22"/>
          <w:szCs w:val="22"/>
        </w:rPr>
      </w:pP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22"/>
          <w:szCs w:val="22"/>
        </w:rPr>
      </w:pP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b w:val="1"/>
          <w:bCs w:val="1"/>
          <w:i w:val="1"/>
          <w:iCs w:val="1"/>
          <w:sz w:val="22"/>
          <w:szCs w:val="22"/>
        </w:rPr>
      </w:pP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b w:val="1"/>
          <w:bCs w:val="1"/>
          <w:sz w:val="34"/>
          <w:szCs w:val="34"/>
          <w:lang w:val="en-US"/>
        </w:rPr>
      </w:pPr>
      <w:r>
        <w:rPr>
          <w:rStyle w:val="None"/>
          <w:rFonts w:ascii="Times Roman" w:hAnsi="Times Roman"/>
          <w:b w:val="1"/>
          <w:bCs w:val="1"/>
          <w:sz w:val="34"/>
          <w:szCs w:val="34"/>
          <w:rtl w:val="0"/>
          <w:lang w:val="en-US"/>
        </w:rPr>
        <w:t>11. Disclaimer</w:t>
      </w: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i w:val="1"/>
          <w:iCs w:val="1"/>
          <w:sz w:val="22"/>
          <w:szCs w:val="22"/>
          <w:lang w:val="en-US"/>
        </w:rPr>
      </w:pPr>
      <w:r>
        <w:rPr>
          <w:rStyle w:val="None"/>
          <w:rFonts w:ascii="Times Roman" w:hAnsi="Times Roman"/>
          <w:i w:val="1"/>
          <w:iCs w:val="1"/>
          <w:sz w:val="22"/>
          <w:szCs w:val="22"/>
          <w:rtl w:val="0"/>
          <w:lang w:val="en-US"/>
        </w:rPr>
        <w:t xml:space="preserve">This document is for </w:t>
      </w:r>
      <w:r>
        <w:rPr>
          <w:rStyle w:val="None"/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en-US"/>
        </w:rPr>
        <w:t>internal strategic use</w:t>
      </w:r>
      <w:r>
        <w:rPr>
          <w:rStyle w:val="None"/>
          <w:rFonts w:ascii="Times Roman" w:hAnsi="Times Roman"/>
          <w:i w:val="1"/>
          <w:iCs w:val="1"/>
          <w:sz w:val="22"/>
          <w:szCs w:val="22"/>
          <w:rtl w:val="0"/>
          <w:lang w:val="en-US"/>
        </w:rPr>
        <w:t xml:space="preserve"> and contains </w:t>
      </w:r>
      <w:r>
        <w:rPr>
          <w:rStyle w:val="None"/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en-US"/>
        </w:rPr>
        <w:t>projections, estimates, and forward-looking statements</w:t>
      </w:r>
      <w:r>
        <w:rPr>
          <w:rStyle w:val="None"/>
          <w:rFonts w:ascii="Times Roman" w:hAnsi="Times Roman"/>
          <w:i w:val="1"/>
          <w:iCs w:val="1"/>
          <w:sz w:val="22"/>
          <w:szCs w:val="22"/>
          <w:rtl w:val="0"/>
          <w:lang w:val="en-US"/>
        </w:rPr>
        <w:t xml:space="preserve"> based on:</w:t>
      </w:r>
    </w:p>
    <w:p>
      <w:pPr>
        <w:pStyle w:val="Default"/>
        <w:numPr>
          <w:ilvl w:val="0"/>
          <w:numId w:val="1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22"/>
          <w:szCs w:val="22"/>
          <w:rtl w:val="0"/>
          <w:lang w:val="ru-RU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ru-RU"/>
        </w:rPr>
        <w:t>2026 market modeling</w:t>
      </w:r>
      <w:r>
        <w:rPr>
          <w:rStyle w:val="None"/>
          <w:rFonts w:ascii="Times Roman" w:hAnsi="Times Roman"/>
          <w:i w:val="1"/>
          <w:iCs w:val="1"/>
          <w:sz w:val="22"/>
          <w:szCs w:val="22"/>
          <w:rtl w:val="0"/>
          <w:lang w:val="ru-RU"/>
        </w:rPr>
        <w:t>.</w:t>
      </w:r>
    </w:p>
    <w:p>
      <w:pPr>
        <w:pStyle w:val="Default"/>
        <w:numPr>
          <w:ilvl w:val="0"/>
          <w:numId w:val="1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22"/>
          <w:szCs w:val="22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en-US"/>
        </w:rPr>
        <w:t>Preclinical and historical data</w:t>
      </w:r>
      <w:r>
        <w:rPr>
          <w:rStyle w:val="None"/>
          <w:rFonts w:ascii="Times Roman" w:hAnsi="Times Roman"/>
          <w:i w:val="1"/>
          <w:iCs w:val="1"/>
          <w:sz w:val="22"/>
          <w:szCs w:val="22"/>
          <w:rtl w:val="0"/>
          <w:lang w:val="it-IT"/>
        </w:rPr>
        <w:t xml:space="preserve"> (Oxyglobin/Hemopure).</w:t>
      </w:r>
    </w:p>
    <w:p>
      <w:pPr>
        <w:pStyle w:val="Default"/>
        <w:numPr>
          <w:ilvl w:val="0"/>
          <w:numId w:val="1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22"/>
          <w:szCs w:val="22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en-US"/>
        </w:rPr>
        <w:t>Veterinary workflow analysis</w:t>
      </w:r>
      <w:r>
        <w:rPr>
          <w:rStyle w:val="None"/>
          <w:rFonts w:ascii="Times Roman" w:hAnsi="Times Roman"/>
          <w:i w:val="1"/>
          <w:iCs w:val="1"/>
          <w:sz w:val="22"/>
          <w:szCs w:val="22"/>
          <w:rtl w:val="0"/>
          <w:lang w:val="ru-RU"/>
        </w:rPr>
        <w:t>.</w:t>
      </w: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i w:val="1"/>
          <w:iCs w:val="1"/>
          <w:sz w:val="22"/>
          <w:szCs w:val="22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en-US"/>
        </w:rPr>
        <w:t>Key Notes</w:t>
      </w:r>
      <w:r>
        <w:rPr>
          <w:rStyle w:val="None"/>
          <w:rFonts w:ascii="Times Roman" w:hAnsi="Times Roman"/>
          <w:i w:val="1"/>
          <w:iCs w:val="1"/>
          <w:sz w:val="22"/>
          <w:szCs w:val="22"/>
          <w:rtl w:val="0"/>
          <w:lang w:val="ru-RU"/>
        </w:rPr>
        <w:t>:</w:t>
      </w:r>
    </w:p>
    <w:p>
      <w:pPr>
        <w:pStyle w:val="Default"/>
        <w:numPr>
          <w:ilvl w:val="0"/>
          <w:numId w:val="1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22"/>
          <w:szCs w:val="22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en-US"/>
        </w:rPr>
        <w:t>Regulatory Status</w:t>
      </w:r>
      <w:r>
        <w:rPr>
          <w:rStyle w:val="None"/>
          <w:rFonts w:ascii="Times Roman" w:hAnsi="Times Roman"/>
          <w:i w:val="1"/>
          <w:iCs w:val="1"/>
          <w:sz w:val="22"/>
          <w:szCs w:val="22"/>
          <w:rtl w:val="0"/>
          <w:lang w:val="en-US"/>
        </w:rPr>
        <w:t xml:space="preserve">: Final product specifications, pricing, and claims are subject to </w:t>
      </w:r>
      <w:r>
        <w:rPr>
          <w:rStyle w:val="None"/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en-US"/>
        </w:rPr>
        <w:t>FDA/CVM approval as a biosimilar (expected 2026</w:t>
      </w:r>
      <w:r>
        <w:rPr>
          <w:rStyle w:val="None"/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ru-RU"/>
        </w:rPr>
        <w:t>)</w:t>
      </w:r>
      <w:r>
        <w:rPr>
          <w:rStyle w:val="None"/>
          <w:rFonts w:ascii="Times Roman" w:hAnsi="Times Roman"/>
          <w:i w:val="1"/>
          <w:iCs w:val="1"/>
          <w:sz w:val="22"/>
          <w:szCs w:val="22"/>
          <w:rtl w:val="0"/>
          <w:lang w:val="ru-RU"/>
        </w:rPr>
        <w:t>.</w:t>
      </w:r>
    </w:p>
    <w:p>
      <w:pPr>
        <w:pStyle w:val="Default"/>
        <w:numPr>
          <w:ilvl w:val="0"/>
          <w:numId w:val="1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22"/>
          <w:szCs w:val="22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en-US"/>
        </w:rPr>
        <w:t>Scientific Validation</w:t>
      </w:r>
      <w:r>
        <w:rPr>
          <w:rStyle w:val="None"/>
          <w:rFonts w:ascii="Times Roman" w:hAnsi="Times Roman"/>
          <w:i w:val="1"/>
          <w:iCs w:val="1"/>
          <w:sz w:val="22"/>
          <w:szCs w:val="22"/>
          <w:rtl w:val="0"/>
          <w:lang w:val="en-US"/>
        </w:rPr>
        <w:t xml:space="preserve">: Expanded applications (oncology, longevity, etc.) require </w:t>
      </w:r>
      <w:r>
        <w:rPr>
          <w:rStyle w:val="None"/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en-US"/>
        </w:rPr>
        <w:t>veterinary-specific clinical validation</w:t>
      </w:r>
      <w:r>
        <w:rPr>
          <w:rStyle w:val="None"/>
          <w:rFonts w:ascii="Times Roman" w:hAnsi="Times Roman"/>
          <w:i w:val="1"/>
          <w:iCs w:val="1"/>
          <w:sz w:val="22"/>
          <w:szCs w:val="22"/>
          <w:rtl w:val="0"/>
          <w:lang w:val="ru-RU"/>
        </w:rPr>
        <w:t>.</w:t>
      </w:r>
    </w:p>
    <w:p>
      <w:pPr>
        <w:pStyle w:val="Default"/>
        <w:numPr>
          <w:ilvl w:val="0"/>
          <w:numId w:val="1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22"/>
          <w:szCs w:val="22"/>
          <w:rtl w:val="0"/>
          <w:lang w:val="pt-PT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pt-PT"/>
        </w:rPr>
        <w:t>Antidoping Compliance</w:t>
      </w:r>
      <w:r>
        <w:rPr>
          <w:rStyle w:val="None"/>
          <w:rFonts w:ascii="Times Roman" w:hAnsi="Times Roman"/>
          <w:i w:val="1"/>
          <w:iCs w:val="1"/>
          <w:sz w:val="22"/>
          <w:szCs w:val="22"/>
          <w:rtl w:val="0"/>
          <w:lang w:val="en-US"/>
        </w:rPr>
        <w:t xml:space="preserve">: Clinics must verify </w:t>
      </w:r>
      <w:r>
        <w:rPr>
          <w:rStyle w:val="None"/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en-US"/>
        </w:rPr>
        <w:t>species-specific regulations</w:t>
      </w:r>
      <w:r>
        <w:rPr>
          <w:rStyle w:val="None"/>
          <w:rFonts w:ascii="Times Roman" w:hAnsi="Times Roman"/>
          <w:i w:val="1"/>
          <w:iCs w:val="1"/>
          <w:sz w:val="22"/>
          <w:szCs w:val="22"/>
          <w:rtl w:val="0"/>
          <w:lang w:val="ru-RU"/>
        </w:rPr>
        <w:t xml:space="preserve"> (e.g., FEI, ARCI).</w:t>
      </w:r>
    </w:p>
    <w:p>
      <w:pPr>
        <w:pStyle w:val="Default"/>
        <w:numPr>
          <w:ilvl w:val="0"/>
          <w:numId w:val="18"/>
        </w:numPr>
        <w:suppressAutoHyphens w:val="1"/>
        <w:bidi w:val="0"/>
        <w:spacing w:before="80" w:after="80" w:line="240" w:lineRule="auto"/>
        <w:ind w:right="0"/>
        <w:jc w:val="left"/>
        <w:rPr>
          <w:rFonts w:ascii="Arial Unicode MS" w:hAnsi="Arial Unicode MS"/>
          <w:sz w:val="22"/>
          <w:szCs w:val="22"/>
          <w:rtl w:val="0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en-US"/>
        </w:rPr>
        <w:t>Safety</w:t>
      </w:r>
      <w:r>
        <w:rPr>
          <w:rStyle w:val="None"/>
          <w:rFonts w:ascii="Times Roman" w:hAnsi="Times Roman"/>
          <w:i w:val="1"/>
          <w:iCs w:val="1"/>
          <w:sz w:val="22"/>
          <w:szCs w:val="22"/>
          <w:rtl w:val="0"/>
          <w:lang w:val="de-DE"/>
        </w:rPr>
        <w:t>: BHOC</w:t>
      </w:r>
      <w:r>
        <w:rPr>
          <w:rStyle w:val="None"/>
          <w:rFonts w:ascii="Arial Unicode MS" w:hAnsi="Arial Unicode MS" w:hint="default"/>
          <w:sz w:val="22"/>
          <w:szCs w:val="22"/>
          <w:rtl w:val="1"/>
          <w:lang w:val="ar-SA" w:bidi="ar-SA"/>
        </w:rPr>
        <w:t>’</w:t>
      </w:r>
      <w:r>
        <w:rPr>
          <w:rStyle w:val="None"/>
          <w:rFonts w:ascii="Times Roman" w:hAnsi="Times Roman"/>
          <w:i w:val="1"/>
          <w:iCs w:val="1"/>
          <w:sz w:val="22"/>
          <w:szCs w:val="22"/>
          <w:rtl w:val="0"/>
          <w:lang w:val="ru-RU"/>
        </w:rPr>
        <w:t xml:space="preserve">s </w:t>
      </w:r>
      <w:r>
        <w:rPr>
          <w:rStyle w:val="None"/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en-US"/>
        </w:rPr>
        <w:t>~200 kDa MW and endotoxin-free formulation</w:t>
      </w:r>
      <w:r>
        <w:rPr>
          <w:rStyle w:val="None"/>
          <w:rFonts w:ascii="Times Roman" w:hAnsi="Times Roman"/>
          <w:i w:val="1"/>
          <w:iCs w:val="1"/>
          <w:sz w:val="22"/>
          <w:szCs w:val="22"/>
          <w:rtl w:val="0"/>
          <w:lang w:val="en-US"/>
        </w:rPr>
        <w:t xml:space="preserve"> are designed to increase effect and to minimize vasoactivity risks.</w:t>
      </w: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i w:val="1"/>
          <w:iCs w:val="1"/>
          <w:sz w:val="22"/>
          <w:szCs w:val="22"/>
          <w:lang w:val="en-US"/>
        </w:rPr>
      </w:pPr>
      <w:r>
        <w:rPr>
          <w:rStyle w:val="None"/>
          <w:rFonts w:ascii="Times Roman" w:hAnsi="Times Roman"/>
          <w:b w:val="1"/>
          <w:bCs w:val="1"/>
          <w:i w:val="1"/>
          <w:iCs w:val="1"/>
          <w:sz w:val="22"/>
          <w:szCs w:val="22"/>
          <w:rtl w:val="0"/>
          <w:lang w:val="en-US"/>
        </w:rPr>
        <w:t>Not for public distribution or regulatory submission without approval.</w:t>
      </w:r>
    </w:p>
    <w:p>
      <w:pPr>
        <w:pStyle w:val="Default"/>
        <w:suppressAutoHyphens w:val="1"/>
        <w:spacing w:before="80" w:after="80" w:line="240" w:lineRule="auto"/>
        <w:rPr>
          <w:rStyle w:val="None"/>
          <w:rFonts w:ascii="Times Roman" w:cs="Times Roman" w:hAnsi="Times Roman" w:eastAsia="Times Roman"/>
          <w:i w:val="1"/>
          <w:iCs w:val="1"/>
          <w:outline w:val="0"/>
          <w:color w:val="808080"/>
          <w:sz w:val="22"/>
          <w:szCs w:val="22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80" w:after="80"/>
        <w:rPr>
          <w:rStyle w:val="None"/>
          <w:rFonts w:ascii="Times Roman" w:cs="Times Roman" w:hAnsi="Times Roman" w:eastAsia="Times Roman"/>
          <w:outline w:val="0"/>
          <w:color w:val="808080"/>
          <w:sz w:val="30"/>
          <w:szCs w:val="3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60" w:line="240" w:lineRule="auto"/>
        <w:rPr>
          <w:rStyle w:val="None"/>
          <w:rFonts w:ascii="Times Roman" w:cs="Times Roman" w:hAnsi="Times Roman" w:eastAsia="Times Roman"/>
          <w:b w:val="1"/>
          <w:bCs w:val="1"/>
          <w:lang w:val="fr-FR"/>
        </w:rPr>
      </w:pPr>
      <w:r>
        <w:rPr>
          <w:rStyle w:val="None"/>
          <w:rFonts w:ascii="Times Roman" w:hAnsi="Times Roman"/>
          <w:b w:val="1"/>
          <w:bCs w:val="1"/>
          <w:rtl w:val="0"/>
          <w:lang w:val="fr-FR"/>
        </w:rPr>
        <w:t>12. References</w:t>
      </w:r>
    </w:p>
    <w:p>
      <w:pPr>
        <w:pStyle w:val="Default"/>
        <w:suppressAutoHyphens w:val="1"/>
        <w:spacing w:before="40" w:after="60" w:line="240" w:lineRule="auto"/>
        <w:rPr>
          <w:rStyle w:val="None"/>
          <w:rFonts w:ascii="Times Roman" w:cs="Times Roman" w:hAnsi="Times Roman" w:eastAsia="Times Roman"/>
          <w:b w:val="1"/>
          <w:bCs w:val="1"/>
          <w:lang w:val="en-US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Regulatory and Historical</w:t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ru-RU"/>
        </w:rPr>
      </w:pPr>
      <w:r>
        <w:rPr>
          <w:rStyle w:val="None"/>
          <w:rFonts w:ascii="Times Roman" w:hAnsi="Times Roman"/>
          <w:rtl w:val="0"/>
          <w:lang w:val="ru-RU"/>
        </w:rPr>
        <w:t xml:space="preserve">FDA. (1998). </w:t>
      </w:r>
      <w:r>
        <w:rPr>
          <w:rStyle w:val="None"/>
          <w:rFonts w:ascii="Times Roman" w:hAnsi="Times Roman"/>
          <w:i w:val="1"/>
          <w:iCs w:val="1"/>
          <w:rtl w:val="0"/>
          <w:lang w:val="it-IT"/>
        </w:rPr>
        <w:t>Oxyglobin (Hemoglobin Glutamer-200) Approval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 w:color="0000ee"/>
          <w:lang w:val="en-US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 w:color="0000ee"/>
          <w:lang w:val="en-US"/>
          <w14:textFill>
            <w14:solidFill>
              <w14:srgbClr w14:val="0000EE"/>
            </w14:solidFill>
          </w14:textFill>
        </w:rPr>
        <w:instrText xml:space="preserve"> HYPERLINK "https://animaldrugsatfda.fda.gov/"</w:instrText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 w:color="0000ee"/>
          <w:lang w:val="en-US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2"/>
          <w:rFonts w:ascii="Times Roman" w:hAnsi="Times Roman"/>
          <w:outline w:val="0"/>
          <w:color w:val="0000ee"/>
          <w:u w:val="single" w:color="0000ee"/>
          <w:rtl w:val="0"/>
          <w:lang w:val="en-US"/>
          <w14:textFill>
            <w14:solidFill>
              <w14:srgbClr w14:val="0000EE"/>
            </w14:solidFill>
          </w14:textFill>
        </w:rPr>
        <w:t>Animal Drugs @ FDA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ru-RU"/>
        </w:rPr>
      </w:pPr>
      <w:r>
        <w:rPr>
          <w:rStyle w:val="None"/>
          <w:rFonts w:ascii="Times Roman" w:hAnsi="Times Roman"/>
          <w:rtl w:val="0"/>
          <w:lang w:val="ru-RU"/>
        </w:rPr>
        <w:t xml:space="preserve">EMA. (1999). </w:t>
      </w:r>
      <w:r>
        <w:rPr>
          <w:rStyle w:val="None"/>
          <w:rFonts w:ascii="Times Roman" w:hAnsi="Times Roman"/>
          <w:i w:val="1"/>
          <w:iCs w:val="1"/>
          <w:rtl w:val="0"/>
          <w:lang w:val="ru-RU"/>
        </w:rPr>
        <w:t>Oxyglobin EPAR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Hyperlink.3"/>
          <w:rFonts w:ascii="Times Roman" w:cs="Times Roman" w:hAnsi="Times Roman" w:eastAsia="Times Roman"/>
          <w:outline w:val="0"/>
          <w:color w:val="0000ee"/>
          <w:u w:val="single" w:color="0000ee"/>
          <w:lang w:val="de-D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3"/>
          <w:rFonts w:ascii="Times Roman" w:cs="Times Roman" w:hAnsi="Times Roman" w:eastAsia="Times Roman"/>
          <w:outline w:val="0"/>
          <w:color w:val="0000ee"/>
          <w:u w:val="single" w:color="0000ee"/>
          <w:lang w:val="de-DE"/>
          <w14:textFill>
            <w14:solidFill>
              <w14:srgbClr w14:val="0000EE"/>
            </w14:solidFill>
          </w14:textFill>
        </w:rPr>
        <w:instrText xml:space="preserve"> HYPERLINK "https://www.ema.europa.eu/en/medicines/veterinary/EPAR/oxyglobin"</w:instrText>
      </w:r>
      <w:r>
        <w:rPr>
          <w:rStyle w:val="Hyperlink.3"/>
          <w:rFonts w:ascii="Times Roman" w:cs="Times Roman" w:hAnsi="Times Roman" w:eastAsia="Times Roman"/>
          <w:outline w:val="0"/>
          <w:color w:val="0000ee"/>
          <w:u w:val="single" w:color="0000ee"/>
          <w:lang w:val="de-D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3"/>
          <w:rFonts w:ascii="Times Roman" w:hAnsi="Times Roman"/>
          <w:outline w:val="0"/>
          <w:color w:val="0000ee"/>
          <w:u w:val="single" w:color="0000ee"/>
          <w:rtl w:val="0"/>
          <w:lang w:val="de-DE"/>
          <w14:textFill>
            <w14:solidFill>
              <w14:srgbClr w14:val="0000EE"/>
            </w14:solidFill>
          </w14:textFill>
        </w:rPr>
        <w:t>EMA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it-IT"/>
        </w:rPr>
      </w:pPr>
      <w:r>
        <w:rPr>
          <w:rStyle w:val="None"/>
          <w:rFonts w:ascii="Times Roman" w:hAnsi="Times Roman"/>
          <w:rtl w:val="0"/>
          <w:lang w:val="it-IT"/>
        </w:rPr>
        <w:t xml:space="preserve">Biopure Corporation. (2001).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Annual Report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Hyperlink.4"/>
          <w:rFonts w:ascii="Times Roman" w:cs="Times Roman" w:hAnsi="Times Roman" w:eastAsia="Times Roman"/>
          <w:outline w:val="0"/>
          <w:color w:val="0000ee"/>
          <w:u w:val="single" w:color="0000ee"/>
          <w:lang w:val="it-IT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4"/>
          <w:rFonts w:ascii="Times Roman" w:cs="Times Roman" w:hAnsi="Times Roman" w:eastAsia="Times Roman"/>
          <w:outline w:val="0"/>
          <w:color w:val="0000ee"/>
          <w:u w:val="single" w:color="0000ee"/>
          <w:lang w:val="it-IT"/>
          <w14:textFill>
            <w14:solidFill>
              <w14:srgbClr w14:val="0000EE"/>
            </w14:solidFill>
          </w14:textFill>
        </w:rPr>
        <w:instrText xml:space="preserve"> HYPERLINK "https://media.corporate-ir.net/media_files/NSD/BPUR/reports/bpur_ar01.pdf"</w:instrText>
      </w:r>
      <w:r>
        <w:rPr>
          <w:rStyle w:val="Hyperlink.4"/>
          <w:rFonts w:ascii="Times Roman" w:cs="Times Roman" w:hAnsi="Times Roman" w:eastAsia="Times Roman"/>
          <w:outline w:val="0"/>
          <w:color w:val="0000ee"/>
          <w:u w:val="single" w:color="0000ee"/>
          <w:lang w:val="it-IT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4"/>
          <w:rFonts w:ascii="Times Roman" w:hAnsi="Times Roman"/>
          <w:outline w:val="0"/>
          <w:color w:val="0000ee"/>
          <w:u w:val="single" w:color="0000ee"/>
          <w:rtl w:val="0"/>
          <w:lang w:val="it-IT"/>
          <w14:textFill>
            <w14:solidFill>
              <w14:srgbClr w14:val="0000EE"/>
            </w14:solidFill>
          </w14:textFill>
        </w:rPr>
        <w:t>Biopure AR 2001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suppressAutoHyphens w:val="1"/>
        <w:spacing w:before="40" w:after="60" w:line="240" w:lineRule="auto"/>
        <w:rPr>
          <w:rStyle w:val="None"/>
          <w:rFonts w:ascii="Times Roman" w:cs="Times Roman" w:hAnsi="Times Roman" w:eastAsia="Times Roman"/>
          <w:b w:val="1"/>
          <w:bCs w:val="1"/>
          <w:lang w:val="en-US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Oxygenation and Efficacy</w:t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ru-RU"/>
        </w:rPr>
      </w:pPr>
      <w:r>
        <w:rPr>
          <w:rStyle w:val="None"/>
          <w:rFonts w:ascii="Times Roman" w:hAnsi="Times Roman"/>
          <w:rtl w:val="0"/>
          <w:lang w:val="ru-RU"/>
        </w:rPr>
        <w:t xml:space="preserve">Standl TG, et al. (1996).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Bovine haemoglobin is more potent than autologous red blood cells in restoring muscular tissue oxygenation after profound isovolaemic haemodilution in dogs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Canadian Journal of Anesthesia, 43</w:t>
      </w:r>
      <w:r>
        <w:rPr>
          <w:rStyle w:val="None"/>
          <w:rFonts w:ascii="Times Roman" w:hAnsi="Times Roman"/>
          <w:rtl w:val="0"/>
          <w:lang w:val="ru-RU"/>
        </w:rPr>
        <w:t>(7), 714</w:t>
      </w:r>
      <w:r>
        <w:rPr>
          <w:rStyle w:val="None"/>
          <w:rFonts w:ascii="Times Roman" w:hAnsi="Times Roman" w:hint="default"/>
          <w:rtl w:val="0"/>
          <w:lang w:val="ru-RU"/>
        </w:rPr>
        <w:t>–</w:t>
      </w:r>
      <w:r>
        <w:rPr>
          <w:rStyle w:val="None"/>
          <w:rFonts w:ascii="Times Roman" w:hAnsi="Times Roman"/>
          <w:rtl w:val="0"/>
          <w:lang w:val="ru-RU"/>
        </w:rPr>
        <w:t xml:space="preserve">723.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instrText xml:space="preserve"> HYPERLINK "https://pubmed.ncbi.nlm.nih.gov/8807179/"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PubMed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suppressAutoHyphens w:val="1"/>
        <w:spacing w:before="40" w:after="60" w:line="240" w:lineRule="auto"/>
        <w:rPr>
          <w:rStyle w:val="None"/>
          <w:rFonts w:ascii="Times Roman" w:cs="Times Roman" w:hAnsi="Times Roman" w:eastAsia="Times Roman"/>
          <w:b w:val="1"/>
          <w:bCs w:val="1"/>
          <w:lang w:val="en-US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Oncology Support</w:t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de-DE"/>
        </w:rPr>
      </w:pPr>
      <w:r>
        <w:rPr>
          <w:rStyle w:val="None"/>
          <w:rFonts w:ascii="Times Roman" w:hAnsi="Times Roman"/>
          <w:rtl w:val="0"/>
          <w:lang w:val="de-DE"/>
        </w:rPr>
        <w:t xml:space="preserve">Teacher BA, et al. (1995).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Hemoglobin-based oxygen carriers enhance the efficacy of cancer therapies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Cancer Research, 55</w:t>
      </w:r>
      <w:r>
        <w:rPr>
          <w:rStyle w:val="None"/>
          <w:rFonts w:ascii="Times Roman" w:hAnsi="Times Roman"/>
          <w:rtl w:val="0"/>
          <w:lang w:val="ru-RU"/>
        </w:rPr>
        <w:t>(1), 181</w:t>
      </w:r>
      <w:r>
        <w:rPr>
          <w:rStyle w:val="None"/>
          <w:rFonts w:ascii="Times Roman" w:hAnsi="Times Roman" w:hint="default"/>
          <w:rtl w:val="0"/>
          <w:lang w:val="ru-RU"/>
        </w:rPr>
        <w:t>–</w:t>
      </w:r>
      <w:r>
        <w:rPr>
          <w:rStyle w:val="None"/>
          <w:rFonts w:ascii="Times Roman" w:hAnsi="Times Roman"/>
          <w:rtl w:val="0"/>
          <w:lang w:val="ru-RU"/>
        </w:rPr>
        <w:t xml:space="preserve">186.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instrText xml:space="preserve"> HYPERLINK "https://pubmed.ncbi.nlm.nih.gov/7530924/"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PubMed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fr-FR"/>
        </w:rPr>
      </w:pPr>
      <w:r>
        <w:rPr>
          <w:rStyle w:val="None"/>
          <w:rFonts w:ascii="Times Roman" w:hAnsi="Times Roman"/>
          <w:rtl w:val="0"/>
          <w:lang w:val="fr-FR"/>
        </w:rPr>
        <w:t xml:space="preserve">Vail DM, et al. (2000).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Use of hemoglobin-based oxygen carriers in veterinary oncology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Journal of Veterinary Internal Medicine, 14</w:t>
      </w:r>
      <w:r>
        <w:rPr>
          <w:rStyle w:val="None"/>
          <w:rFonts w:ascii="Times Roman" w:hAnsi="Times Roman"/>
          <w:rtl w:val="0"/>
          <w:lang w:val="ru-RU"/>
        </w:rPr>
        <w:t>(3), 287</w:t>
      </w:r>
      <w:r>
        <w:rPr>
          <w:rStyle w:val="None"/>
          <w:rFonts w:ascii="Times Roman" w:hAnsi="Times Roman" w:hint="default"/>
          <w:rtl w:val="0"/>
          <w:lang w:val="ru-RU"/>
        </w:rPr>
        <w:t>–</w:t>
      </w:r>
      <w:r>
        <w:rPr>
          <w:rStyle w:val="None"/>
          <w:rFonts w:ascii="Times Roman" w:hAnsi="Times Roman"/>
          <w:rtl w:val="0"/>
          <w:lang w:val="ru-RU"/>
        </w:rPr>
        <w:t xml:space="preserve">292.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instrText xml:space="preserve"> HYPERLINK "https://pubmed.ncbi.nlm.nih.gov/10702581/"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PubMed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en-US"/>
        </w:rPr>
      </w:pPr>
      <w:r>
        <w:rPr>
          <w:rStyle w:val="None"/>
          <w:rFonts w:ascii="Times Roman" w:hAnsi="Times Roman"/>
          <w:rtl w:val="0"/>
          <w:lang w:val="en-US"/>
        </w:rPr>
        <w:t xml:space="preserve">Rockwell S, et al. (1997).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Hemoglobin-based oxygen carriers as radiosensitizers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International Journal of Radiation Oncology, 38</w:t>
      </w:r>
      <w:r>
        <w:rPr>
          <w:rStyle w:val="None"/>
          <w:rFonts w:ascii="Times Roman" w:hAnsi="Times Roman"/>
          <w:rtl w:val="0"/>
          <w:lang w:val="ru-RU"/>
        </w:rPr>
        <w:t>(3), 573</w:t>
      </w:r>
      <w:r>
        <w:rPr>
          <w:rStyle w:val="None"/>
          <w:rFonts w:ascii="Times Roman" w:hAnsi="Times Roman" w:hint="default"/>
          <w:rtl w:val="0"/>
          <w:lang w:val="ru-RU"/>
        </w:rPr>
        <w:t>–</w:t>
      </w:r>
      <w:r>
        <w:rPr>
          <w:rStyle w:val="None"/>
          <w:rFonts w:ascii="Times Roman" w:hAnsi="Times Roman"/>
          <w:rtl w:val="0"/>
          <w:lang w:val="ru-RU"/>
        </w:rPr>
        <w:t xml:space="preserve">578.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instrText xml:space="preserve"> HYPERLINK "https://pubmed.ncbi.nlm.nih.gov/9172270/"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PubMed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suppressAutoHyphens w:val="1"/>
        <w:spacing w:before="40" w:after="60" w:line="240" w:lineRule="auto"/>
        <w:rPr>
          <w:rStyle w:val="None"/>
          <w:rFonts w:ascii="Times Roman" w:cs="Times Roman" w:hAnsi="Times Roman" w:eastAsia="Times Roman"/>
          <w:b w:val="1"/>
          <w:bCs w:val="1"/>
          <w:lang w:val="en-US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Longevity and Telomere Research</w:t>
      </w:r>
    </w:p>
    <w:p>
      <w:pPr>
        <w:pStyle w:val="Default"/>
        <w:numPr>
          <w:ilvl w:val="0"/>
          <w:numId w:val="20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de-DE"/>
        </w:rPr>
      </w:pPr>
      <w:r>
        <w:rPr>
          <w:rStyle w:val="None"/>
          <w:rFonts w:ascii="Times Roman" w:hAnsi="Times Roman"/>
          <w:rtl w:val="0"/>
          <w:lang w:val="de-DE"/>
        </w:rPr>
        <w:t xml:space="preserve">Vogelstein B, DePinho RA. (2000).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Telomeres and human cancer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None"/>
          <w:rFonts w:ascii="Times Roman" w:hAnsi="Times Roman"/>
          <w:i w:val="1"/>
          <w:iCs w:val="1"/>
          <w:rtl w:val="0"/>
          <w:lang w:val="fr-FR"/>
        </w:rPr>
        <w:t>Nature, 408</w:t>
      </w:r>
      <w:r>
        <w:rPr>
          <w:rStyle w:val="None"/>
          <w:rFonts w:ascii="Times Roman" w:hAnsi="Times Roman"/>
          <w:rtl w:val="0"/>
          <w:lang w:val="ru-RU"/>
        </w:rPr>
        <w:t>(6811), 546</w:t>
      </w:r>
      <w:r>
        <w:rPr>
          <w:rStyle w:val="None"/>
          <w:rFonts w:ascii="Times Roman" w:hAnsi="Times Roman" w:hint="default"/>
          <w:rtl w:val="0"/>
          <w:lang w:val="ru-RU"/>
        </w:rPr>
        <w:t>–</w:t>
      </w:r>
      <w:r>
        <w:rPr>
          <w:rStyle w:val="None"/>
          <w:rFonts w:ascii="Times Roman" w:hAnsi="Times Roman"/>
          <w:rtl w:val="0"/>
          <w:lang w:val="ru-RU"/>
        </w:rPr>
        <w:t xml:space="preserve">550. </w:t>
      </w:r>
      <w:r>
        <w:rPr>
          <w:rStyle w:val="Hyperlink.5"/>
          <w:rFonts w:ascii="Times Roman" w:cs="Times Roman" w:hAnsi="Times Roman" w:eastAsia="Times Roman"/>
          <w:outline w:val="0"/>
          <w:color w:val="0000ee"/>
          <w:u w:val="single" w:color="0000ee"/>
          <w:lang w:val="fr-FR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5"/>
          <w:rFonts w:ascii="Times Roman" w:cs="Times Roman" w:hAnsi="Times Roman" w:eastAsia="Times Roman"/>
          <w:outline w:val="0"/>
          <w:color w:val="0000ee"/>
          <w:u w:val="single" w:color="0000ee"/>
          <w:lang w:val="fr-FR"/>
          <w14:textFill>
            <w14:solidFill>
              <w14:srgbClr w14:val="0000EE"/>
            </w14:solidFill>
          </w14:textFill>
        </w:rPr>
        <w:instrText xml:space="preserve"> HYPERLINK "https://www.nature.com/articles/35000500"</w:instrText>
      </w:r>
      <w:r>
        <w:rPr>
          <w:rStyle w:val="Hyperlink.5"/>
          <w:rFonts w:ascii="Times Roman" w:cs="Times Roman" w:hAnsi="Times Roman" w:eastAsia="Times Roman"/>
          <w:outline w:val="0"/>
          <w:color w:val="0000ee"/>
          <w:u w:val="single" w:color="0000ee"/>
          <w:lang w:val="fr-FR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5"/>
          <w:rFonts w:ascii="Times Roman" w:hAnsi="Times Roman"/>
          <w:outline w:val="0"/>
          <w:color w:val="0000ee"/>
          <w:u w:val="single" w:color="0000ee"/>
          <w:rtl w:val="0"/>
          <w:lang w:val="fr-FR"/>
          <w14:textFill>
            <w14:solidFill>
              <w14:srgbClr w14:val="0000EE"/>
            </w14:solidFill>
          </w14:textFill>
        </w:rPr>
        <w:t>Nature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ru-RU"/>
        </w:rPr>
      </w:pPr>
      <w:r>
        <w:rPr>
          <w:rStyle w:val="None"/>
          <w:rFonts w:ascii="Times Roman" w:hAnsi="Times Roman"/>
          <w:rtl w:val="0"/>
          <w:lang w:val="ru-RU"/>
        </w:rPr>
        <w:t xml:space="preserve">Efrati S, et al. (2020).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Hyperbaric oxygen therapy increases telomere length in human leukocytes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Aging, 12</w:t>
      </w:r>
      <w:r>
        <w:rPr>
          <w:rStyle w:val="None"/>
          <w:rFonts w:ascii="Times Roman" w:hAnsi="Times Roman"/>
          <w:rtl w:val="0"/>
          <w:lang w:val="ru-RU"/>
        </w:rPr>
        <w:t>(24), 24449</w:t>
      </w:r>
      <w:r>
        <w:rPr>
          <w:rStyle w:val="None"/>
          <w:rFonts w:ascii="Times Roman" w:hAnsi="Times Roman" w:hint="default"/>
          <w:rtl w:val="0"/>
          <w:lang w:val="ru-RU"/>
        </w:rPr>
        <w:t>–</w:t>
      </w:r>
      <w:r>
        <w:rPr>
          <w:rStyle w:val="None"/>
          <w:rFonts w:ascii="Times Roman" w:hAnsi="Times Roman"/>
          <w:rtl w:val="0"/>
          <w:lang w:val="ru-RU"/>
        </w:rPr>
        <w:t xml:space="preserve">24460.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instrText xml:space="preserve"> HYPERLINK "https://pubmed.ncbi.nlm.nih.gov/33200821/"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PubMed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pt-PT"/>
        </w:rPr>
      </w:pPr>
      <w:r>
        <w:rPr>
          <w:rStyle w:val="None"/>
          <w:rFonts w:ascii="Times Roman" w:hAnsi="Times Roman"/>
          <w:rtl w:val="0"/>
          <w:lang w:val="pt-PT"/>
        </w:rPr>
        <w:t xml:space="preserve">Sahin E, DePinho RA. (2010).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Linking functional decline of telomeres, mitochondria and stem cells during ageing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None"/>
          <w:rFonts w:ascii="Times Roman" w:hAnsi="Times Roman"/>
          <w:i w:val="1"/>
          <w:iCs w:val="1"/>
          <w:rtl w:val="0"/>
          <w:lang w:val="fr-FR"/>
        </w:rPr>
        <w:t>Nature, 464</w:t>
      </w:r>
      <w:r>
        <w:rPr>
          <w:rStyle w:val="None"/>
          <w:rFonts w:ascii="Times Roman" w:hAnsi="Times Roman"/>
          <w:rtl w:val="0"/>
          <w:lang w:val="ru-RU"/>
        </w:rPr>
        <w:t>(7288), 520</w:t>
      </w:r>
      <w:r>
        <w:rPr>
          <w:rStyle w:val="None"/>
          <w:rFonts w:ascii="Times Roman" w:hAnsi="Times Roman" w:hint="default"/>
          <w:rtl w:val="0"/>
          <w:lang w:val="ru-RU"/>
        </w:rPr>
        <w:t>–</w:t>
      </w:r>
      <w:r>
        <w:rPr>
          <w:rStyle w:val="None"/>
          <w:rFonts w:ascii="Times Roman" w:hAnsi="Times Roman"/>
          <w:rtl w:val="0"/>
          <w:lang w:val="ru-RU"/>
        </w:rPr>
        <w:t xml:space="preserve">528.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instrText xml:space="preserve"> HYPERLINK "https://pubmed.ncbi.nlm.nih.gov/20505726/"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PubMed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suppressAutoHyphens w:val="1"/>
        <w:spacing w:before="40" w:after="60" w:line="240" w:lineRule="auto"/>
        <w:rPr>
          <w:rStyle w:val="None"/>
          <w:rFonts w:ascii="Times Roman" w:cs="Times Roman" w:hAnsi="Times Roman" w:eastAsia="Times Roman"/>
          <w:b w:val="1"/>
          <w:bCs w:val="1"/>
          <w:lang w:val="en-US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Surgery and Acute Care</w:t>
      </w:r>
    </w:p>
    <w:p>
      <w:pPr>
        <w:pStyle w:val="Default"/>
        <w:numPr>
          <w:ilvl w:val="0"/>
          <w:numId w:val="21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en-US"/>
        </w:rPr>
      </w:pPr>
      <w:r>
        <w:rPr>
          <w:rStyle w:val="None"/>
          <w:rFonts w:ascii="Times Roman" w:hAnsi="Times Roman"/>
          <w:rtl w:val="0"/>
          <w:lang w:val="en-US"/>
        </w:rPr>
        <w:t xml:space="preserve">Yearley JH, et al. (1990).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Hemoglobin-based oxygen carriers reduce postoperative infections in surgical patients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Surgery, 107</w:t>
      </w:r>
      <w:r>
        <w:rPr>
          <w:rStyle w:val="None"/>
          <w:rFonts w:ascii="Times Roman" w:hAnsi="Times Roman"/>
          <w:rtl w:val="0"/>
          <w:lang w:val="ru-RU"/>
        </w:rPr>
        <w:t>(6), 693</w:t>
      </w:r>
      <w:r>
        <w:rPr>
          <w:rStyle w:val="None"/>
          <w:rFonts w:ascii="Times Roman" w:hAnsi="Times Roman" w:hint="default"/>
          <w:rtl w:val="0"/>
          <w:lang w:val="ru-RU"/>
        </w:rPr>
        <w:t>–</w:t>
      </w:r>
      <w:r>
        <w:rPr>
          <w:rStyle w:val="None"/>
          <w:rFonts w:ascii="Times Roman" w:hAnsi="Times Roman"/>
          <w:rtl w:val="0"/>
          <w:lang w:val="ru-RU"/>
        </w:rPr>
        <w:t xml:space="preserve">699.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instrText xml:space="preserve"> HYPERLINK "https://pubmed.ncbi.nlm.nih.gov/2164070/"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PubMed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ru-RU"/>
        </w:rPr>
      </w:pPr>
      <w:r>
        <w:rPr>
          <w:rStyle w:val="None"/>
          <w:rFonts w:ascii="Times Roman" w:hAnsi="Times Roman"/>
          <w:rtl w:val="0"/>
          <w:lang w:val="ru-RU"/>
        </w:rPr>
        <w:t xml:space="preserve">Gordillo GM, et al. (2010).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Hyperoxygenation accelerates wound healing in diabetic rats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American Journal of Pathology, 176</w:t>
      </w:r>
      <w:r>
        <w:rPr>
          <w:rStyle w:val="None"/>
          <w:rFonts w:ascii="Times Roman" w:hAnsi="Times Roman"/>
          <w:rtl w:val="0"/>
          <w:lang w:val="ru-RU"/>
        </w:rPr>
        <w:t>(5), 2432</w:t>
      </w:r>
      <w:r>
        <w:rPr>
          <w:rStyle w:val="None"/>
          <w:rFonts w:ascii="Times Roman" w:hAnsi="Times Roman" w:hint="default"/>
          <w:rtl w:val="0"/>
          <w:lang w:val="ru-RU"/>
        </w:rPr>
        <w:t>–</w:t>
      </w:r>
      <w:r>
        <w:rPr>
          <w:rStyle w:val="None"/>
          <w:rFonts w:ascii="Times Roman" w:hAnsi="Times Roman"/>
          <w:rtl w:val="0"/>
          <w:lang w:val="ru-RU"/>
        </w:rPr>
        <w:t xml:space="preserve">2443.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instrText xml:space="preserve"> HYPERLINK "https://pubmed.ncbi.nlm.nih.gov/20551150/"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PubMed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en-US"/>
        </w:rPr>
      </w:pPr>
      <w:r>
        <w:rPr>
          <w:rStyle w:val="None"/>
          <w:rFonts w:ascii="Times Roman" w:hAnsi="Times Roman"/>
          <w:rtl w:val="0"/>
          <w:lang w:val="en-US"/>
        </w:rPr>
        <w:t xml:space="preserve">Gould SA, et al. (1998).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Hemoglobin-based oxygen carriers improve survival in hemorrhagic shock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Journal of Trauma, 44</w:t>
      </w:r>
      <w:r>
        <w:rPr>
          <w:rStyle w:val="None"/>
          <w:rFonts w:ascii="Times Roman" w:hAnsi="Times Roman"/>
          <w:rtl w:val="0"/>
          <w:lang w:val="ru-RU"/>
        </w:rPr>
        <w:t>(5), 807</w:t>
      </w:r>
      <w:r>
        <w:rPr>
          <w:rStyle w:val="None"/>
          <w:rFonts w:ascii="Times Roman" w:hAnsi="Times Roman" w:hint="default"/>
          <w:rtl w:val="0"/>
          <w:lang w:val="ru-RU"/>
        </w:rPr>
        <w:t>–</w:t>
      </w:r>
      <w:r>
        <w:rPr>
          <w:rStyle w:val="None"/>
          <w:rFonts w:ascii="Times Roman" w:hAnsi="Times Roman"/>
          <w:rtl w:val="0"/>
          <w:lang w:val="ru-RU"/>
        </w:rPr>
        <w:t xml:space="preserve">814.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instrText xml:space="preserve"> HYPERLINK "https://pubmed.ncbi.nlm.nih.gov/9686610/"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PubMed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suppressAutoHyphens w:val="1"/>
        <w:spacing w:before="40" w:after="60" w:line="240" w:lineRule="auto"/>
        <w:rPr>
          <w:rStyle w:val="None"/>
          <w:rFonts w:ascii="Times Roman" w:cs="Times Roman" w:hAnsi="Times Roman" w:eastAsia="Times Roman"/>
          <w:b w:val="1"/>
          <w:bCs w:val="1"/>
          <w:lang w:val="en-US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Sports Medicine and Antidoping Compliance</w:t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en-US"/>
        </w:rPr>
      </w:pPr>
      <w:r>
        <w:rPr>
          <w:rStyle w:val="None"/>
          <w:rFonts w:ascii="Times Roman" w:hAnsi="Times Roman"/>
          <w:rtl w:val="0"/>
          <w:lang w:val="en-US"/>
        </w:rPr>
        <w:t xml:space="preserve">World Anti-Doping Agency (WADA). (2026).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Prohibited List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 w:color="0000ee"/>
          <w:lang w:val="en-US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 w:color="0000ee"/>
          <w:lang w:val="en-US"/>
          <w14:textFill>
            <w14:solidFill>
              <w14:srgbClr w14:val="0000EE"/>
            </w14:solidFill>
          </w14:textFill>
        </w:rPr>
        <w:instrText xml:space="preserve"> HYPERLINK "https://www.wada-ama.org/en/prohibited-list"</w:instrText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 w:color="0000ee"/>
          <w:lang w:val="en-US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2"/>
          <w:rFonts w:ascii="Times Roman" w:hAnsi="Times Roman"/>
          <w:outline w:val="0"/>
          <w:color w:val="0000ee"/>
          <w:u w:val="single" w:color="0000ee"/>
          <w:rtl w:val="0"/>
          <w:lang w:val="en-US"/>
          <w14:textFill>
            <w14:solidFill>
              <w14:srgbClr w14:val="0000EE"/>
            </w14:solidFill>
          </w14:textFill>
        </w:rPr>
        <w:t>WADA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ru-RU"/>
        </w:rPr>
      </w:pPr>
      <w:r>
        <w:rPr>
          <w:rStyle w:val="None"/>
          <w:rFonts w:ascii="Times Roman" w:hAnsi="Times Roman"/>
          <w:rtl w:val="0"/>
          <w:lang w:val="ru-RU"/>
        </w:rPr>
        <w:t>F</w:t>
      </w:r>
      <w:r>
        <w:rPr>
          <w:rStyle w:val="None"/>
          <w:rFonts w:ascii="Times Roman" w:hAnsi="Times Roman" w:hint="default"/>
          <w:rtl w:val="0"/>
          <w:lang w:val="fr-FR"/>
        </w:rPr>
        <w:t>é</w:t>
      </w:r>
      <w:r>
        <w:rPr>
          <w:rStyle w:val="None"/>
          <w:rFonts w:ascii="Times Roman" w:hAnsi="Times Roman"/>
          <w:rtl w:val="0"/>
          <w:lang w:val="ru-RU"/>
        </w:rPr>
        <w:t>d</w:t>
      </w:r>
      <w:r>
        <w:rPr>
          <w:rStyle w:val="None"/>
          <w:rFonts w:ascii="Times Roman" w:hAnsi="Times Roman" w:hint="default"/>
          <w:rtl w:val="0"/>
          <w:lang w:val="fr-FR"/>
        </w:rPr>
        <w:t>é</w:t>
      </w:r>
      <w:r>
        <w:rPr>
          <w:rStyle w:val="None"/>
          <w:rFonts w:ascii="Times Roman" w:hAnsi="Times Roman"/>
          <w:rtl w:val="0"/>
          <w:lang w:val="fr-FR"/>
        </w:rPr>
        <w:t xml:space="preserve">ration </w:t>
      </w:r>
      <w:r>
        <w:rPr>
          <w:rStyle w:val="None"/>
          <w:rFonts w:ascii="Times Roman" w:hAnsi="Times Roman" w:hint="default"/>
          <w:rtl w:val="0"/>
          <w:lang w:val="fr-FR"/>
        </w:rPr>
        <w:t>É</w:t>
      </w:r>
      <w:r>
        <w:rPr>
          <w:rStyle w:val="None"/>
          <w:rFonts w:ascii="Times Roman" w:hAnsi="Times Roman"/>
          <w:rtl w:val="0"/>
          <w:lang w:val="it-IT"/>
        </w:rPr>
        <w:t xml:space="preserve">questre Internationale (FEI). (2026).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Clean Sport Regulations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Hyperlink.6"/>
          <w:rFonts w:ascii="Times Roman" w:cs="Times Roman" w:hAnsi="Times Roman" w:eastAsia="Times Roman"/>
          <w:outline w:val="0"/>
          <w:color w:val="0000ee"/>
          <w:u w:val="single" w:color="0000ee"/>
          <w:lang w:val="da-DK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6"/>
          <w:rFonts w:ascii="Times Roman" w:cs="Times Roman" w:hAnsi="Times Roman" w:eastAsia="Times Roman"/>
          <w:outline w:val="0"/>
          <w:color w:val="0000ee"/>
          <w:u w:val="single" w:color="0000ee"/>
          <w:lang w:val="da-DK"/>
          <w14:textFill>
            <w14:solidFill>
              <w14:srgbClr w14:val="0000EE"/>
            </w14:solidFill>
          </w14:textFill>
        </w:rPr>
        <w:instrText xml:space="preserve"> HYPERLINK "https://www.fei.org/clean-sport"</w:instrText>
      </w:r>
      <w:r>
        <w:rPr>
          <w:rStyle w:val="Hyperlink.6"/>
          <w:rFonts w:ascii="Times Roman" w:cs="Times Roman" w:hAnsi="Times Roman" w:eastAsia="Times Roman"/>
          <w:outline w:val="0"/>
          <w:color w:val="0000ee"/>
          <w:u w:val="single" w:color="0000ee"/>
          <w:lang w:val="da-DK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6"/>
          <w:rFonts w:ascii="Times Roman" w:hAnsi="Times Roman"/>
          <w:outline w:val="0"/>
          <w:color w:val="0000ee"/>
          <w:u w:val="single" w:color="0000ee"/>
          <w:rtl w:val="0"/>
          <w:lang w:val="da-DK"/>
          <w14:textFill>
            <w14:solidFill>
              <w14:srgbClr w14:val="0000EE"/>
            </w14:solidFill>
          </w14:textFill>
        </w:rPr>
        <w:t>FEI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en-US"/>
        </w:rPr>
      </w:pPr>
      <w:r>
        <w:rPr>
          <w:rStyle w:val="None"/>
          <w:rFonts w:ascii="Times Roman" w:hAnsi="Times Roman"/>
          <w:rtl w:val="0"/>
          <w:lang w:val="en-US"/>
        </w:rPr>
        <w:t xml:space="preserve">Association of Racing Commissioners International (ARCI). (2026). </w:t>
      </w:r>
      <w:r>
        <w:rPr>
          <w:rStyle w:val="None"/>
          <w:rFonts w:ascii="Times Roman" w:hAnsi="Times Roman"/>
          <w:i w:val="1"/>
          <w:iCs w:val="1"/>
          <w:rtl w:val="0"/>
          <w:lang w:val="it-IT"/>
        </w:rPr>
        <w:t>Model Rules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instrText xml:space="preserve"> HYPERLINK "https://www.arci.com/"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ARCI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suppressAutoHyphens w:val="1"/>
        <w:spacing w:before="40" w:after="60" w:line="240" w:lineRule="auto"/>
        <w:rPr>
          <w:rStyle w:val="None"/>
          <w:rFonts w:ascii="Times Roman" w:cs="Times Roman" w:hAnsi="Times Roman" w:eastAsia="Times Roman"/>
          <w:b w:val="1"/>
          <w:bCs w:val="1"/>
          <w:lang w:val="en-US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Market and Population Data</w:t>
      </w:r>
    </w:p>
    <w:p>
      <w:pPr>
        <w:pStyle w:val="Default"/>
        <w:numPr>
          <w:ilvl w:val="0"/>
          <w:numId w:val="22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ru-RU"/>
        </w:rPr>
      </w:pPr>
      <w:r>
        <w:rPr>
          <w:rStyle w:val="None"/>
          <w:rFonts w:ascii="Times Roman" w:hAnsi="Times Roman"/>
          <w:rtl w:val="0"/>
          <w:lang w:val="ru-RU"/>
        </w:rPr>
        <w:t xml:space="preserve">AVMA. (2025).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Pet Ownership and Demographics Sourcebook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Hyperlink.3"/>
          <w:rFonts w:ascii="Times Roman" w:cs="Times Roman" w:hAnsi="Times Roman" w:eastAsia="Times Roman"/>
          <w:outline w:val="0"/>
          <w:color w:val="0000ee"/>
          <w:u w:val="single" w:color="0000ee"/>
          <w:lang w:val="de-D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3"/>
          <w:rFonts w:ascii="Times Roman" w:cs="Times Roman" w:hAnsi="Times Roman" w:eastAsia="Times Roman"/>
          <w:outline w:val="0"/>
          <w:color w:val="0000ee"/>
          <w:u w:val="single" w:color="0000ee"/>
          <w:lang w:val="de-DE"/>
          <w14:textFill>
            <w14:solidFill>
              <w14:srgbClr w14:val="0000EE"/>
            </w14:solidFill>
          </w14:textFill>
        </w:rPr>
        <w:instrText xml:space="preserve"> HYPERLINK "https://www.avma.org/resources-tools/reports-statistics/us-pet-ownership-statistics"</w:instrText>
      </w:r>
      <w:r>
        <w:rPr>
          <w:rStyle w:val="Hyperlink.3"/>
          <w:rFonts w:ascii="Times Roman" w:cs="Times Roman" w:hAnsi="Times Roman" w:eastAsia="Times Roman"/>
          <w:outline w:val="0"/>
          <w:color w:val="0000ee"/>
          <w:u w:val="single" w:color="0000ee"/>
          <w:lang w:val="de-D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3"/>
          <w:rFonts w:ascii="Times Roman" w:hAnsi="Times Roman"/>
          <w:outline w:val="0"/>
          <w:color w:val="0000ee"/>
          <w:u w:val="single" w:color="0000ee"/>
          <w:rtl w:val="0"/>
          <w:lang w:val="de-DE"/>
          <w14:textFill>
            <w14:solidFill>
              <w14:srgbClr w14:val="0000EE"/>
            </w14:solidFill>
          </w14:textFill>
        </w:rPr>
        <w:t>AVMA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en-US"/>
        </w:rPr>
      </w:pPr>
      <w:r>
        <w:rPr>
          <w:rStyle w:val="None"/>
          <w:rFonts w:ascii="Times Roman" w:hAnsi="Times Roman"/>
          <w:rtl w:val="0"/>
          <w:lang w:val="en-US"/>
        </w:rPr>
        <w:t xml:space="preserve">American Horse Council Foundation. (2025).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Horse Industry Statistics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instrText xml:space="preserve"> HYPERLINK "https://www.horsecouncil.org/"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AHC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de-DE"/>
        </w:rPr>
      </w:pPr>
      <w:r>
        <w:rPr>
          <w:rStyle w:val="None"/>
          <w:rFonts w:ascii="Times Roman" w:hAnsi="Times Roman"/>
          <w:i w:val="1"/>
          <w:iCs w:val="1"/>
          <w:rtl w:val="0"/>
          <w:lang w:val="de-DE"/>
        </w:rPr>
        <w:t>Animals</w:t>
      </w:r>
      <w:r>
        <w:rPr>
          <w:rStyle w:val="None"/>
          <w:rFonts w:ascii="Times Roman" w:hAnsi="Times Roman"/>
          <w:rtl w:val="0"/>
          <w:lang w:val="ru-RU"/>
        </w:rPr>
        <w:t xml:space="preserve"> Journal. (2023).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Wildlife Rehabilitation in North America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instrText xml:space="preserve"> HYPERLINK "https://www.mdpi.com/journal/animals"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MDPI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en-US"/>
        </w:rPr>
      </w:pPr>
      <w:r>
        <w:rPr>
          <w:rStyle w:val="None"/>
          <w:rFonts w:ascii="Times Roman" w:hAnsi="Times Roman"/>
          <w:rtl w:val="0"/>
          <w:lang w:val="en-US"/>
        </w:rPr>
        <w:t xml:space="preserve">American Pet Products Association (APPA). (2025).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National Pet Owners Survey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Hyperlink.7"/>
          <w:rFonts w:ascii="Times Roman" w:cs="Times Roman" w:hAnsi="Times Roman" w:eastAsia="Times Roman"/>
          <w:outline w:val="0"/>
          <w:color w:val="0000ee"/>
          <w:u w:val="single" w:color="0000ee"/>
          <w:lang w:val="es-ES_tradnl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7"/>
          <w:rFonts w:ascii="Times Roman" w:cs="Times Roman" w:hAnsi="Times Roman" w:eastAsia="Times Roman"/>
          <w:outline w:val="0"/>
          <w:color w:val="0000ee"/>
          <w:u w:val="single" w:color="0000ee"/>
          <w:lang w:val="es-ES_tradnl"/>
          <w14:textFill>
            <w14:solidFill>
              <w14:srgbClr w14:val="0000EE"/>
            </w14:solidFill>
          </w14:textFill>
        </w:rPr>
        <w:instrText xml:space="preserve"> HYPERLINK "https://www.americanpetproducts.org/"</w:instrText>
      </w:r>
      <w:r>
        <w:rPr>
          <w:rStyle w:val="Hyperlink.7"/>
          <w:rFonts w:ascii="Times Roman" w:cs="Times Roman" w:hAnsi="Times Roman" w:eastAsia="Times Roman"/>
          <w:outline w:val="0"/>
          <w:color w:val="0000ee"/>
          <w:u w:val="single" w:color="0000ee"/>
          <w:lang w:val="es-ES_tradnl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7"/>
          <w:rFonts w:ascii="Times Roman" w:hAnsi="Times Roman"/>
          <w:outline w:val="0"/>
          <w:color w:val="0000ee"/>
          <w:u w:val="single" w:color="0000ee"/>
          <w:rtl w:val="0"/>
          <w:lang w:val="es-ES_tradnl"/>
          <w14:textFill>
            <w14:solidFill>
              <w14:srgbClr w14:val="0000EE"/>
            </w14:solidFill>
          </w14:textFill>
        </w:rPr>
        <w:t>APPA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ru-RU"/>
        </w:rPr>
      </w:pPr>
      <w:r>
        <w:rPr>
          <w:rStyle w:val="None"/>
          <w:rFonts w:ascii="Times Roman" w:hAnsi="Times Roman"/>
          <w:rtl w:val="0"/>
          <w:lang w:val="ru-RU"/>
        </w:rPr>
        <w:t xml:space="preserve">IBISWorld. (2026). </w:t>
      </w:r>
      <w:r>
        <w:rPr>
          <w:rStyle w:val="None"/>
          <w:rFonts w:ascii="Times Roman" w:hAnsi="Times Roman"/>
          <w:i w:val="1"/>
          <w:iCs w:val="1"/>
          <w:rtl w:val="0"/>
          <w:lang w:val="en-US"/>
        </w:rPr>
        <w:t>Veterinary Services Industry Report</w:t>
      </w:r>
      <w:r>
        <w:rPr>
          <w:rStyle w:val="None"/>
          <w:rFonts w:ascii="Times Roman" w:hAnsi="Times Roman"/>
          <w:rtl w:val="0"/>
          <w:lang w:val="ru-RU"/>
        </w:rPr>
        <w:t xml:space="preserve">. </w:t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 w:color="0000ee"/>
          <w:lang w:val="en-US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 w:color="0000ee"/>
          <w:lang w:val="en-US"/>
          <w14:textFill>
            <w14:solidFill>
              <w14:srgbClr w14:val="0000EE"/>
            </w14:solidFill>
          </w14:textFill>
        </w:rPr>
        <w:instrText xml:space="preserve"> HYPERLINK "https://www.ibisworld.com/"</w:instrText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 w:color="0000ee"/>
          <w:lang w:val="en-US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2"/>
          <w:rFonts w:ascii="Times Roman" w:hAnsi="Times Roman"/>
          <w:outline w:val="0"/>
          <w:color w:val="0000ee"/>
          <w:u w:val="single" w:color="0000ee"/>
          <w:rtl w:val="0"/>
          <w:lang w:val="en-US"/>
          <w14:textFill>
            <w14:solidFill>
              <w14:srgbClr w14:val="0000EE"/>
            </w14:solidFill>
          </w14:textFill>
        </w:rPr>
        <w:t>IBISWorld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suppressAutoHyphens w:val="1"/>
        <w:spacing w:before="40" w:after="60" w:line="240" w:lineRule="auto"/>
        <w:rPr>
          <w:rStyle w:val="None"/>
          <w:rFonts w:ascii="Times Roman" w:cs="Times Roman" w:hAnsi="Times Roman" w:eastAsia="Times Roman"/>
          <w:b w:val="1"/>
          <w:bCs w:val="1"/>
          <w:lang w:val="en-US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Feline Clinical Studies</w:t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en-US"/>
        </w:rPr>
      </w:pPr>
      <w:r>
        <w:rPr>
          <w:rStyle w:val="None"/>
          <w:rFonts w:ascii="Times Roman" w:hAnsi="Times Roman"/>
          <w:rtl w:val="0"/>
          <w:lang w:val="en-US"/>
        </w:rPr>
        <w:t>Clinical use of a haemoglobin-based oxygen carrying solution (Oxyglobin) in 48 cats (2002</w:t>
      </w:r>
      <w:r>
        <w:rPr>
          <w:rStyle w:val="None"/>
          <w:rFonts w:ascii="Times Roman" w:hAnsi="Times Roman" w:hint="default"/>
          <w:rtl w:val="0"/>
          <w:lang w:val="ru-RU"/>
        </w:rPr>
        <w:t>–</w:t>
      </w:r>
      <w:r>
        <w:rPr>
          <w:rStyle w:val="None"/>
          <w:rFonts w:ascii="Times Roman" w:hAnsi="Times Roman"/>
          <w:rtl w:val="0"/>
          <w:lang w:val="ru-RU"/>
        </w:rPr>
        <w:t xml:space="preserve">2006).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instrText xml:space="preserve"> HYPERLINK "https://pubmed.ncbi.nlm.nih.gov/18455461/"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PubMed</w:t>
      </w:r>
      <w:r>
        <w:rPr>
          <w:rFonts w:ascii="Arial Unicode MS" w:cs="Arial Unicode MS" w:hAnsi="Arial Unicode MS" w:eastAsia="Arial Unicode MS"/>
        </w:rPr>
        <w:fldChar w:fldCharType="end" w:fldLock="0"/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40" w:after="60" w:line="240" w:lineRule="auto"/>
        <w:ind w:right="0"/>
        <w:jc w:val="left"/>
        <w:rPr>
          <w:rFonts w:ascii="Arial Unicode MS" w:hAnsi="Arial Unicode MS"/>
          <w:rtl w:val="0"/>
          <w:lang w:val="en-US"/>
        </w:rPr>
      </w:pPr>
      <w:r>
        <w:rPr>
          <w:rStyle w:val="None"/>
          <w:rFonts w:ascii="Times Roman" w:hAnsi="Times Roman"/>
          <w:rtl w:val="0"/>
          <w:lang w:val="en-US"/>
        </w:rPr>
        <w:t>Use of a hemoglobin-based oxygen-carrying solution in cats: 72 cases (1998</w:t>
      </w:r>
      <w:r>
        <w:rPr>
          <w:rStyle w:val="None"/>
          <w:rFonts w:ascii="Times Roman" w:hAnsi="Times Roman" w:hint="default"/>
          <w:rtl w:val="0"/>
          <w:lang w:val="ru-RU"/>
        </w:rPr>
        <w:t>–</w:t>
      </w:r>
      <w:r>
        <w:rPr>
          <w:rStyle w:val="None"/>
          <w:rFonts w:ascii="Times Roman" w:hAnsi="Times Roman"/>
          <w:rtl w:val="0"/>
          <w:lang w:val="ru-RU"/>
        </w:rPr>
        <w:t xml:space="preserve">2000). </w: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instrText xml:space="preserve"> HYPERLINK "https://pubmed.ncbi.nlm.nih.gov/12420832/"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 w:color="0000ee"/>
          <w:lang w:val="ru-RU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PubMed</w:t>
      </w:r>
      <w:r>
        <w:rPr>
          <w:rFonts w:ascii="Arial Unicode MS" w:cs="Arial Unicode MS" w:hAnsi="Arial Unicode MS" w:eastAsia="Arial Unicode MS"/>
        </w:rPr>
        <w:fldChar w:fldCharType="end" w:fldLock="0"/>
      </w:r>
      <w:r>
        <w:rPr>
          <w:rStyle w:val="None A"/>
          <w:rFonts w:ascii="Arial Unicode MS" w:cs="Arial Unicode MS" w:hAnsi="Arial Unicode MS" w:eastAsia="Arial Unicode MS"/>
        </w:rPr>
      </w:r>
    </w:p>
    <w:sectPr>
      <w:headerReference w:type="default" r:id="rId8"/>
      <w:footerReference w:type="default" r:id="rId9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Times Roman">
    <w:charset w:val="00"/>
    <w:family w:val="roman"/>
    <w:pitch w:val="default"/>
  </w:font>
  <w:font w:name="Aptos">
    <w:charset w:val="00"/>
    <w:family w:val="roman"/>
    <w:pitch w:val="default"/>
  </w:font>
  <w:font w:name="Helvetica">
    <w:charset w:val="00"/>
    <w:family w:val="roman"/>
    <w:pitch w:val="default"/>
  </w:font>
  <w:font w:name="Apple Color Emoj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 A"/>
    </w:pPr>
    <w:r>
      <w:rPr>
        <w:rStyle w:val="None A"/>
        <w:rtl w:val="0"/>
        <w:lang w:val="en-US"/>
      </w:rPr>
      <w:t xml:space="preserve">Page </w:t>
    </w:r>
    <w:r>
      <w:rPr>
        <w:rStyle w:val="None A"/>
      </w:rPr>
      <w:fldChar w:fldCharType="begin" w:fldLock="0"/>
    </w:r>
    <w:r>
      <w:rPr>
        <w:rStyle w:val="None A"/>
      </w:rPr>
      <w:instrText xml:space="preserve"> PAGE </w:instrText>
    </w:r>
    <w:r>
      <w:rPr>
        <w:rStyle w:val="None A"/>
      </w:rPr>
      <w:fldChar w:fldCharType="separate" w:fldLock="0"/>
    </w:r>
    <w:r>
      <w:rPr>
        <w:rStyle w:val="None A"/>
      </w:rPr>
    </w:r>
    <w:r>
      <w:rPr>
        <w:rStyle w:val="None A"/>
      </w:rPr>
      <w:fldChar w:fldCharType="end" w:fldLock="0"/>
    </w:r>
    <w:r>
      <w:rPr>
        <w:rStyle w:val="None A"/>
        <w:rtl w:val="0"/>
        <w:lang w:val="en-US"/>
      </w:rPr>
      <w:t xml:space="preserve"> of </w:t>
    </w:r>
    <w:r>
      <w:rPr>
        <w:rStyle w:val="None A"/>
      </w:rPr>
      <w:fldChar w:fldCharType="begin" w:fldLock="0"/>
    </w:r>
    <w:r>
      <w:rPr>
        <w:rStyle w:val="None A"/>
      </w:rPr>
      <w:instrText xml:space="preserve"> NUMPAGES </w:instrText>
    </w:r>
    <w:r>
      <w:rPr>
        <w:rStyle w:val="None A"/>
      </w:rPr>
      <w:fldChar w:fldCharType="separate" w:fldLock="0"/>
    </w:r>
    <w:r>
      <w:rPr>
        <w:rStyle w:val="None A"/>
      </w:rPr>
    </w:r>
    <w:r>
      <w:rPr>
        <w:rStyle w:val="None A"/>
      </w:rPr>
      <w:fldChar w:fldCharType="end" w:fldLock="0"/>
    </w:r>
    <w:r>
      <w:rPr>
        <w:b w:val="1"/>
        <w:bCs w:val="1"/>
        <w:i w:val="1"/>
        <w:iCs w:val="1"/>
        <w:rtl w:val="0"/>
        <w:lang w:val="en-US"/>
      </w:rPr>
      <w:t xml:space="preserve">                                        Confidential 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 A"/>
    </w:pPr>
    <w:r>
      <w:rPr>
        <w:rStyle w:val="None A"/>
        <w:rtl w:val="0"/>
        <w:lang w:val="en-US"/>
      </w:rPr>
      <w:t>GBP 21.05.26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40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1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7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5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9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7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 Big.0"/>
  </w:abstractNum>
  <w:abstractNum w:abstractNumId="3">
    <w:multiLevelType w:val="hybridMultilevel"/>
    <w:styleLink w:val="Bullet Big.0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285" w:hanging="6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3005" w:hanging="6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725" w:hanging="6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445" w:hanging="6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165" w:hanging="6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885" w:hanging="6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605" w:hanging="6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</w:abstractNum>
  <w:abstractNum w:abstractNumId="4">
    <w:multiLevelType w:val="hybridMultilevel"/>
    <w:numStyleLink w:val="Bullet"/>
  </w:abstractNum>
  <w:abstractNum w:abstractNumId="5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65" w:hanging="62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285" w:hanging="62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505" w:hanging="62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725" w:hanging="62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945" w:hanging="62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165" w:hanging="62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385" w:hanging="62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605" w:hanging="62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Bullets"/>
  </w:abstractNum>
  <w:abstractNum w:abstractNumId="7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ind w:left="237" w:hanging="23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805" w:hanging="20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405" w:hanging="20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005" w:hanging="20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605" w:hanging="20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205" w:hanging="20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805" w:hanging="20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405" w:hanging="20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5005" w:hanging="20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6"/>
          <w:szCs w:val="3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243" w:hanging="5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963" w:hanging="5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83" w:hanging="5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403" w:hanging="5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123" w:hanging="5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843" w:hanging="5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563" w:hanging="5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</w:num>
  <w:num w:numId="8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6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8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50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72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94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16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8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60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num" w:pos="620"/>
          </w:tabs>
          <w:ind w:left="836" w:hanging="616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num" w:pos="940"/>
          </w:tabs>
          <w:ind w:left="1156" w:hanging="716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num" w:pos="1160"/>
          </w:tabs>
          <w:ind w:left="1376" w:hanging="716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num" w:pos="1380"/>
          </w:tabs>
          <w:ind w:left="1596" w:hanging="716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num" w:pos="1600"/>
          </w:tabs>
          <w:ind w:left="1816" w:hanging="716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num" w:pos="1820"/>
          </w:tabs>
          <w:ind w:left="2036" w:hanging="716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num" w:pos="2040"/>
          </w:tabs>
          <w:ind w:left="2256" w:hanging="716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num" w:pos="2260"/>
          </w:tabs>
          <w:ind w:left="2476" w:hanging="716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num" w:pos="2480"/>
          </w:tabs>
          <w:ind w:left="2696" w:hanging="716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num" w:pos="620"/>
          </w:tabs>
          <w:ind w:left="728" w:hanging="5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num" w:pos="940"/>
          </w:tabs>
          <w:ind w:left="104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620"/>
            <w:tab w:val="num" w:pos="1160"/>
          </w:tabs>
          <w:ind w:left="126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620"/>
            <w:tab w:val="num" w:pos="1380"/>
          </w:tabs>
          <w:ind w:left="148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620"/>
            <w:tab w:val="num" w:pos="1600"/>
          </w:tabs>
          <w:ind w:left="170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620"/>
            <w:tab w:val="num" w:pos="1820"/>
          </w:tabs>
          <w:ind w:left="192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620"/>
            <w:tab w:val="num" w:pos="2040"/>
          </w:tabs>
          <w:ind w:left="214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620"/>
            <w:tab w:val="num" w:pos="2260"/>
          </w:tabs>
          <w:ind w:left="236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620"/>
            <w:tab w:val="num" w:pos="2480"/>
          </w:tabs>
          <w:ind w:left="2588" w:hanging="6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7"/>
  </w:num>
  <w:num w:numId="12">
    <w:abstractNumId w:val="6"/>
  </w:num>
  <w:num w:numId="13">
    <w:abstractNumId w:val="6"/>
    <w:lvlOverride w:ilvl="0">
      <w:lvl w:ilvl="0">
        <w:start w:val="1"/>
        <w:numFmt w:val="bullet"/>
        <w:suff w:val="tab"/>
        <w:lvlText w:val="-"/>
        <w:lvlJc w:val="left"/>
        <w:pPr>
          <w:tabs>
            <w:tab w:val="num" w:pos="237"/>
          </w:tabs>
          <w:ind w:left="453" w:hanging="45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tabs>
            <w:tab w:val="num" w:pos="805"/>
          </w:tabs>
          <w:ind w:left="1021" w:hanging="421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tabs>
            <w:tab w:val="num" w:pos="1405"/>
          </w:tabs>
          <w:ind w:left="1621" w:hanging="421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tabs>
            <w:tab w:val="num" w:pos="2005"/>
          </w:tabs>
          <w:ind w:left="2221" w:hanging="421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tabs>
            <w:tab w:val="num" w:pos="2605"/>
          </w:tabs>
          <w:ind w:left="2821" w:hanging="421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tabs>
            <w:tab w:val="num" w:pos="3205"/>
          </w:tabs>
          <w:ind w:left="3421" w:hanging="421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tabs>
            <w:tab w:val="num" w:pos="3805"/>
          </w:tabs>
          <w:ind w:left="4021" w:hanging="421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tabs>
            <w:tab w:val="num" w:pos="4405"/>
          </w:tabs>
          <w:ind w:left="4621" w:hanging="421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tabs>
            <w:tab w:val="num" w:pos="5005"/>
          </w:tabs>
          <w:ind w:left="5221" w:hanging="421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6"/>
    <w:lvlOverride w:ilvl="0">
      <w:lvl w:ilvl="0">
        <w:start w:val="1"/>
        <w:numFmt w:val="bullet"/>
        <w:suff w:val="tab"/>
        <w:lvlText w:val="-"/>
        <w:lvlJc w:val="left"/>
        <w:pPr>
          <w:tabs>
            <w:tab w:val="num" w:pos="237"/>
          </w:tabs>
          <w:ind w:left="345" w:hanging="345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tabs>
            <w:tab w:val="left" w:pos="237"/>
            <w:tab w:val="num" w:pos="805"/>
          </w:tabs>
          <w:ind w:left="913" w:hanging="31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tabs>
            <w:tab w:val="left" w:pos="237"/>
            <w:tab w:val="num" w:pos="1405"/>
          </w:tabs>
          <w:ind w:left="1513" w:hanging="31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tabs>
            <w:tab w:val="left" w:pos="237"/>
            <w:tab w:val="num" w:pos="2005"/>
          </w:tabs>
          <w:ind w:left="2113" w:hanging="31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tabs>
            <w:tab w:val="left" w:pos="237"/>
            <w:tab w:val="num" w:pos="2605"/>
          </w:tabs>
          <w:ind w:left="2713" w:hanging="31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tabs>
            <w:tab w:val="left" w:pos="237"/>
            <w:tab w:val="num" w:pos="3205"/>
          </w:tabs>
          <w:ind w:left="3313" w:hanging="31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tabs>
            <w:tab w:val="left" w:pos="237"/>
            <w:tab w:val="num" w:pos="3805"/>
          </w:tabs>
          <w:ind w:left="3913" w:hanging="31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tabs>
            <w:tab w:val="left" w:pos="237"/>
            <w:tab w:val="num" w:pos="4405"/>
          </w:tabs>
          <w:ind w:left="4513" w:hanging="31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tabs>
            <w:tab w:val="left" w:pos="237"/>
            <w:tab w:val="num" w:pos="5005"/>
          </w:tabs>
          <w:ind w:left="5113" w:hanging="31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6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8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50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72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94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16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8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60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2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4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6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8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90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12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4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6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148" w:hanging="7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68" w:hanging="7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588" w:hanging="7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808" w:hanging="7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2028" w:hanging="7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248" w:hanging="7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468" w:hanging="7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688" w:hanging="70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5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7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0"/>
    <w:lvlOverride w:ilvl="0">
      <w:startOverride w:val="14"/>
      <w:lvl w:ilvl="0">
        <w:start w:val="14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0"/>
    <w:lvlOverride w:ilvl="0">
      <w:startOverride w:val="8"/>
      <w:lvl w:ilvl="0">
        <w:start w:val="8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0"/>
    <w:lvlOverride w:ilvl="0">
      <w:startOverride w:val="17"/>
      <w:lvl w:ilvl="0">
        <w:start w:val="17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 A">
    <w:name w:val="Header &amp; Footer A"/>
    <w:next w:val="Header &amp; Footer 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 A">
    <w:name w:val="None A"/>
    <w:rPr>
      <w:lang w:val="en-US"/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b w:val="1"/>
      <w:bCs w:val="1"/>
      <w:outline w:val="0"/>
      <w:color w:val="0000ff"/>
      <w:sz w:val="32"/>
      <w:szCs w:val="32"/>
      <w:u w:val="single" w:color="0000ff"/>
      <w:shd w:val="clear" w:color="auto" w:fill="ffffff"/>
      <w:lang w:val="ru-RU"/>
      <w14:textFill>
        <w14:solidFill>
          <w14:srgbClr w14:val="0000FF"/>
        </w14:solidFill>
      </w14:textFill>
    </w:rPr>
  </w:style>
  <w:style w:type="numbering" w:styleId="Numbered">
    <w:name w:val="Numbered"/>
    <w:pPr>
      <w:numPr>
        <w:numId w:val="1"/>
      </w:numPr>
    </w:pPr>
  </w:style>
  <w:style w:type="character" w:styleId="None A A">
    <w:name w:val="None A A"/>
    <w:rPr>
      <w:lang w:val="en-US"/>
    </w:rPr>
  </w:style>
  <w:style w:type="numbering" w:styleId="Bullet Big.0">
    <w:name w:val="Bullet Big.0"/>
    <w:pPr>
      <w:numPr>
        <w:numId w:val="3"/>
      </w:numPr>
    </w:pPr>
  </w:style>
  <w:style w:type="numbering" w:styleId="Bullet">
    <w:name w:val="Bullet"/>
    <w:pPr>
      <w:numPr>
        <w:numId w:val="5"/>
      </w:numPr>
    </w:pPr>
  </w:style>
  <w:style w:type="character" w:styleId="Hyperlink.1">
    <w:name w:val="Hyperlink.1"/>
    <w:basedOn w:val="None"/>
    <w:next w:val="Hyperlink.1"/>
    <w:rPr>
      <w:rFonts w:ascii="Times Roman" w:cs="Times Roman" w:hAnsi="Times Roman" w:eastAsia="Times Roman"/>
      <w:outline w:val="0"/>
      <w:color w:val="0000ee"/>
      <w:u w:val="single" w:color="0000ee"/>
      <w:lang w:val="ru-RU"/>
      <w14:textFill>
        <w14:solidFill>
          <w14:srgbClr w14:val="0000EE"/>
        </w14:solidFill>
      </w14:textFill>
    </w:rPr>
  </w:style>
  <w:style w:type="numbering" w:styleId="Bullets">
    <w:name w:val="Bullets"/>
    <w:pPr>
      <w:numPr>
        <w:numId w:val="11"/>
      </w:numPr>
    </w:pPr>
  </w:style>
  <w:style w:type="character" w:styleId="Hyperlink.2">
    <w:name w:val="Hyperlink.2"/>
    <w:basedOn w:val="None"/>
    <w:next w:val="Hyperlink.2"/>
    <w:rPr>
      <w:rFonts w:ascii="Times Roman" w:cs="Times Roman" w:hAnsi="Times Roman" w:eastAsia="Times Roman"/>
      <w:outline w:val="0"/>
      <w:color w:val="0000ee"/>
      <w:u w:val="single" w:color="0000ee"/>
      <w:lang w:val="en-US"/>
      <w14:textFill>
        <w14:solidFill>
          <w14:srgbClr w14:val="0000EE"/>
        </w14:solidFill>
      </w14:textFill>
    </w:rPr>
  </w:style>
  <w:style w:type="character" w:styleId="Hyperlink.3">
    <w:name w:val="Hyperlink.3"/>
    <w:basedOn w:val="None"/>
    <w:next w:val="Hyperlink.3"/>
    <w:rPr>
      <w:rFonts w:ascii="Times Roman" w:cs="Times Roman" w:hAnsi="Times Roman" w:eastAsia="Times Roman"/>
      <w:outline w:val="0"/>
      <w:color w:val="0000ee"/>
      <w:u w:val="single" w:color="0000ee"/>
      <w:lang w:val="de-DE"/>
      <w14:textFill>
        <w14:solidFill>
          <w14:srgbClr w14:val="0000EE"/>
        </w14:solidFill>
      </w14:textFill>
    </w:rPr>
  </w:style>
  <w:style w:type="character" w:styleId="Hyperlink.4">
    <w:name w:val="Hyperlink.4"/>
    <w:basedOn w:val="None"/>
    <w:next w:val="Hyperlink.4"/>
    <w:rPr>
      <w:rFonts w:ascii="Times Roman" w:cs="Times Roman" w:hAnsi="Times Roman" w:eastAsia="Times Roman"/>
      <w:outline w:val="0"/>
      <w:color w:val="0000ee"/>
      <w:u w:val="single" w:color="0000ee"/>
      <w:lang w:val="it-IT"/>
      <w14:textFill>
        <w14:solidFill>
          <w14:srgbClr w14:val="0000EE"/>
        </w14:solidFill>
      </w14:textFill>
    </w:rPr>
  </w:style>
  <w:style w:type="character" w:styleId="Hyperlink.5">
    <w:name w:val="Hyperlink.5"/>
    <w:basedOn w:val="None"/>
    <w:next w:val="Hyperlink.5"/>
    <w:rPr>
      <w:rFonts w:ascii="Times Roman" w:cs="Times Roman" w:hAnsi="Times Roman" w:eastAsia="Times Roman"/>
      <w:outline w:val="0"/>
      <w:color w:val="0000ee"/>
      <w:u w:val="single" w:color="0000ee"/>
      <w:lang w:val="fr-FR"/>
      <w14:textFill>
        <w14:solidFill>
          <w14:srgbClr w14:val="0000EE"/>
        </w14:solidFill>
      </w14:textFill>
    </w:rPr>
  </w:style>
  <w:style w:type="character" w:styleId="Hyperlink.6">
    <w:name w:val="Hyperlink.6"/>
    <w:basedOn w:val="None"/>
    <w:next w:val="Hyperlink.6"/>
    <w:rPr>
      <w:rFonts w:ascii="Times Roman" w:cs="Times Roman" w:hAnsi="Times Roman" w:eastAsia="Times Roman"/>
      <w:outline w:val="0"/>
      <w:color w:val="0000ee"/>
      <w:u w:val="single" w:color="0000ee"/>
      <w:lang w:val="da-DK"/>
      <w14:textFill>
        <w14:solidFill>
          <w14:srgbClr w14:val="0000EE"/>
        </w14:solidFill>
      </w14:textFill>
    </w:rPr>
  </w:style>
  <w:style w:type="character" w:styleId="Hyperlink.7">
    <w:name w:val="Hyperlink.7"/>
    <w:basedOn w:val="None"/>
    <w:next w:val="Hyperlink.7"/>
    <w:rPr>
      <w:rFonts w:ascii="Times Roman" w:cs="Times Roman" w:hAnsi="Times Roman" w:eastAsia="Times Roman"/>
      <w:outline w:val="0"/>
      <w:color w:val="0000ee"/>
      <w:u w:val="single" w:color="0000ee"/>
      <w:lang w:val="es-ES_tradnl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1.png"/><Relationship Id="rId7" Type="http://schemas.openxmlformats.org/officeDocument/2006/relationships/image" Target="media/image3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