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F16" w:rsidRDefault="00BC57B7">
      <w:pPr>
        <w:jc w:val="center"/>
      </w:pPr>
      <w:r>
        <w:rPr>
          <w:b/>
          <w:sz w:val="36"/>
        </w:rPr>
        <w:t>Factory Reallocation &amp; Shipping Optimization Recommendation System</w:t>
      </w:r>
    </w:p>
    <w:p w:rsidR="00F91F16" w:rsidRDefault="00BC57B7">
      <w:pPr>
        <w:jc w:val="center"/>
      </w:pPr>
      <w:bookmarkStart w:id="0" w:name="_GoBack"/>
      <w:bookmarkEnd w:id="0"/>
      <w:r>
        <w:rPr>
          <w:i/>
          <w:sz w:val="20"/>
        </w:rPr>
        <w:t>Nassau Candy Distributor</w:t>
      </w:r>
    </w:p>
    <w:p w:rsidR="00F91F16" w:rsidRDefault="00BC57B7">
      <w:pPr>
        <w:pStyle w:val="Heading1"/>
      </w:pPr>
      <w:r>
        <w:t>Abstract</w:t>
      </w:r>
    </w:p>
    <w:p w:rsidR="00F91F16" w:rsidRDefault="00BC57B7" w:rsidP="00C2413B">
      <w:pPr>
        <w:jc w:val="both"/>
      </w:pPr>
      <w:r>
        <w:t xml:space="preserve">This project develops a decision-intelligence framework for evaluating factory-to-product assignments for Nassau Candy Distributor. The supplied dataset </w:t>
      </w:r>
      <w:r>
        <w:t>contains 10,194 transaction records, 8,549 unique orders and 15 products mapped to five candidate factories. The workflow validates the transaction economics, derives shipment lead time from Order Date and Ship Date, compares Linear Regression, Random Fore</w:t>
      </w:r>
      <w:r>
        <w:t>st and Gradient Boosting models, clusters factory-region routes, and simulates alternative factory assignments. Linear Regression is the best-performing tested model on a held-out test set (RMSE 182.8 days, MAE 181.6 days, R² 0.524). Scenario screening ind</w:t>
      </w:r>
      <w:r>
        <w:t>icates that 13 of 15 products have at least one alternative factory with a lower modelled lead time, while two products are better retained under the selected scenario rule. Because the supplied shipment dates produce unusually large lead times of 904–1,64</w:t>
      </w:r>
      <w:r>
        <w:t>2 days, and the dataset contains no factory-specific freight cost, the recommendations should be treated as analytical screening rather than execution-ready optimization.</w:t>
      </w:r>
    </w:p>
    <w:p w:rsidR="00F91F16" w:rsidRDefault="00BC57B7">
      <w:pPr>
        <w:pStyle w:val="Heading1"/>
      </w:pPr>
      <w:r>
        <w:t>1. Introduction</w:t>
      </w:r>
    </w:p>
    <w:p w:rsidR="00F91F16" w:rsidRDefault="00BC57B7" w:rsidP="00C2413B">
      <w:pPr>
        <w:jc w:val="both"/>
      </w:pPr>
      <w:r>
        <w:t>Nassau Candy Distributor needs a repeatable way to move beyond static</w:t>
      </w:r>
      <w:r>
        <w:t xml:space="preserve"> factory assignments and assess the operational consequences of alternative sourcing locations. The objective is to connect historical shipping outcomes with product, region, shipping mode and factory characteristics, then expose those relationships throug</w:t>
      </w:r>
      <w:r>
        <w:t>h a what-if simulator. The system is descriptive and predictive rather than a promise of future performance: it estimates scenario outcomes using historical patterns and highlights decisions that warrant operational validation.</w:t>
      </w:r>
    </w:p>
    <w:p w:rsidR="00F91F16" w:rsidRDefault="00BC57B7">
      <w:pPr>
        <w:pStyle w:val="Heading1"/>
      </w:pPr>
      <w:r>
        <w:t>2. Dataset and Data Validati</w:t>
      </w:r>
      <w:r>
        <w:t>on</w:t>
      </w:r>
    </w:p>
    <w:p w:rsidR="00F91F16" w:rsidRDefault="00BC57B7" w:rsidP="00C2413B">
      <w:pPr>
        <w:jc w:val="both"/>
      </w:pPr>
      <w:r>
        <w:t>The dataset contains 10,194 rows and 8,549 unique orders across four customer regions (Interior, Atlantic, Gulf and Pacific), three divisions (Chocolate, Sugar and Other), four ship modes and 15 products. Gross Profit equals Sales minus Cost for all che</w:t>
      </w:r>
      <w:r>
        <w:t>cked rows. The product-to-factory mapping supplied in the project brief covers all 15 products and maps them to five factories: Lot's O' Nuts, Wicked Choccy's, Sugar Shack, Secret Factory and The Other Factory.</w:t>
      </w:r>
      <w:r>
        <w:br/>
      </w:r>
      <w:r>
        <w:br/>
        <w:t>A material data-quality issue was identified</w:t>
      </w:r>
      <w:r>
        <w:t xml:space="preserve"> in the shipment dates. The derived Order-to-Ship lead time ranges from 904 to 1642 days, with an average of 1320.8 days. These values are far above conventional parcel-shipping expectations. The analysis therefore preserves </w:t>
      </w:r>
      <w:r>
        <w:lastRenderedPageBreak/>
        <w:t>the supplied values and explici</w:t>
      </w:r>
      <w:r>
        <w:t>tly treats the date structure as a limitation rather than silently altering it.</w:t>
      </w:r>
    </w:p>
    <w:p w:rsidR="00F91F16" w:rsidRDefault="00BC57B7">
      <w:pPr>
        <w:pStyle w:val="Heading1"/>
      </w:pPr>
      <w:r>
        <w:t>3. Methodology</w:t>
      </w:r>
    </w:p>
    <w:p w:rsidR="00F91F16" w:rsidRDefault="00BC57B7" w:rsidP="00C2413B">
      <w:pPr>
        <w:jc w:val="both"/>
      </w:pPr>
      <w:r>
        <w:t>The analytical pipeline includes: (1) date parsing and lead-time creation; (2) product-to-factory mapping; (3) approximate geographic distance between each facto</w:t>
      </w:r>
      <w:r>
        <w:t>ry and the destination state's/province's centroid; (4) categorical encoding of product, division, region, ship mode and factory; (5) numerical scaling of units, sales, cost, distance and order timing; (6) train/test model comparison; (7) route-level aggre</w:t>
      </w:r>
      <w:r>
        <w:t>gation and clustering; and (8) factory scenario simulation.</w:t>
      </w:r>
      <w:r>
        <w:br/>
      </w:r>
      <w:r>
        <w:br/>
        <w:t>The tested predictive models are Linear Regression, Random Forest Regressor and Gradient Boosting Regressor. Evaluation uses RMSE, MAE and R². For scenario analysis, the selected model predicts e</w:t>
      </w:r>
      <w:r>
        <w:t xml:space="preserve">ach product's expected lead time under every candidate factory while holding the observed destination, ship mode, commercial variables and order timing constant. Recommendations are ranked using lead-time improvement with a profit-preservation proxy based </w:t>
      </w:r>
      <w:r>
        <w:t>on observed gross margin. No exact logistics-profit delta is claimed because the dataset does not contain factory-specific shipping cost or freight-rate information.</w:t>
      </w:r>
    </w:p>
    <w:p w:rsidR="00F91F16" w:rsidRDefault="00BC57B7">
      <w:pPr>
        <w:pStyle w:val="Heading1"/>
      </w:pPr>
      <w:r>
        <w:t>4. Predictive Model Results</w:t>
      </w:r>
    </w:p>
    <w:p w:rsidR="00F91F16" w:rsidRDefault="00BC57B7">
      <w:r>
        <w:t>The held-out evaluation results are shown below.</w:t>
      </w:r>
    </w:p>
    <w:p w:rsidR="00F91F16" w:rsidRDefault="00BC57B7">
      <w:pPr>
        <w:pStyle w:val="Heading1"/>
      </w:pPr>
      <w:r>
        <w:t>5. Route &amp; Ge</w:t>
      </w:r>
      <w:r>
        <w:t>ographic Analysis</w:t>
      </w:r>
    </w:p>
    <w:p w:rsidR="00F91F16" w:rsidRDefault="00BC57B7" w:rsidP="00C2413B">
      <w:pPr>
        <w:jc w:val="both"/>
      </w:pPr>
      <w:r>
        <w:t>Routes are represented by current factory and customer region. Route-level features include order count, average lead time, average sales and average gross profit. K-means clustering groups routes with similar performance profiles, allowi</w:t>
      </w:r>
      <w:r>
        <w:t>ng the dashboard to highlight consistently slower or commercially important route combinations. Geographic distance is an approximate analytical feature derived from factory coordinates supplied in the brief and state/province centroids; it is not a carrie</w:t>
      </w:r>
      <w:r>
        <w:t>r routing distance.</w:t>
      </w:r>
    </w:p>
    <w:p w:rsidR="00F91F16" w:rsidRDefault="00BC57B7">
      <w:pPr>
        <w:pStyle w:val="Heading1"/>
      </w:pPr>
      <w:r>
        <w:t>6. Scenario Simulation and Recommendations</w:t>
      </w:r>
    </w:p>
    <w:p w:rsidR="00F91F16" w:rsidRDefault="00BC57B7" w:rsidP="00C2413B">
      <w:pPr>
        <w:jc w:val="both"/>
      </w:pPr>
      <w:r>
        <w:t>The scenario engine evaluates all five factories for each of the 15 products. Under the selected model and scoring logic, 13 of 15 products have a best alternative with lower predicted lead tim</w:t>
      </w:r>
      <w:r>
        <w:t>e. The average predicted reduction among those positive scenarios is approximately 74.2 days. The results are not interpreted as guaranteed operational savings because the model's MAE is approximately 181.6 days and the historical lead-time values are unus</w:t>
      </w:r>
      <w:r>
        <w:t>ual.</w:t>
      </w:r>
      <w:r>
        <w:br/>
      </w:r>
      <w:r>
        <w:br/>
        <w:t xml:space="preserve">Examples of positive screening scenarios include Everlasting Gobstopper and Lickable </w:t>
      </w:r>
      <w:r>
        <w:lastRenderedPageBreak/>
        <w:t>Wallpaper moving from Secret Factory to The Other Factory in the model, while several Sugar Shack products show smaller modelled improvements toward The Other Factor</w:t>
      </w:r>
      <w:r>
        <w:t>y. Hair Toffee and Kazookles do not receive a positive best-alternative recommendation under the same scoring logic.</w:t>
      </w:r>
    </w:p>
    <w:p w:rsidR="00F91F16" w:rsidRDefault="00BC57B7">
      <w:pPr>
        <w:pStyle w:val="Heading1"/>
      </w:pPr>
      <w:r>
        <w:t>7. KPI Framework</w:t>
      </w:r>
    </w:p>
    <w:p w:rsidR="00F91F16" w:rsidRDefault="00BC57B7" w:rsidP="00C2413B">
      <w:pPr>
        <w:jc w:val="both"/>
      </w:pPr>
      <w:r>
        <w:t>Lead Time Reduction (%) measures the percentage improvement between the current-factory prediction and a candidate-factory</w:t>
      </w:r>
      <w:r>
        <w:t xml:space="preserve"> prediction. Profit Impact Stability is represented as a risk proxy using observed gross margin and total gross profit exposure; it is not a calculated freight-cost saving. Scenario Confidence Score is tied to model performance and should be interpreted as</w:t>
      </w:r>
      <w:r>
        <w:t xml:space="preserve"> reliability of the predictive layer. Recommendation Coverage measures the share of products for which the engine identifies at least one candidate factory with a positive modelled lead-time reduction.</w:t>
      </w:r>
    </w:p>
    <w:p w:rsidR="00F91F16" w:rsidRDefault="00BC57B7">
      <w:pPr>
        <w:pStyle w:val="Heading1"/>
      </w:pPr>
      <w:r>
        <w:t>8. Limitations</w:t>
      </w:r>
    </w:p>
    <w:p w:rsidR="00F91F16" w:rsidRDefault="00BC57B7">
      <w:r>
        <w:t xml:space="preserve">1. The supplied dates create 904–1,642 </w:t>
      </w:r>
      <w:r>
        <w:t>day lead times and may reflect a data-generation or date-alignment issue.</w:t>
      </w:r>
      <w:r>
        <w:br/>
        <w:t>2. The model uses approximate state/province centroids rather than exact customer coordinates or carrier route distance.</w:t>
      </w:r>
      <w:r>
        <w:br/>
        <w:t>3. The dataset has no factory-specific shipping cost, freight</w:t>
      </w:r>
      <w:r>
        <w:t xml:space="preserve"> rate, capacity, inventory, service-level or</w:t>
      </w:r>
      <w:r>
        <w:t xml:space="preserve"> </w:t>
      </w:r>
      <w:r>
        <w:t>factory utilization fields.</w:t>
      </w:r>
      <w:r>
        <w:br/>
        <w:t>4. The model is trained primarily on the existing product-to-factory assignment structure; alternative-factory predictions therefore require validation before operational use.</w:t>
      </w:r>
      <w:r>
        <w:br/>
        <w:t>5. A po</w:t>
      </w:r>
      <w:r>
        <w:t>sitive modelled lead-time change is not automatically a profit improvement.</w:t>
      </w:r>
      <w:r>
        <w:br/>
        <w:t>6. The 15 products and five factories are those supplied in the project brief; results should not be generalized beyond this scope without additional data.</w:t>
      </w:r>
    </w:p>
    <w:p w:rsidR="00F91F16" w:rsidRDefault="00BC57B7">
      <w:pPr>
        <w:pStyle w:val="Heading1"/>
      </w:pPr>
      <w:r>
        <w:t>9. Conclusion</w:t>
      </w:r>
    </w:p>
    <w:p w:rsidR="00F91F16" w:rsidRDefault="00BC57B7" w:rsidP="00C2413B">
      <w:pPr>
        <w:jc w:val="both"/>
      </w:pPr>
      <w:r>
        <w:t>The projec</w:t>
      </w:r>
      <w:r>
        <w:t>t converts historical shipping records into a practical decision-support workflow: users can inspect model quality, compare route performance, simulate alternate factory assignments and review ranked recommendations. The main value is not a single automati</w:t>
      </w:r>
      <w:r>
        <w:t>c factory decision but a transparent mechanism for testing alternatives before changing the network. Before production deployment, the organization should validate the date fields, add actual freight cost and capacity data, and back-test recommendations ag</w:t>
      </w:r>
      <w:r>
        <w:t>ainst operational outcomes.</w:t>
      </w:r>
    </w:p>
    <w:p w:rsidR="00F91F16" w:rsidRDefault="00BC57B7">
      <w:pPr>
        <w:pStyle w:val="Heading1"/>
      </w:pPr>
      <w:r>
        <w:t>Model Evaluation Table</w:t>
      </w:r>
    </w:p>
    <w:tbl>
      <w:tblPr>
        <w:tblStyle w:val="TableGrid"/>
        <w:tblW w:w="0" w:type="auto"/>
        <w:jc w:val="center"/>
        <w:tblLook w:val="04A0" w:firstRow="1" w:lastRow="0" w:firstColumn="1" w:lastColumn="0" w:noHBand="0" w:noVBand="1"/>
      </w:tblPr>
      <w:tblGrid>
        <w:gridCol w:w="2160"/>
        <w:gridCol w:w="2160"/>
        <w:gridCol w:w="2160"/>
        <w:gridCol w:w="2160"/>
      </w:tblGrid>
      <w:tr w:rsidR="00F91F16">
        <w:trPr>
          <w:jc w:val="center"/>
        </w:trPr>
        <w:tc>
          <w:tcPr>
            <w:tcW w:w="2160" w:type="dxa"/>
          </w:tcPr>
          <w:p w:rsidR="00F91F16" w:rsidRDefault="00BC57B7">
            <w:r>
              <w:t>Model</w:t>
            </w:r>
          </w:p>
        </w:tc>
        <w:tc>
          <w:tcPr>
            <w:tcW w:w="2160" w:type="dxa"/>
          </w:tcPr>
          <w:p w:rsidR="00F91F16" w:rsidRDefault="00BC57B7">
            <w:r>
              <w:t>RMSE (days)</w:t>
            </w:r>
          </w:p>
        </w:tc>
        <w:tc>
          <w:tcPr>
            <w:tcW w:w="2160" w:type="dxa"/>
          </w:tcPr>
          <w:p w:rsidR="00F91F16" w:rsidRDefault="00BC57B7">
            <w:r>
              <w:t>MAE (days)</w:t>
            </w:r>
          </w:p>
        </w:tc>
        <w:tc>
          <w:tcPr>
            <w:tcW w:w="2160" w:type="dxa"/>
          </w:tcPr>
          <w:p w:rsidR="00F91F16" w:rsidRDefault="00BC57B7">
            <w:r>
              <w:t>R²</w:t>
            </w:r>
          </w:p>
        </w:tc>
      </w:tr>
      <w:tr w:rsidR="00F91F16">
        <w:trPr>
          <w:jc w:val="center"/>
        </w:trPr>
        <w:tc>
          <w:tcPr>
            <w:tcW w:w="2160" w:type="dxa"/>
          </w:tcPr>
          <w:p w:rsidR="00F91F16" w:rsidRDefault="00BC57B7">
            <w:r>
              <w:t>Linear Regression</w:t>
            </w:r>
          </w:p>
        </w:tc>
        <w:tc>
          <w:tcPr>
            <w:tcW w:w="2160" w:type="dxa"/>
          </w:tcPr>
          <w:p w:rsidR="00F91F16" w:rsidRDefault="00BC57B7">
            <w:r>
              <w:t>182.787</w:t>
            </w:r>
          </w:p>
        </w:tc>
        <w:tc>
          <w:tcPr>
            <w:tcW w:w="2160" w:type="dxa"/>
          </w:tcPr>
          <w:p w:rsidR="00F91F16" w:rsidRDefault="00BC57B7">
            <w:r>
              <w:t>181.552</w:t>
            </w:r>
          </w:p>
        </w:tc>
        <w:tc>
          <w:tcPr>
            <w:tcW w:w="2160" w:type="dxa"/>
          </w:tcPr>
          <w:p w:rsidR="00F91F16" w:rsidRDefault="00BC57B7">
            <w:r>
              <w:t>0.524</w:t>
            </w:r>
          </w:p>
        </w:tc>
      </w:tr>
      <w:tr w:rsidR="00F91F16">
        <w:trPr>
          <w:jc w:val="center"/>
        </w:trPr>
        <w:tc>
          <w:tcPr>
            <w:tcW w:w="2160" w:type="dxa"/>
          </w:tcPr>
          <w:p w:rsidR="00F91F16" w:rsidRDefault="00BC57B7">
            <w:r>
              <w:t>Random Forest</w:t>
            </w:r>
          </w:p>
        </w:tc>
        <w:tc>
          <w:tcPr>
            <w:tcW w:w="2160" w:type="dxa"/>
          </w:tcPr>
          <w:p w:rsidR="00F91F16" w:rsidRDefault="00BC57B7">
            <w:r>
              <w:t>186.2</w:t>
            </w:r>
          </w:p>
        </w:tc>
        <w:tc>
          <w:tcPr>
            <w:tcW w:w="2160" w:type="dxa"/>
          </w:tcPr>
          <w:p w:rsidR="00F91F16" w:rsidRDefault="00BC57B7">
            <w:r>
              <w:t>175.575</w:t>
            </w:r>
          </w:p>
        </w:tc>
        <w:tc>
          <w:tcPr>
            <w:tcW w:w="2160" w:type="dxa"/>
          </w:tcPr>
          <w:p w:rsidR="00F91F16" w:rsidRDefault="00BC57B7">
            <w:r>
              <w:t>0.506</w:t>
            </w:r>
          </w:p>
        </w:tc>
      </w:tr>
      <w:tr w:rsidR="00F91F16">
        <w:trPr>
          <w:jc w:val="center"/>
        </w:trPr>
        <w:tc>
          <w:tcPr>
            <w:tcW w:w="2160" w:type="dxa"/>
          </w:tcPr>
          <w:p w:rsidR="00F91F16" w:rsidRDefault="00BC57B7">
            <w:r>
              <w:lastRenderedPageBreak/>
              <w:t>Gradient Boosting</w:t>
            </w:r>
          </w:p>
        </w:tc>
        <w:tc>
          <w:tcPr>
            <w:tcW w:w="2160" w:type="dxa"/>
          </w:tcPr>
          <w:p w:rsidR="00F91F16" w:rsidRDefault="00BC57B7">
            <w:r>
              <w:t>188.156</w:t>
            </w:r>
          </w:p>
        </w:tc>
        <w:tc>
          <w:tcPr>
            <w:tcW w:w="2160" w:type="dxa"/>
          </w:tcPr>
          <w:p w:rsidR="00F91F16" w:rsidRDefault="00BC57B7">
            <w:r>
              <w:t>178.452</w:t>
            </w:r>
          </w:p>
        </w:tc>
        <w:tc>
          <w:tcPr>
            <w:tcW w:w="2160" w:type="dxa"/>
          </w:tcPr>
          <w:p w:rsidR="00F91F16" w:rsidRDefault="00BC57B7">
            <w:r>
              <w:t>0.496</w:t>
            </w:r>
          </w:p>
        </w:tc>
      </w:tr>
    </w:tbl>
    <w:p w:rsidR="00F91F16" w:rsidRDefault="00BC57B7">
      <w:pPr>
        <w:pStyle w:val="Heading1"/>
      </w:pPr>
      <w:r>
        <w:t>Overall Dataset KPIs</w:t>
      </w:r>
    </w:p>
    <w:tbl>
      <w:tblPr>
        <w:tblStyle w:val="TableGrid"/>
        <w:tblW w:w="0" w:type="auto"/>
        <w:jc w:val="center"/>
        <w:tblLook w:val="04A0" w:firstRow="1" w:lastRow="0" w:firstColumn="1" w:lastColumn="0" w:noHBand="0" w:noVBand="1"/>
      </w:tblPr>
      <w:tblGrid>
        <w:gridCol w:w="4320"/>
        <w:gridCol w:w="4320"/>
      </w:tblGrid>
      <w:tr w:rsidR="00F91F16">
        <w:trPr>
          <w:jc w:val="center"/>
        </w:trPr>
        <w:tc>
          <w:tcPr>
            <w:tcW w:w="4320" w:type="dxa"/>
          </w:tcPr>
          <w:p w:rsidR="00F91F16" w:rsidRDefault="00BC57B7">
            <w:r>
              <w:t>Metric</w:t>
            </w:r>
          </w:p>
        </w:tc>
        <w:tc>
          <w:tcPr>
            <w:tcW w:w="4320" w:type="dxa"/>
          </w:tcPr>
          <w:p w:rsidR="00F91F16" w:rsidRDefault="00BC57B7">
            <w:r>
              <w:t>Value</w:t>
            </w:r>
          </w:p>
        </w:tc>
      </w:tr>
      <w:tr w:rsidR="00F91F16">
        <w:trPr>
          <w:jc w:val="center"/>
        </w:trPr>
        <w:tc>
          <w:tcPr>
            <w:tcW w:w="4320" w:type="dxa"/>
          </w:tcPr>
          <w:p w:rsidR="00F91F16" w:rsidRDefault="00BC57B7">
            <w:r>
              <w:t>Records</w:t>
            </w:r>
          </w:p>
        </w:tc>
        <w:tc>
          <w:tcPr>
            <w:tcW w:w="4320" w:type="dxa"/>
          </w:tcPr>
          <w:p w:rsidR="00F91F16" w:rsidRDefault="00BC57B7">
            <w:r>
              <w:t>10,194</w:t>
            </w:r>
          </w:p>
        </w:tc>
      </w:tr>
      <w:tr w:rsidR="00F91F16">
        <w:trPr>
          <w:jc w:val="center"/>
        </w:trPr>
        <w:tc>
          <w:tcPr>
            <w:tcW w:w="4320" w:type="dxa"/>
          </w:tcPr>
          <w:p w:rsidR="00F91F16" w:rsidRDefault="00BC57B7">
            <w:r>
              <w:t>Unique orders</w:t>
            </w:r>
          </w:p>
        </w:tc>
        <w:tc>
          <w:tcPr>
            <w:tcW w:w="4320" w:type="dxa"/>
          </w:tcPr>
          <w:p w:rsidR="00F91F16" w:rsidRDefault="00BC57B7">
            <w:r>
              <w:t>8,549</w:t>
            </w:r>
          </w:p>
        </w:tc>
      </w:tr>
      <w:tr w:rsidR="00F91F16">
        <w:trPr>
          <w:jc w:val="center"/>
        </w:trPr>
        <w:tc>
          <w:tcPr>
            <w:tcW w:w="4320" w:type="dxa"/>
          </w:tcPr>
          <w:p w:rsidR="00F91F16" w:rsidRDefault="00BC57B7">
            <w:r>
              <w:t>Products</w:t>
            </w:r>
          </w:p>
        </w:tc>
        <w:tc>
          <w:tcPr>
            <w:tcW w:w="4320" w:type="dxa"/>
          </w:tcPr>
          <w:p w:rsidR="00F91F16" w:rsidRDefault="00BC57B7">
            <w:r>
              <w:t>15</w:t>
            </w:r>
          </w:p>
        </w:tc>
      </w:tr>
      <w:tr w:rsidR="00F91F16">
        <w:trPr>
          <w:jc w:val="center"/>
        </w:trPr>
        <w:tc>
          <w:tcPr>
            <w:tcW w:w="4320" w:type="dxa"/>
          </w:tcPr>
          <w:p w:rsidR="00F91F16" w:rsidRDefault="00BC57B7">
            <w:r>
              <w:t>Factories</w:t>
            </w:r>
          </w:p>
        </w:tc>
        <w:tc>
          <w:tcPr>
            <w:tcW w:w="4320" w:type="dxa"/>
          </w:tcPr>
          <w:p w:rsidR="00F91F16" w:rsidRDefault="00BC57B7">
            <w:r>
              <w:t>5</w:t>
            </w:r>
          </w:p>
        </w:tc>
      </w:tr>
      <w:tr w:rsidR="00F91F16">
        <w:trPr>
          <w:jc w:val="center"/>
        </w:trPr>
        <w:tc>
          <w:tcPr>
            <w:tcW w:w="4320" w:type="dxa"/>
          </w:tcPr>
          <w:p w:rsidR="00F91F16" w:rsidRDefault="00BC57B7">
            <w:r>
              <w:t>Average lead time</w:t>
            </w:r>
          </w:p>
        </w:tc>
        <w:tc>
          <w:tcPr>
            <w:tcW w:w="4320" w:type="dxa"/>
          </w:tcPr>
          <w:p w:rsidR="00F91F16" w:rsidRDefault="00BC57B7">
            <w:r>
              <w:t>1320.8 days</w:t>
            </w:r>
          </w:p>
        </w:tc>
      </w:tr>
      <w:tr w:rsidR="00F91F16">
        <w:trPr>
          <w:jc w:val="center"/>
        </w:trPr>
        <w:tc>
          <w:tcPr>
            <w:tcW w:w="4320" w:type="dxa"/>
          </w:tcPr>
          <w:p w:rsidR="00F91F16" w:rsidRDefault="00BC57B7">
            <w:r>
              <w:t>Lead-time range</w:t>
            </w:r>
          </w:p>
        </w:tc>
        <w:tc>
          <w:tcPr>
            <w:tcW w:w="4320" w:type="dxa"/>
          </w:tcPr>
          <w:p w:rsidR="00F91F16" w:rsidRDefault="00BC57B7">
            <w:r>
              <w:t>904–1642 days</w:t>
            </w:r>
          </w:p>
        </w:tc>
      </w:tr>
      <w:tr w:rsidR="00F91F16">
        <w:trPr>
          <w:jc w:val="center"/>
        </w:trPr>
        <w:tc>
          <w:tcPr>
            <w:tcW w:w="4320" w:type="dxa"/>
          </w:tcPr>
          <w:p w:rsidR="00F91F16" w:rsidRDefault="00BC57B7">
            <w:r>
              <w:t>Total sales</w:t>
            </w:r>
          </w:p>
        </w:tc>
        <w:tc>
          <w:tcPr>
            <w:tcW w:w="4320" w:type="dxa"/>
          </w:tcPr>
          <w:p w:rsidR="00F91F16" w:rsidRDefault="00BC57B7">
            <w:r>
              <w:t>$141,783.63</w:t>
            </w:r>
          </w:p>
        </w:tc>
      </w:tr>
      <w:tr w:rsidR="00F91F16">
        <w:trPr>
          <w:jc w:val="center"/>
        </w:trPr>
        <w:tc>
          <w:tcPr>
            <w:tcW w:w="4320" w:type="dxa"/>
          </w:tcPr>
          <w:p w:rsidR="00F91F16" w:rsidRDefault="00BC57B7">
            <w:r>
              <w:t>Total gross profit</w:t>
            </w:r>
          </w:p>
        </w:tc>
        <w:tc>
          <w:tcPr>
            <w:tcW w:w="4320" w:type="dxa"/>
          </w:tcPr>
          <w:p w:rsidR="00F91F16" w:rsidRDefault="00BC57B7">
            <w:r>
              <w:t>$93,442.80</w:t>
            </w:r>
          </w:p>
        </w:tc>
      </w:tr>
      <w:tr w:rsidR="00F91F16">
        <w:trPr>
          <w:jc w:val="center"/>
        </w:trPr>
        <w:tc>
          <w:tcPr>
            <w:tcW w:w="4320" w:type="dxa"/>
          </w:tcPr>
          <w:p w:rsidR="00F91F16" w:rsidRDefault="00BC57B7">
            <w:r>
              <w:t>Recommendation coverage</w:t>
            </w:r>
          </w:p>
        </w:tc>
        <w:tc>
          <w:tcPr>
            <w:tcW w:w="4320" w:type="dxa"/>
          </w:tcPr>
          <w:p w:rsidR="00F91F16" w:rsidRDefault="00BC57B7">
            <w:r>
              <w:t>86.7%</w:t>
            </w:r>
          </w:p>
        </w:tc>
      </w:tr>
      <w:tr w:rsidR="00F91F16">
        <w:trPr>
          <w:jc w:val="center"/>
        </w:trPr>
        <w:tc>
          <w:tcPr>
            <w:tcW w:w="4320" w:type="dxa"/>
          </w:tcPr>
          <w:p w:rsidR="00F91F16" w:rsidRDefault="00BC57B7">
            <w:r>
              <w:t>Avg positive scenario reduction</w:t>
            </w:r>
          </w:p>
        </w:tc>
        <w:tc>
          <w:tcPr>
            <w:tcW w:w="4320" w:type="dxa"/>
          </w:tcPr>
          <w:p w:rsidR="00F91F16" w:rsidRDefault="00BC57B7">
            <w:r>
              <w:t>74.2 days</w:t>
            </w:r>
          </w:p>
        </w:tc>
      </w:tr>
    </w:tbl>
    <w:p w:rsidR="00BC57B7" w:rsidRDefault="00BC57B7"/>
    <w:sectPr w:rsidR="00BC57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C57B7"/>
    <w:rsid w:val="00C2413B"/>
    <w:rsid w:val="00CB0664"/>
    <w:rsid w:val="00F91F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9E9D3"/>
  <w14:defaultImageDpi w14:val="300"/>
  <w15:docId w15:val="{37B0F88B-54FE-4013-BF3B-8A35004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403F06-6A3C-4818-93E4-3C4757715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2026-09-26T18:06:00Z</dcterms:modified>
  <cp:category/>
</cp:coreProperties>
</file>