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86D" w:rsidRDefault="006519A5">
      <w:pPr>
        <w:pStyle w:val="Title"/>
      </w:pPr>
      <w:r>
        <w:t>Executive Summary — Nassau Candy Route Efficiency</w:t>
      </w:r>
    </w:p>
    <w:p w:rsidR="00AE086D" w:rsidRDefault="006519A5">
      <w:pPr>
        <w:pStyle w:val="Heading1"/>
      </w:pPr>
      <w:r>
        <w:t>Purpose</w:t>
      </w:r>
    </w:p>
    <w:p w:rsidR="00AE086D" w:rsidRDefault="006519A5" w:rsidP="006519A5">
      <w:pPr>
        <w:jc w:val="both"/>
      </w:pPr>
      <w:r>
        <w:t xml:space="preserve">Provide decision-makers with route-level visibility into factory-to-customer shipping </w:t>
      </w:r>
      <w:bookmarkStart w:id="0" w:name="_GoBack"/>
      <w:bookmarkEnd w:id="0"/>
      <w:r>
        <w:t>performance.</w:t>
      </w:r>
    </w:p>
    <w:p w:rsidR="00AE086D" w:rsidRDefault="006519A5">
      <w:pPr>
        <w:pStyle w:val="Heading1"/>
      </w:pPr>
      <w:r>
        <w:t>Dataset</w:t>
      </w:r>
    </w:p>
    <w:p w:rsidR="00AE086D" w:rsidRDefault="006519A5" w:rsidP="006519A5">
      <w:pPr>
        <w:jc w:val="both"/>
      </w:pPr>
      <w:r>
        <w:t>10,194 shipment records, 8,549 unique orders, 59 states, four regions, four ship modes and</w:t>
      </w:r>
      <w:r>
        <w:t xml:space="preserve"> fifteen products.</w:t>
      </w:r>
    </w:p>
    <w:p w:rsidR="00AE086D" w:rsidRDefault="006519A5">
      <w:pPr>
        <w:pStyle w:val="Heading1"/>
      </w:pPr>
      <w:r>
        <w:t>Key Metrics</w:t>
      </w:r>
    </w:p>
    <w:p w:rsidR="00AE086D" w:rsidRDefault="006519A5" w:rsidP="006519A5">
      <w:pPr>
        <w:jc w:val="both"/>
      </w:pPr>
      <w:r>
        <w:t>Mean calculated lead time: 1320.8 days; median: 1274 days; range: 904–1642 days.</w:t>
      </w:r>
    </w:p>
    <w:p w:rsidR="00AE086D" w:rsidRDefault="006519A5">
      <w:pPr>
        <w:pStyle w:val="Heading1"/>
      </w:pPr>
      <w:r>
        <w:t>Operational View</w:t>
      </w:r>
    </w:p>
    <w:p w:rsidR="00AE086D" w:rsidRDefault="006519A5" w:rsidP="006519A5">
      <w:pPr>
        <w:jc w:val="both"/>
      </w:pPr>
      <w:r>
        <w:t>The dashboard identifies high-volume routes, slow routes, regional bottlenecks, state-level performance and ship-mode differenc</w:t>
      </w:r>
      <w:r>
        <w:t>es. Users can change the delay threshold to focus monitoring on their operational definition of delay.</w:t>
      </w:r>
    </w:p>
    <w:p w:rsidR="00AE086D" w:rsidRDefault="006519A5">
      <w:pPr>
        <w:pStyle w:val="Heading1"/>
      </w:pPr>
      <w:r>
        <w:t>Critical Data Caveat</w:t>
      </w:r>
    </w:p>
    <w:p w:rsidR="00AE086D" w:rsidRDefault="006519A5" w:rsidP="006519A5">
      <w:pPr>
        <w:jc w:val="both"/>
      </w:pPr>
      <w:r>
        <w:t>The calculated date gaps are unusually large for normal shipping. The source Order Date/Ship Date semantics should be validated befo</w:t>
      </w:r>
      <w:r>
        <w:t>re using the results for policy, SLA or budget decisions.</w:t>
      </w:r>
    </w:p>
    <w:p w:rsidR="00AE086D" w:rsidRDefault="006519A5">
      <w:pPr>
        <w:pStyle w:val="Heading1"/>
      </w:pPr>
      <w:r>
        <w:t>Recommended Actions</w:t>
      </w:r>
    </w:p>
    <w:p w:rsidR="00AE086D" w:rsidRDefault="006519A5" w:rsidP="006519A5">
      <w:pPr>
        <w:jc w:val="both"/>
      </w:pPr>
      <w:r>
        <w:t>Validate dates; establish route SLAs; monitor high-volume slow routes; investigate persistent factory-state bottlenecks; compare ship modes descriptively; and refresh the dashboa</w:t>
      </w:r>
      <w:r>
        <w:t>rd when corrected operational dates are available.</w:t>
      </w:r>
    </w:p>
    <w:sectPr w:rsidR="00AE0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9A5"/>
    <w:rsid w:val="00AA1D8D"/>
    <w:rsid w:val="00AE086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256502-B83F-4216-8FE1-D1DADC00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56F7EA-159A-48C9-B373-003C0A676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2026-09-26T18:19:00Z</dcterms:modified>
  <cp:category/>
</cp:coreProperties>
</file>