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02E" w:rsidRDefault="008A12B9">
      <w:pPr>
        <w:pStyle w:val="Title"/>
      </w:pPr>
      <w:r>
        <w:t>Factory-to-Customer Shipping Route Efficiency Analysis — Nassau Candy Distributor</w:t>
      </w:r>
    </w:p>
    <w:p w:rsidR="0057702E" w:rsidRDefault="008A12B9">
      <w:pPr>
        <w:pStyle w:val="Heading1"/>
      </w:pPr>
      <w:r>
        <w:t>Abstract</w:t>
      </w:r>
      <w:bookmarkStart w:id="0" w:name="_GoBack"/>
      <w:bookmarkEnd w:id="0"/>
    </w:p>
    <w:p w:rsidR="0057702E" w:rsidRDefault="008A12B9" w:rsidP="008A12B9">
      <w:pPr>
        <w:jc w:val="both"/>
      </w:pPr>
      <w:r>
        <w:t xml:space="preserve">This study converts Nassau Candy Distributor order and shipment data into route-level efficiency intelligence. The dataset contains 10,194 records and 8,549 unique </w:t>
      </w:r>
      <w:r>
        <w:t>orders across 59 states, four customer regions, four ship modes and fifteen products. The analysis calculates shipping lead time, route volume, variability, delay frequency and a relative efficiency score. A critical data-quality issue is observed: the sup</w:t>
      </w:r>
      <w:r>
        <w:t>plied Order Date and Ship Date imply lead times of 904–1642 days. The findings therefore describe the supplied data and should be validated before operational SLA use.</w:t>
      </w:r>
    </w:p>
    <w:p w:rsidR="0057702E" w:rsidRDefault="008A12B9">
      <w:pPr>
        <w:pStyle w:val="Heading1"/>
      </w:pPr>
      <w:r>
        <w:t>Introduction</w:t>
      </w:r>
    </w:p>
    <w:p w:rsidR="0057702E" w:rsidRDefault="008A12B9" w:rsidP="008A12B9">
      <w:pPr>
        <w:jc w:val="both"/>
      </w:pPr>
      <w:r>
        <w:t>Shipping route efficiency affects service reliability, operating cost and s</w:t>
      </w:r>
      <w:r>
        <w:t>calability. This project addresses the absence of route-level visibility by defining routes from the supplied product-factory mapping to customer states and regions.</w:t>
      </w:r>
    </w:p>
    <w:p w:rsidR="0057702E" w:rsidRDefault="008A12B9">
      <w:pPr>
        <w:pStyle w:val="Heading1"/>
      </w:pPr>
      <w:r>
        <w:t>Data Preparation and Validation</w:t>
      </w:r>
    </w:p>
    <w:p w:rsidR="0057702E" w:rsidRDefault="008A12B9" w:rsidP="008A12B9">
      <w:pPr>
        <w:jc w:val="both"/>
      </w:pPr>
      <w:r>
        <w:t>Dates were parsed using day-first interpretation because t</w:t>
      </w:r>
      <w:r>
        <w:t>he source values are formatted DD-MM-YYYY. No missing lead-time values or negative lead times were found. Product-to-factory mapping was supplied by the project specification. The resulting dataset contains 5 factories and 59 states. The principal limitati</w:t>
      </w:r>
      <w:r>
        <w:t>on is the unusually long calculated lead-time range of 904–1642 days.</w:t>
      </w:r>
    </w:p>
    <w:p w:rsidR="0057702E" w:rsidRDefault="008A12B9">
      <w:pPr>
        <w:pStyle w:val="Heading1"/>
      </w:pPr>
      <w:r>
        <w:t>Methodology</w:t>
      </w:r>
    </w:p>
    <w:p w:rsidR="0057702E" w:rsidRDefault="008A12B9" w:rsidP="008A12B9">
      <w:pPr>
        <w:jc w:val="both"/>
      </w:pPr>
      <w:r>
        <w:t xml:space="preserve">Shipping Lead Time equals Ship Date minus Order Date. Routes are analyzed at Factory → State and Factory → Region levels. Metrics include shipment volume, average lead time, </w:t>
      </w:r>
      <w:r>
        <w:t>median lead time, standard deviation, threshold-based delay frequency and a normalized Route Efficiency Score. Ship-mode and regional comparisons are also performed.</w:t>
      </w:r>
    </w:p>
    <w:p w:rsidR="0057702E" w:rsidRDefault="008A12B9">
      <w:pPr>
        <w:pStyle w:val="Heading1"/>
      </w:pPr>
      <w:r>
        <w:t>Exploratory Findings</w:t>
      </w:r>
    </w:p>
    <w:p w:rsidR="0057702E" w:rsidRDefault="008A12B9" w:rsidP="008A12B9">
      <w:pPr>
        <w:jc w:val="both"/>
      </w:pPr>
      <w:r>
        <w:t>The overall mean lead time is 1320.8 days and the median is 1274 days</w:t>
      </w:r>
      <w:r>
        <w:t xml:space="preserve">. Standard Class has the largest shipment volume (6,120) and an average calculated lead time of 1314.3 days. </w:t>
      </w:r>
      <w:r>
        <w:lastRenderedPageBreak/>
        <w:t>The Pacific region has the largest shipment volume (3,253) while Gulf has the lowest mean calculated lead time among regions at 1311.4 days.</w:t>
      </w:r>
    </w:p>
    <w:p w:rsidR="0057702E" w:rsidRDefault="008A12B9">
      <w:pPr>
        <w:pStyle w:val="Heading1"/>
      </w:pPr>
      <w:r>
        <w:t>Geogra</w:t>
      </w:r>
      <w:r>
        <w:t>phic Bottleneck Analysis</w:t>
      </w:r>
    </w:p>
    <w:p w:rsidR="0057702E" w:rsidRDefault="008A12B9" w:rsidP="008A12B9">
      <w:pPr>
        <w:jc w:val="both"/>
      </w:pPr>
      <w:r>
        <w:t>High-volume/high-lead-time combinations should be prioritized for operational review. The dashboard allows the user to filter region and state and inspect factory-state routes, making it possible to distinguish broad regional patte</w:t>
      </w:r>
      <w:r>
        <w:t>rns from individual route issues.</w:t>
      </w:r>
    </w:p>
    <w:p w:rsidR="0057702E" w:rsidRDefault="008A12B9" w:rsidP="008A12B9">
      <w:pPr>
        <w:pStyle w:val="Heading1"/>
        <w:jc w:val="both"/>
      </w:pPr>
      <w:r>
        <w:t>Ship Mode Analysis</w:t>
      </w:r>
    </w:p>
    <w:p w:rsidR="0057702E" w:rsidRDefault="008A12B9" w:rsidP="008A12B9">
      <w:pPr>
        <w:jc w:val="both"/>
      </w:pPr>
      <w:r>
        <w:t xml:space="preserve">Ship modes are compared descriptively using mean, median and variability. The supplied data should not be interpreted as proving causal service-level differences because mode selection may be associated </w:t>
      </w:r>
      <w:r>
        <w:t>with order characteristics and because the date fields require validation.</w:t>
      </w:r>
    </w:p>
    <w:p w:rsidR="0057702E" w:rsidRDefault="008A12B9" w:rsidP="008A12B9">
      <w:pPr>
        <w:pStyle w:val="Heading1"/>
        <w:jc w:val="both"/>
      </w:pPr>
      <w:r>
        <w:t>Recommendations</w:t>
      </w:r>
    </w:p>
    <w:p w:rsidR="0057702E" w:rsidRDefault="008A12B9" w:rsidP="008A12B9">
      <w:pPr>
        <w:jc w:val="both"/>
      </w:pPr>
      <w:r>
        <w:t>Validate the source date semantics first. Once corrected, establish route-level service thresholds, monitor high-volume slow routes, review factory-state combination</w:t>
      </w:r>
      <w:r>
        <w:t>s with persistent delay frequency, and use ship-mode performance as a monitoring signal. Re-run the dashboard after source correction.</w:t>
      </w:r>
    </w:p>
    <w:p w:rsidR="0057702E" w:rsidRDefault="008A12B9" w:rsidP="008A12B9">
      <w:pPr>
        <w:pStyle w:val="Heading1"/>
        <w:jc w:val="both"/>
      </w:pPr>
      <w:r>
        <w:t>Limitations</w:t>
      </w:r>
    </w:p>
    <w:p w:rsidR="0057702E" w:rsidRDefault="008A12B9" w:rsidP="008A12B9">
      <w:pPr>
        <w:jc w:val="both"/>
      </w:pPr>
      <w:r>
        <w:t>Factory coordinates are provided in the project brief but customer coordinates are not, so true geographic di</w:t>
      </w:r>
      <w:r>
        <w:t>stance cannot be calculated. Freight cost is also not supplied, preventing a full cost-time tradeoff calculation. Route efficiency scores are relative and threshold-dependent.</w:t>
      </w:r>
    </w:p>
    <w:p w:rsidR="0057702E" w:rsidRDefault="008A12B9" w:rsidP="008A12B9">
      <w:pPr>
        <w:pStyle w:val="Heading1"/>
        <w:jc w:val="both"/>
      </w:pPr>
      <w:r>
        <w:t>Conclusion</w:t>
      </w:r>
    </w:p>
    <w:p w:rsidR="0057702E" w:rsidRDefault="008A12B9" w:rsidP="008A12B9">
      <w:pPr>
        <w:jc w:val="both"/>
      </w:pPr>
      <w:r>
        <w:t>The project establishes a reusable route-efficiency framework coverin</w:t>
      </w:r>
      <w:r>
        <w:t>g factory, state, region and ship mode. Its strongest operational value is the ability to drill from national patterns to individual routes. The unusual source-date intervals must be resolved before the metrics are treated as real-world shipping SLAs.</w:t>
      </w:r>
    </w:p>
    <w:sectPr w:rsidR="00577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02E"/>
    <w:rsid w:val="008A12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FF426A1-E76A-4A38-897C-8C944FBB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EC2B1C-BB05-4FC1-93D3-A5A2C4F71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2026-09-26T18:20:00Z</dcterms:modified>
  <cp:category/>
</cp:coreProperties>
</file>