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Executive Summary — SkyCity Auckland Restaurants &amp; Bars</w:t>
      </w:r>
    </w:p>
    <w:p>
      <w:r>
        <w:t>Order Channel Performance and Market Share Analytics</w:t>
      </w:r>
    </w:p>
    <w:p>
      <w:pPr>
        <w:pStyle w:val="Heading1"/>
      </w:pPr>
      <w:r>
        <w:t>Purpose</w:t>
      </w:r>
    </w:p>
    <w:p>
      <w:r>
        <w:t>Understand channel mix, geographic patterns, cuisine and segment differences, and channel dependency.</w:t>
      </w:r>
    </w:p>
    <w:p>
      <w:pPr>
        <w:pStyle w:val="Heading1"/>
      </w:pPr>
      <w:r>
        <w:t>Dataset</w:t>
      </w:r>
    </w:p>
    <w:p>
      <w:r>
        <w:t>1,696 records, 1,696 unique restaurants, 2,019,134 represented orders, four subregions.</w:t>
      </w:r>
    </w:p>
    <w:p>
      <w:pPr>
        <w:pStyle w:val="Heading1"/>
      </w:pPr>
      <w:r>
        <w:t>Channel Mix</w:t>
      </w:r>
    </w:p>
    <w:p>
      <w:r>
        <w:t>Uber Eats 39.6%; DoorDash 21.6%; Self-Delivery 20.4%; In-Store 18.4%.</w:t>
      </w:r>
    </w:p>
    <w:p>
      <w:pPr>
        <w:pStyle w:val="Heading1"/>
      </w:pPr>
      <w:r>
        <w:t>Dependency</w:t>
      </w:r>
    </w:p>
    <w:p>
      <w:r>
        <w:t>Average combined aggregator dependence is 62.3%. No record reaches the 70% combined Uber Eats + DoorDash threshold.</w:t>
      </w:r>
    </w:p>
    <w:p>
      <w:pPr>
        <w:pStyle w:val="Heading1"/>
      </w:pPr>
      <w:r>
        <w:t>Geography</w:t>
      </w:r>
    </w:p>
    <w:p>
      <w:r>
        <w:t>North Shore, West Auckland, South Auckland and CBD show broadly similar channel structures in the supplied data.</w:t>
      </w:r>
    </w:p>
    <w:p>
      <w:pPr>
        <w:pStyle w:val="Heading1"/>
      </w:pPr>
      <w:r>
        <w:t>Cuisine &amp; Segment</w:t>
      </w:r>
    </w:p>
    <w:p>
      <w:r>
        <w:t>Pizza has relatively strong Self-Delivery contribution; Ghost Kitchens are more delivery-oriented; Full-service has stronger In-Store contribution.</w:t>
      </w:r>
    </w:p>
    <w:p>
      <w:pPr>
        <w:pStyle w:val="Heading1"/>
      </w:pPr>
      <w:r>
        <w:t>Data Quality</w:t>
      </w:r>
    </w:p>
    <w:p>
      <w:r>
        <w:t>Channel order counts reconcile exactly to MonthlyOrders for all records.</w:t>
      </w:r>
    </w:p>
    <w:p>
      <w:pPr>
        <w:pStyle w:val="Heading1"/>
      </w:pPr>
      <w:r>
        <w:t>Caveat</w:t>
      </w:r>
    </w:p>
    <w:p>
      <w:r>
        <w:t>These are channel shares within the supplied dataset, not necessarily city-wide market shares. Confirm coverage and representativeness before external policy or market claims.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