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71D2E" w:rsidRDefault="00DE34C2">
      <w:pPr>
        <w:pStyle w:val="Title"/>
      </w:pPr>
      <w:r>
        <w:t>Order Channel Performance and Market Share Analytics for SkyCity Auckland Restaurants &amp; Bars</w:t>
      </w:r>
    </w:p>
    <w:p w:rsidR="00871D2E" w:rsidRDefault="00DE34C2">
      <w:r>
        <w:t>Research Paper</w:t>
      </w:r>
    </w:p>
    <w:p w:rsidR="00871D2E" w:rsidRDefault="00DE34C2">
      <w:pPr>
        <w:pStyle w:val="Heading1"/>
      </w:pPr>
      <w:r>
        <w:t>Abstract</w:t>
      </w:r>
    </w:p>
    <w:p w:rsidR="00871D2E" w:rsidRDefault="00DE34C2" w:rsidP="00276A23">
      <w:pPr>
        <w:jc w:val="both"/>
      </w:pPr>
      <w:r>
        <w:t xml:space="preserve">This study analyzes 1,696 restaurant-level records across four order channels. Uber Eats represents 39.6% of represented orders, DoorDash </w:t>
      </w:r>
      <w:r>
        <w:t>21.6%, Self-Delivery 20.4%, and In-Store 18.4%. The study compares channel mix across geography, cuisine and segment, and evaluates aggregator dependence and channel diversification.</w:t>
      </w:r>
    </w:p>
    <w:p w:rsidR="00871D2E" w:rsidRDefault="00DE34C2">
      <w:pPr>
        <w:pStyle w:val="Heading1"/>
      </w:pPr>
      <w:r>
        <w:t>1. Introduction</w:t>
      </w:r>
    </w:p>
    <w:p w:rsidR="00871D2E" w:rsidRDefault="00DE34C2" w:rsidP="00276A23">
      <w:pPr>
        <w:jc w:val="both"/>
      </w:pPr>
      <w:r>
        <w:t xml:space="preserve">The project examines multi-channel ordering patterns and </w:t>
      </w:r>
      <w:r>
        <w:t>provides descriptive evidence for channel planning. It is an historical analytics exercise rather than a forecasting or causal study.</w:t>
      </w:r>
    </w:p>
    <w:p w:rsidR="00871D2E" w:rsidRDefault="00DE34C2">
      <w:pPr>
        <w:pStyle w:val="Heading1"/>
      </w:pPr>
      <w:r>
        <w:t>2. Dataset and Validation</w:t>
      </w:r>
    </w:p>
    <w:p w:rsidR="00871D2E" w:rsidRDefault="00DE34C2" w:rsidP="00276A23">
      <w:pPr>
        <w:jc w:val="both"/>
      </w:pPr>
      <w:r>
        <w:t>The dataset contains 1,696 records, 1,696 unique restaurant IDs, four subregions, 8 cuisine cate</w:t>
      </w:r>
      <w:r>
        <w:t>gories and 4 segments. Channel order counts reconcile exactly to MonthlyOrders for every record.</w:t>
      </w:r>
    </w:p>
    <w:p w:rsidR="00871D2E" w:rsidRDefault="00DE34C2">
      <w:pPr>
        <w:pStyle w:val="Heading1"/>
      </w:pPr>
      <w:r>
        <w:t>3. Methodology</w:t>
      </w:r>
    </w:p>
    <w:p w:rsidR="00871D2E" w:rsidRDefault="00DE34C2" w:rsidP="00276A23">
      <w:pPr>
        <w:jc w:val="both"/>
      </w:pPr>
      <w:r>
        <w:t xml:space="preserve">Overall channel share is calculated from order counts. Aggregator Dependence Index is defined as (Uber Eats + DoorDash orders) / MonthlyOrders. </w:t>
      </w:r>
      <w:r>
        <w:t>Channel Diversification Score is calculated as one minus the sum of squared channel shares. Results are aggregated by subregion, cuisine and segment.</w:t>
      </w:r>
    </w:p>
    <w:p w:rsidR="00871D2E" w:rsidRDefault="00DE34C2">
      <w:pPr>
        <w:pStyle w:val="Heading1"/>
      </w:pPr>
      <w:r>
        <w:t>4. Overall Performance</w:t>
      </w:r>
    </w:p>
    <w:p w:rsidR="00871D2E" w:rsidRDefault="00DE34C2" w:rsidP="00276A23">
      <w:pPr>
        <w:spacing w:after="360"/>
        <w:jc w:val="both"/>
      </w:pPr>
      <w:r>
        <w:t>T</w:t>
      </w:r>
      <w:r>
        <w:t>otal represented orders are 2,019,134. Uber Eats contributes 39.6%, DoorDash 21.6%</w:t>
      </w:r>
      <w:r>
        <w:t>, Self-Delivery 20.4%, and In-Store 18.4%. Average restaurant-level aggregator dependence is 62.3%.</w:t>
      </w:r>
    </w:p>
    <w:p w:rsidR="00871D2E" w:rsidRDefault="00DE34C2" w:rsidP="00276A23">
      <w:pPr>
        <w:pStyle w:val="Heading1"/>
        <w:spacing w:before="100" w:beforeAutospacing="1"/>
      </w:pPr>
      <w:r>
        <w:lastRenderedPageBreak/>
        <w:t>5. Geography</w:t>
      </w:r>
    </w:p>
    <w:p w:rsidR="00871D2E" w:rsidRDefault="00DE34C2" w:rsidP="00276A23">
      <w:pPr>
        <w:jc w:val="both"/>
      </w:pPr>
      <w:r>
        <w:t>The actual dataset contains North Shore, West Auckland, South Auckland and CBD. Their overall channel mixes are similar, with Uber Eats the lar</w:t>
      </w:r>
      <w:r>
        <w:t>gest channel in each subregion.</w:t>
      </w:r>
    </w:p>
    <w:p w:rsidR="00871D2E" w:rsidRDefault="00DE34C2" w:rsidP="00276A23">
      <w:pPr>
        <w:pStyle w:val="Heading1"/>
        <w:spacing w:before="360"/>
      </w:pPr>
      <w:r>
        <w:t>6. Cuisine and Segment</w:t>
      </w:r>
    </w:p>
    <w:p w:rsidR="00871D2E" w:rsidRDefault="00DE34C2" w:rsidP="00276A23">
      <w:pPr>
        <w:jc w:val="both"/>
      </w:pPr>
      <w:r>
        <w:t>Cuisine categories display different channel patterns. Pizza has a comparatively strong Self-Delivery contribution. Japanese and Kebabs/Mediterranean have relatively high Uber Eats shares. Ghost Kitche</w:t>
      </w:r>
      <w:r>
        <w:t>n records are more delivery-oriented, while Full-service records have a stronger In-Store contribution.</w:t>
      </w:r>
    </w:p>
    <w:p w:rsidR="00871D2E" w:rsidRDefault="00DE34C2" w:rsidP="00276A23">
      <w:pPr>
        <w:pStyle w:val="Heading1"/>
        <w:spacing w:before="360"/>
      </w:pPr>
      <w:r>
        <w:t>7. Dependency Risk</w:t>
      </w:r>
    </w:p>
    <w:p w:rsidR="00871D2E" w:rsidRDefault="00DE34C2" w:rsidP="00276A23">
      <w:pPr>
        <w:jc w:val="both"/>
      </w:pPr>
      <w:r>
        <w:t>A 70% combined-aggregator threshold was specified as a risk flag. 603 records meet this threshold. A separate single-channel concentr</w:t>
      </w:r>
      <w:r>
        <w:t>ation check found 0 records at or above 70% for one channel.</w:t>
      </w:r>
    </w:p>
    <w:p w:rsidR="00871D2E" w:rsidRDefault="00DE34C2" w:rsidP="00276A23">
      <w:pPr>
        <w:pStyle w:val="Heading1"/>
        <w:spacing w:before="360"/>
      </w:pPr>
      <w:r>
        <w:t>8. Financial Analysis</w:t>
      </w:r>
    </w:p>
    <w:p w:rsidR="00871D2E" w:rsidRDefault="00DE34C2" w:rsidP="00276A23">
      <w:pPr>
        <w:jc w:val="both"/>
      </w:pPr>
      <w:r>
        <w:t>The dashboard compares channel revenue and net profit using the supplied cost, operating expense, commission and delivery-cost assumptions.</w:t>
      </w:r>
    </w:p>
    <w:p w:rsidR="00871D2E" w:rsidRDefault="00DE34C2" w:rsidP="00276A23">
      <w:pPr>
        <w:pStyle w:val="Heading1"/>
        <w:spacing w:before="360"/>
      </w:pPr>
      <w:r>
        <w:t>9. Limitations</w:t>
      </w:r>
    </w:p>
    <w:p w:rsidR="00871D2E" w:rsidRDefault="00DE34C2" w:rsidP="00276A23">
      <w:pPr>
        <w:jc w:val="both"/>
      </w:pPr>
      <w:r>
        <w:t>Channel share is c</w:t>
      </w:r>
      <w:r>
        <w:t>alculated within the supplied dataset and should not automatically be described as the market share of all Auckland restaurants. The dataset is observational, and the 70% risk threshold is an analytical rule rather than a universal industry standard.</w:t>
      </w:r>
    </w:p>
    <w:p w:rsidR="00871D2E" w:rsidRDefault="00DE34C2" w:rsidP="00276A23">
      <w:pPr>
        <w:pStyle w:val="Heading1"/>
        <w:spacing w:before="360"/>
      </w:pPr>
      <w:r>
        <w:t>10. C</w:t>
      </w:r>
      <w:r>
        <w:t>o</w:t>
      </w:r>
      <w:bookmarkStart w:id="0" w:name="_GoBack"/>
      <w:bookmarkEnd w:id="0"/>
      <w:r>
        <w:t>nclusion</w:t>
      </w:r>
    </w:p>
    <w:p w:rsidR="00871D2E" w:rsidRDefault="00DE34C2" w:rsidP="00276A23">
      <w:pPr>
        <w:jc w:val="both"/>
      </w:pPr>
      <w:r>
        <w:t>The project provides an interactive view of channel performance, geography, cuisine, segment, concentration and financial outputs. It can support further channel-strategy analysis when combined with validated business context.</w:t>
      </w:r>
    </w:p>
    <w:p w:rsidR="00871D2E" w:rsidRDefault="00DE34C2">
      <w:pPr>
        <w:pStyle w:val="Heading1"/>
      </w:pPr>
      <w:r>
        <w:t>Overall Channel Sha</w:t>
      </w:r>
      <w:r>
        <w:t>re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871D2E">
        <w:tc>
          <w:tcPr>
            <w:tcW w:w="4320" w:type="dxa"/>
          </w:tcPr>
          <w:p w:rsidR="00871D2E" w:rsidRDefault="00DE34C2">
            <w:r>
              <w:t>Channel</w:t>
            </w:r>
          </w:p>
        </w:tc>
        <w:tc>
          <w:tcPr>
            <w:tcW w:w="4320" w:type="dxa"/>
          </w:tcPr>
          <w:p w:rsidR="00871D2E" w:rsidRDefault="00DE34C2">
            <w:r>
              <w:t>Share</w:t>
            </w:r>
          </w:p>
        </w:tc>
      </w:tr>
      <w:tr w:rsidR="00871D2E">
        <w:tc>
          <w:tcPr>
            <w:tcW w:w="4320" w:type="dxa"/>
          </w:tcPr>
          <w:p w:rsidR="00871D2E" w:rsidRDefault="00DE34C2">
            <w:r>
              <w:t>In-Store</w:t>
            </w:r>
          </w:p>
        </w:tc>
        <w:tc>
          <w:tcPr>
            <w:tcW w:w="4320" w:type="dxa"/>
          </w:tcPr>
          <w:p w:rsidR="00871D2E" w:rsidRDefault="00DE34C2">
            <w:r>
              <w:t>18.4%</w:t>
            </w:r>
          </w:p>
        </w:tc>
      </w:tr>
      <w:tr w:rsidR="00871D2E">
        <w:tc>
          <w:tcPr>
            <w:tcW w:w="4320" w:type="dxa"/>
          </w:tcPr>
          <w:p w:rsidR="00871D2E" w:rsidRDefault="00DE34C2">
            <w:r>
              <w:t>Uber Eats</w:t>
            </w:r>
          </w:p>
        </w:tc>
        <w:tc>
          <w:tcPr>
            <w:tcW w:w="4320" w:type="dxa"/>
          </w:tcPr>
          <w:p w:rsidR="00871D2E" w:rsidRDefault="00DE34C2">
            <w:r>
              <w:t>39.6%</w:t>
            </w:r>
          </w:p>
        </w:tc>
      </w:tr>
      <w:tr w:rsidR="00871D2E">
        <w:tc>
          <w:tcPr>
            <w:tcW w:w="4320" w:type="dxa"/>
          </w:tcPr>
          <w:p w:rsidR="00871D2E" w:rsidRDefault="00DE34C2">
            <w:r>
              <w:t>DoorDash</w:t>
            </w:r>
          </w:p>
        </w:tc>
        <w:tc>
          <w:tcPr>
            <w:tcW w:w="4320" w:type="dxa"/>
          </w:tcPr>
          <w:p w:rsidR="00871D2E" w:rsidRDefault="00DE34C2">
            <w:r>
              <w:t>21.6%</w:t>
            </w:r>
          </w:p>
        </w:tc>
      </w:tr>
      <w:tr w:rsidR="00871D2E">
        <w:tc>
          <w:tcPr>
            <w:tcW w:w="4320" w:type="dxa"/>
          </w:tcPr>
          <w:p w:rsidR="00871D2E" w:rsidRDefault="00DE34C2">
            <w:r>
              <w:t>Self-Delivery</w:t>
            </w:r>
          </w:p>
        </w:tc>
        <w:tc>
          <w:tcPr>
            <w:tcW w:w="4320" w:type="dxa"/>
          </w:tcPr>
          <w:p w:rsidR="00871D2E" w:rsidRDefault="00DE34C2">
            <w:r>
              <w:t>20.4%</w:t>
            </w:r>
          </w:p>
        </w:tc>
      </w:tr>
    </w:tbl>
    <w:p w:rsidR="00DE34C2" w:rsidRDefault="00DE34C2"/>
    <w:sectPr w:rsidR="00DE34C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76A23"/>
    <w:rsid w:val="0029639D"/>
    <w:rsid w:val="00326F90"/>
    <w:rsid w:val="00871D2E"/>
    <w:rsid w:val="00AA1D8D"/>
    <w:rsid w:val="00B47730"/>
    <w:rsid w:val="00CB0664"/>
    <w:rsid w:val="00DE34C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4A04E822-BD9C-40F6-889D-727F98009E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DE93E24-06D1-4A9D-B486-B308C74F77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433</Words>
  <Characters>2471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Dell</cp:lastModifiedBy>
  <cp:revision>2</cp:revision>
  <dcterms:created xsi:type="dcterms:W3CDTF">2013-12-23T23:15:00Z</dcterms:created>
  <dcterms:modified xsi:type="dcterms:W3CDTF">2026-09-26T17:46:00Z</dcterms:modified>
  <cp:category/>
</cp:coreProperties>
</file>