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6" w:rsidRDefault="00F90536" w:rsidP="00F905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05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Analysis of Model Performance and Embedding Visualization</w:t>
      </w:r>
      <w:bookmarkStart w:id="0" w:name="_GoBack"/>
      <w:bookmarkEnd w:id="0"/>
    </w:p>
    <w:p w:rsidR="00F90536" w:rsidRPr="00F90536" w:rsidRDefault="00F90536" w:rsidP="00F905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5852160" cy="35194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PCA Proj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53" cy="35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6" w:rsidRPr="00F90536" w:rsidRDefault="00F90536" w:rsidP="00F90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>1. 3D PCA Projection</w:t>
      </w:r>
    </w:p>
    <w:p w:rsidR="00F90536" w:rsidRPr="00F90536" w:rsidRDefault="00F90536" w:rsidP="00F90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This image shows a 3D Principal Component Analysis (PCA) projection of the model's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536" w:rsidRPr="00F90536" w:rsidRDefault="00F90536" w:rsidP="00F90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PCA is commonly used to reduce the dimensionality of data, making it easier to visualize complex, high-dimensional datasets. Here, PCA captures the main variance in the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in three dimensions, providing insight into clustering and separation in the data.</w:t>
      </w:r>
    </w:p>
    <w:p w:rsidR="00F90536" w:rsidRPr="00F90536" w:rsidRDefault="00F90536" w:rsidP="00F90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536" w:rsidRPr="00F90536" w:rsidRDefault="00F90536" w:rsidP="00F90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There appears to be a concentration of points around specific regions, with some clear spread along certain axes.</w:t>
      </w:r>
    </w:p>
    <w:p w:rsidR="00F90536" w:rsidRPr="00F90536" w:rsidRDefault="00F90536" w:rsidP="00F90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This suggests that the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may have some distinct clusters, indicating that the model is learning separable features or patterns in the data.</w:t>
      </w:r>
    </w:p>
    <w:p w:rsidR="00F90536" w:rsidRDefault="00F90536" w:rsidP="00F90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The clustering observed might suggest that different groups of similar data points are positioned closer in the embedding space. This is useful if the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will later be used for tasks like clustering, classification, or retrieval.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0536" w:rsidRP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36" w:rsidRDefault="00F90536" w:rsidP="00F90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 t-SNE Proj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6" w:rsidRPr="00F90536" w:rsidRDefault="00F90536" w:rsidP="00F90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>2. 3D t-SNE Projection</w:t>
      </w:r>
    </w:p>
    <w:p w:rsidR="00F90536" w:rsidRPr="00F90536" w:rsidRDefault="00F90536" w:rsidP="00F90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This 3D t-SNE (t-Distributed Stochastic Neighbor Embedding) projection visualizes the same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with a different dimensionality reduction technique.</w:t>
      </w:r>
    </w:p>
    <w:p w:rsidR="00F90536" w:rsidRPr="00F90536" w:rsidRDefault="00F90536" w:rsidP="00F90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 t-SNE is well-suited for visualizing high-dimensional data in a low-dimensional space (often 2D or 3D) by preserving the local structure. It often highlights clusters more clearly than PCA.</w:t>
      </w:r>
    </w:p>
    <w:p w:rsidR="00F90536" w:rsidRPr="00F90536" w:rsidRDefault="00F90536" w:rsidP="00F90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536" w:rsidRPr="00F90536" w:rsidRDefault="00F90536" w:rsidP="00F90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The points are more dispersed than in the PCA projection, which could mean that t-SNE has managed to reveal finer-grained local clusters within the data.</w:t>
      </w:r>
    </w:p>
    <w:p w:rsidR="00F90536" w:rsidRPr="00F90536" w:rsidRDefault="00F90536" w:rsidP="00F90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There is a distinct central cluster with some points scattered around, suggesting stronger local relationships among certain data points.</w:t>
      </w:r>
    </w:p>
    <w:p w:rsidR="00F90536" w:rsidRDefault="00F90536" w:rsidP="00F90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The clustering here indicates that the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may capture nuanced relationships in the data, which is valuable for downstream tasks like classification or question-answering. </w:t>
      </w:r>
      <w:proofErr w:type="gramStart"/>
      <w:r w:rsidRPr="00F90536">
        <w:rPr>
          <w:rFonts w:ascii="Times New Roman" w:eastAsia="Times New Roman" w:hAnsi="Times New Roman" w:cs="Times New Roman"/>
          <w:sz w:val="24"/>
          <w:szCs w:val="24"/>
        </w:rPr>
        <w:t>t-SNE’s</w:t>
      </w:r>
      <w:proofErr w:type="gram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visualization reinforces that the model has likely learned meaningful relationships.</w:t>
      </w:r>
    </w:p>
    <w:p w:rsid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36" w:rsidRP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Accura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6" w:rsidRPr="00F90536" w:rsidRDefault="00F90536" w:rsidP="00F90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Training and Validation Accuracy </w:t>
      </w:r>
      <w:proofErr w:type="gramStart"/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>Over</w:t>
      </w:r>
      <w:proofErr w:type="gramEnd"/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Epochs</w:t>
      </w:r>
    </w:p>
    <w:p w:rsidR="00F90536" w:rsidRPr="00F90536" w:rsidRDefault="00F90536" w:rsidP="00F90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 This line plot shows the training and validation accuracy across five epochs.</w:t>
      </w:r>
    </w:p>
    <w:p w:rsidR="00F90536" w:rsidRPr="00F90536" w:rsidRDefault="00F90536" w:rsidP="00F90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536" w:rsidRPr="00F90536" w:rsidRDefault="00F90536" w:rsidP="00F90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Both training and validation accuracy increase rapidly in the initial epochs, with training accuracy reaching close to 100% by the end.</w:t>
      </w:r>
    </w:p>
    <w:p w:rsidR="00F90536" w:rsidRPr="00F90536" w:rsidRDefault="00F90536" w:rsidP="00F90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Validation accuracy also remains high, indicating minimal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536" w:rsidRDefault="00F90536" w:rsidP="00F90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The high accuracy achieved for both training and validation sets suggests that the model is fitting well without significant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>, which is a positive indicator of model generalization. The stability in the accuracy curves toward the end implies the model has converged.</w:t>
      </w:r>
    </w:p>
    <w:p w:rsid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36" w:rsidRPr="00F90536" w:rsidRDefault="00F90536" w:rsidP="00F90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6" w:rsidRPr="00F90536" w:rsidRDefault="00F90536" w:rsidP="00F90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Training and Validation Loss </w:t>
      </w:r>
      <w:proofErr w:type="gramStart"/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>Over</w:t>
      </w:r>
      <w:proofErr w:type="gramEnd"/>
      <w:r w:rsidRPr="00F905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Epochs</w:t>
      </w:r>
    </w:p>
    <w:p w:rsidR="00F90536" w:rsidRPr="00F90536" w:rsidRDefault="00F90536" w:rsidP="00F90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 This plot tracks the training and validation loss across the same five epochs.</w:t>
      </w:r>
    </w:p>
    <w:p w:rsidR="00F90536" w:rsidRPr="00F90536" w:rsidRDefault="00F90536" w:rsidP="00F90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536" w:rsidRPr="00F90536" w:rsidRDefault="00F90536" w:rsidP="00F905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Both training and validation loss decrease sharply in the first few epochs, with training loss approaching zero.</w:t>
      </w:r>
    </w:p>
    <w:p w:rsidR="00F90536" w:rsidRPr="00F90536" w:rsidRDefault="00F90536" w:rsidP="00F905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sz w:val="24"/>
          <w:szCs w:val="24"/>
        </w:rPr>
        <w:t>Validation loss stabilizes at a low value, which aligns with the high validation accuracy observed.</w:t>
      </w:r>
    </w:p>
    <w:p w:rsidR="00F90536" w:rsidRPr="00F90536" w:rsidRDefault="00F90536" w:rsidP="00F90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3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: The rapid reduction in loss suggests efficient learning during the early stages of training. The low and stable validation loss reinforces the idea that the model has not </w:t>
      </w:r>
      <w:proofErr w:type="spellStart"/>
      <w:r w:rsidRPr="00F90536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F90536">
        <w:rPr>
          <w:rFonts w:ascii="Times New Roman" w:eastAsia="Times New Roman" w:hAnsi="Times New Roman" w:cs="Times New Roman"/>
          <w:sz w:val="24"/>
          <w:szCs w:val="24"/>
        </w:rPr>
        <w:t xml:space="preserve"> and is learning relevant features in the data.</w:t>
      </w:r>
    </w:p>
    <w:p w:rsidR="00A260B1" w:rsidRDefault="00A260B1"/>
    <w:sectPr w:rsidR="00A2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6451"/>
    <w:multiLevelType w:val="multilevel"/>
    <w:tmpl w:val="646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6D57E7"/>
    <w:multiLevelType w:val="multilevel"/>
    <w:tmpl w:val="17F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B3975"/>
    <w:multiLevelType w:val="multilevel"/>
    <w:tmpl w:val="FDB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82A2E"/>
    <w:multiLevelType w:val="multilevel"/>
    <w:tmpl w:val="9D44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6"/>
    <w:rsid w:val="00A260B1"/>
    <w:rsid w:val="00F9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CE5FA-B299-4813-A9AF-C06DF050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0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90536"/>
  </w:style>
  <w:style w:type="character" w:customStyle="1" w:styleId="Heading1Char">
    <w:name w:val="Heading 1 Char"/>
    <w:basedOn w:val="DefaultParagraphFont"/>
    <w:link w:val="Heading1"/>
    <w:uiPriority w:val="9"/>
    <w:rsid w:val="00F90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0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2024-10-30T06:11:00Z</dcterms:created>
  <dcterms:modified xsi:type="dcterms:W3CDTF">2024-10-30T06:14:00Z</dcterms:modified>
</cp:coreProperties>
</file>