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color w:val="0B4F5C"/>
          <w:sz w:val="44"/>
        </w:rPr>
        <w:t>Healthcare Data-Quality Firewall</w:t>
      </w:r>
    </w:p>
    <w:p>
      <w:pPr>
        <w:spacing w:after="160"/>
      </w:pPr>
      <w:r>
        <w:t>Concept note: Healthcare track (rules, hybrid LLM, RAG, and a guarded review agent). Lab 6 pattern: tool use, guardrails, red-teaming.</w:t>
      </w:r>
    </w:p>
    <w:p>
      <w:pPr>
        <w:pStyle w:val="Heading1"/>
      </w:pPr>
      <w:r>
        <w:t>1. Problem and why it matters</w:t>
      </w:r>
    </w:p>
    <w:p>
      <w:pPr>
        <w:spacing w:after="80"/>
      </w:pPr>
      <w:r>
        <w:t>A patient's record is rarely in one place. Hospital, clinic and urgent-care systems each hold a fragment with their own patient ID, name format and wording for the same diagnosis. When these fragments are combined and fed into clinical AI or analytics, five kinds of error propagate: duplicate records, contradictions (for example an allergy documented in one record and 'no known allergies' in a later one), missing critical fields, impossible dates, and terminology drift ('MI' versus 'heart attack'). The concept is a data-quality firewall that checks records before they reach downstream systems, and flags issues, with evidence, for a human data steward. It never makes a clinical decision.</w:t>
      </w:r>
    </w:p>
    <w:p>
      <w:pPr>
        <w:pStyle w:val="Heading1"/>
      </w:pPr>
      <w:r>
        <w:t>2. Concept and architecture</w:t>
      </w:r>
    </w:p>
    <w:p>
      <w:pPr>
        <w:spacing w:after="80"/>
      </w:pPr>
      <w:r>
        <w:t>Records are re-linked to patients (fuzzy name, birth date and sex), then deterministic rules run first and emit issues with evidence. Only the cases rules cannot decide go to Gemini: unfamiliar terms, free-text notes that deny or stop something listed, borderline duplicates, and plain-language explanations. A retrieval-augmented knowledge base (10 data-steward guideline documents and one entry per vocabulary concept) supports the LLM and a review agent. The agent investigates a single flagged issue through tools under budgets, validated arguments and a human-approval gate.</w:t>
      </w:r>
    </w:p>
    <w:tbl>
      <w:tblPr>
        <w:tblStyle w:val="TableGrid"/>
        <w:tblW w:type="auto" w:w="0"/>
        <w:tblLayout w:type="fixed"/>
        <w:tblLook w:firstColumn="1" w:firstRow="1" w:lastColumn="0" w:lastRow="0" w:noHBand="0" w:noVBand="1" w:val="04A0"/>
      </w:tblPr>
      <w:tblGrid>
        <w:gridCol w:w="2160"/>
        <w:gridCol w:w="4896"/>
        <w:gridCol w:w="2736"/>
      </w:tblGrid>
      <w:tr>
        <w:trPr>
          <w:cantSplit/>
        </w:trPr>
        <w:tc>
          <w:tcPr>
            <w:tcW w:type="dxa" w:w="2160"/>
            <w:shd w:val="clear" w:color="auto" w:fill="0B4F5C"/>
          </w:tcPr>
          <w:p>
            <w:pPr>
              <w:spacing w:after="0"/>
            </w:pPr>
            <w:r/>
            <w:r>
              <w:rPr>
                <w:b/>
                <w:color w:val="FFFFFF"/>
                <w:sz w:val="20"/>
              </w:rPr>
              <w:t>Course sequence</w:t>
            </w:r>
          </w:p>
        </w:tc>
        <w:tc>
          <w:tcPr>
            <w:tcW w:type="dxa" w:w="4896"/>
            <w:shd w:val="clear" w:color="auto" w:fill="0B4F5C"/>
          </w:tcPr>
          <w:p>
            <w:pPr>
              <w:spacing w:after="0"/>
            </w:pPr>
            <w:r/>
            <w:r>
              <w:rPr>
                <w:b/>
                <w:color w:val="FFFFFF"/>
                <w:sz w:val="20"/>
              </w:rPr>
              <w:t>What was built</w:t>
            </w:r>
          </w:p>
        </w:tc>
        <w:tc>
          <w:tcPr>
            <w:tcW w:type="dxa" w:w="2736"/>
            <w:shd w:val="clear" w:color="auto" w:fill="0B4F5C"/>
          </w:tcPr>
          <w:p>
            <w:pPr>
              <w:spacing w:after="0"/>
            </w:pPr>
            <w:r/>
            <w:r>
              <w:rPr>
                <w:b/>
                <w:color w:val="FFFFFF"/>
                <w:sz w:val="20"/>
              </w:rPr>
              <w:t>Evidence</w:t>
            </w:r>
          </w:p>
        </w:tc>
      </w:tr>
      <w:tr>
        <w:trPr>
          <w:cantSplit/>
        </w:trPr>
        <w:tc>
          <w:tcPr>
            <w:tcW w:type="dxa" w:w="2160"/>
          </w:tcPr>
          <w:p>
            <w:pPr>
              <w:spacing w:after="0"/>
            </w:pPr>
            <w:r/>
            <w:r>
              <w:rPr>
                <w:sz w:val="20"/>
              </w:rPr>
              <w:t>Problem framing and data</w:t>
            </w:r>
          </w:p>
        </w:tc>
        <w:tc>
          <w:tcPr>
            <w:tcW w:type="dxa" w:w="4896"/>
          </w:tcPr>
          <w:p>
            <w:pPr>
              <w:spacing w:after="0"/>
            </w:pPr>
            <w:r/>
            <w:r>
              <w:rPr>
                <w:sz w:val="20"/>
              </w:rPr>
              <w:t>Synthetic generator with exact ground truth: 300 patients, 1,033 records, 1,416 planted issues, decoys that must not be flagged</w:t>
            </w:r>
          </w:p>
        </w:tc>
        <w:tc>
          <w:tcPr>
            <w:tcW w:type="dxa" w:w="2736"/>
          </w:tcPr>
          <w:p>
            <w:pPr>
              <w:spacing w:after="0"/>
            </w:pPr>
            <w:r/>
            <w:r>
              <w:rPr>
                <w:sz w:val="20"/>
              </w:rPr>
              <w:t>Reproducible from a seed; tests check no label leakage</w:t>
            </w:r>
          </w:p>
        </w:tc>
      </w:tr>
      <w:tr>
        <w:trPr>
          <w:cantSplit/>
        </w:trPr>
        <w:tc>
          <w:tcPr>
            <w:tcW w:type="dxa" w:w="2160"/>
          </w:tcPr>
          <w:p>
            <w:pPr>
              <w:spacing w:after="0"/>
            </w:pPr>
            <w:r/>
            <w:r>
              <w:rPr>
                <w:sz w:val="20"/>
              </w:rPr>
              <w:t>Baselines</w:t>
            </w:r>
          </w:p>
        </w:tc>
        <w:tc>
          <w:tcPr>
            <w:tcW w:type="dxa" w:w="4896"/>
          </w:tcPr>
          <w:p>
            <w:pPr>
              <w:spacing w:after="0"/>
            </w:pPr>
            <w:r/>
            <w:r>
              <w:rPr>
                <w:sz w:val="20"/>
              </w:rPr>
              <w:t>Rule baseline and an LLM-only baseline (Gemini on raw records, same output format)</w:t>
            </w:r>
          </w:p>
        </w:tc>
        <w:tc>
          <w:tcPr>
            <w:tcW w:type="dxa" w:w="2736"/>
          </w:tcPr>
          <w:p>
            <w:pPr>
              <w:spacing w:after="0"/>
            </w:pPr>
            <w:r/>
            <w:r>
              <w:rPr>
                <w:sz w:val="20"/>
              </w:rPr>
              <w:t>Same scoring for all systems</w:t>
            </w:r>
          </w:p>
        </w:tc>
      </w:tr>
      <w:tr>
        <w:trPr>
          <w:cantSplit/>
        </w:trPr>
        <w:tc>
          <w:tcPr>
            <w:tcW w:type="dxa" w:w="2160"/>
          </w:tcPr>
          <w:p>
            <w:pPr>
              <w:spacing w:after="0"/>
            </w:pPr>
            <w:r/>
            <w:r>
              <w:rPr>
                <w:sz w:val="20"/>
              </w:rPr>
              <w:t>Hybrid LLM</w:t>
            </w:r>
          </w:p>
        </w:tc>
        <w:tc>
          <w:tcPr>
            <w:tcW w:type="dxa" w:w="4896"/>
          </w:tcPr>
          <w:p>
            <w:pPr>
              <w:spacing w:after="0"/>
            </w:pPr>
            <w:r/>
            <w:r>
              <w:rPr>
                <w:sz w:val="20"/>
              </w:rPr>
              <w:t>Rules first, Gemini only on the residual, with provenance on every issue</w:t>
            </w:r>
          </w:p>
        </w:tc>
        <w:tc>
          <w:tcPr>
            <w:tcW w:type="dxa" w:w="2736"/>
          </w:tcPr>
          <w:p>
            <w:pPr>
              <w:spacing w:after="0"/>
            </w:pPr>
            <w:r/>
            <w:r>
              <w:rPr>
                <w:sz w:val="20"/>
              </w:rPr>
              <w:t>Precision 1.00, recall 0.98, F1 0.992</w:t>
            </w:r>
          </w:p>
        </w:tc>
      </w:tr>
      <w:tr>
        <w:trPr>
          <w:cantSplit/>
        </w:trPr>
        <w:tc>
          <w:tcPr>
            <w:tcW w:type="dxa" w:w="2160"/>
          </w:tcPr>
          <w:p>
            <w:pPr>
              <w:spacing w:after="0"/>
            </w:pPr>
            <w:r/>
            <w:r>
              <w:rPr>
                <w:sz w:val="20"/>
              </w:rPr>
              <w:t>RAG</w:t>
            </w:r>
          </w:p>
        </w:tc>
        <w:tc>
          <w:tcPr>
            <w:tcW w:type="dxa" w:w="4896"/>
          </w:tcPr>
          <w:p>
            <w:pPr>
              <w:spacing w:after="0"/>
            </w:pPr>
            <w:r/>
            <w:r>
              <w:rPr>
                <w:sz w:val="20"/>
              </w:rPr>
              <w:t>Guideline and terminology knowledge base, BM25 plus character n-gram retriever, citation grounding; optional retrieval-augmented term mapping</w:t>
            </w:r>
          </w:p>
        </w:tc>
        <w:tc>
          <w:tcPr>
            <w:tcW w:type="dxa" w:w="2736"/>
          </w:tcPr>
          <w:p>
            <w:pPr>
              <w:spacing w:after="0"/>
            </w:pPr>
            <w:r/>
            <w:r>
              <w:rPr>
                <w:sz w:val="20"/>
              </w:rPr>
              <w:t>Retrieval recall@5 = 0.80; full menu beats RAG at 63 concepts</w:t>
            </w:r>
          </w:p>
        </w:tc>
      </w:tr>
      <w:tr>
        <w:trPr>
          <w:cantSplit/>
        </w:trPr>
        <w:tc>
          <w:tcPr>
            <w:tcW w:type="dxa" w:w="2160"/>
          </w:tcPr>
          <w:p>
            <w:pPr>
              <w:spacing w:after="0"/>
            </w:pPr>
            <w:r/>
            <w:r>
              <w:rPr>
                <w:sz w:val="20"/>
              </w:rPr>
              <w:t>Agent, guardrails, red-team</w:t>
            </w:r>
          </w:p>
        </w:tc>
        <w:tc>
          <w:tcPr>
            <w:tcW w:type="dxa" w:w="4896"/>
          </w:tcPr>
          <w:p>
            <w:pPr>
              <w:spacing w:after="0"/>
            </w:pPr>
            <w:r/>
            <w:r>
              <w:rPr>
                <w:sz w:val="20"/>
              </w:rPr>
              <w:t>Review agent: five tools, three budgets, Pydantic contracts, scope, human approval, structured output, output filter; 21-case attack suite</w:t>
            </w:r>
          </w:p>
        </w:tc>
        <w:tc>
          <w:tcPr>
            <w:tcW w:type="dxa" w:w="2736"/>
          </w:tcPr>
          <w:p>
            <w:pPr>
              <w:spacing w:after="0"/>
            </w:pPr>
            <w:r/>
            <w:r>
              <w:rPr>
                <w:sz w:val="20"/>
              </w:rPr>
              <w:t>Results in section 4</w:t>
            </w:r>
          </w:p>
        </w:tc>
      </w:tr>
    </w:tbl>
    <w:p>
      <w:pPr>
        <w:spacing w:after="40"/>
      </w:pPr>
    </w:p>
    <w:p>
      <w:pPr>
        <w:pStyle w:val="Heading1"/>
      </w:pPr>
      <w:r>
        <w:t>3. Data and evaluation design</w:t>
      </w:r>
    </w:p>
    <w:p>
      <w:pPr>
        <w:spacing w:after="80"/>
      </w:pPr>
      <w:r>
        <w:t>Real clinical data needs credentialing and data-use agreements, so the project generates synthetic patients and plants known problems: duplicates, contradictions, missing fields, impossible dates, and terminology differences that arise naturally from independent wording per source system. Every planted problem is written to an answer key. Decoys (twins, same-name patients, legitimate dose changes, an allergy acquired later, benign notes) measure false alarms. Systems are scored on precision, recall, F1, false-positive rate, issue-level accuracy, cost and latency. Terminology is 76% of the labels, so macro-F1 and per-type results are reported next to the micro average.</w:t>
      </w:r>
    </w:p>
    <w:p>
      <w:pPr>
        <w:pStyle w:val="Heading1"/>
      </w:pPr>
      <w:r>
        <w:t>4. Results</w:t>
      </w:r>
    </w:p>
    <w:tbl>
      <w:tblPr>
        <w:tblStyle w:val="TableGrid"/>
        <w:tblW w:type="auto" w:w="0"/>
        <w:tblLayout w:type="fixed"/>
        <w:tblLook w:firstColumn="1" w:firstRow="1" w:lastColumn="0" w:lastRow="0" w:noHBand="0" w:noVBand="1" w:val="04A0"/>
      </w:tblPr>
      <w:tblGrid>
        <w:gridCol w:w="3744"/>
        <w:gridCol w:w="2016"/>
        <w:gridCol w:w="2016"/>
        <w:gridCol w:w="2016"/>
      </w:tblGrid>
      <w:tr>
        <w:trPr>
          <w:cantSplit/>
        </w:trPr>
        <w:tc>
          <w:tcPr>
            <w:tcW w:type="dxa" w:w="3744"/>
            <w:shd w:val="clear" w:color="auto" w:fill="0B4F5C"/>
          </w:tcPr>
          <w:p>
            <w:pPr>
              <w:spacing w:after="0"/>
            </w:pPr>
            <w:r/>
            <w:r>
              <w:rPr>
                <w:b/>
                <w:color w:val="FFFFFF"/>
                <w:sz w:val="20"/>
              </w:rPr>
              <w:t>Metric</w:t>
            </w:r>
          </w:p>
        </w:tc>
        <w:tc>
          <w:tcPr>
            <w:tcW w:type="dxa" w:w="2016"/>
            <w:shd w:val="clear" w:color="auto" w:fill="0B4F5C"/>
          </w:tcPr>
          <w:p>
            <w:pPr>
              <w:spacing w:after="0"/>
            </w:pPr>
            <w:r/>
            <w:r>
              <w:rPr>
                <w:b/>
                <w:color w:val="FFFFFF"/>
                <w:sz w:val="20"/>
              </w:rPr>
              <w:t>Rules</w:t>
            </w:r>
          </w:p>
        </w:tc>
        <w:tc>
          <w:tcPr>
            <w:tcW w:type="dxa" w:w="2016"/>
            <w:shd w:val="clear" w:color="auto" w:fill="0B4F5C"/>
          </w:tcPr>
          <w:p>
            <w:pPr>
              <w:spacing w:after="0"/>
            </w:pPr>
            <w:r/>
            <w:r>
              <w:rPr>
                <w:b/>
                <w:color w:val="FFFFFF"/>
                <w:sz w:val="20"/>
              </w:rPr>
              <w:t>LLM-only</w:t>
            </w:r>
          </w:p>
        </w:tc>
        <w:tc>
          <w:tcPr>
            <w:tcW w:type="dxa" w:w="2016"/>
            <w:shd w:val="clear" w:color="auto" w:fill="0B4F5C"/>
          </w:tcPr>
          <w:p>
            <w:pPr>
              <w:spacing w:after="0"/>
            </w:pPr>
            <w:r/>
            <w:r>
              <w:rPr>
                <w:b/>
                <w:color w:val="FFFFFF"/>
                <w:sz w:val="20"/>
              </w:rPr>
              <w:t>Hybrid</w:t>
            </w:r>
          </w:p>
        </w:tc>
      </w:tr>
      <w:tr>
        <w:trPr>
          <w:cantSplit/>
        </w:trPr>
        <w:tc>
          <w:tcPr>
            <w:tcW w:type="dxa" w:w="3744"/>
          </w:tcPr>
          <w:p>
            <w:pPr>
              <w:spacing w:after="0"/>
            </w:pPr>
            <w:r/>
            <w:r>
              <w:rPr>
                <w:sz w:val="20"/>
              </w:rPr>
              <w:t>Precision / recall</w:t>
            </w:r>
          </w:p>
        </w:tc>
        <w:tc>
          <w:tcPr>
            <w:tcW w:type="dxa" w:w="2016"/>
          </w:tcPr>
          <w:p>
            <w:pPr>
              <w:spacing w:after="0"/>
            </w:pPr>
            <w:r/>
            <w:r>
              <w:rPr>
                <w:sz w:val="20"/>
              </w:rPr>
              <w:t>1.000 / 0.893</w:t>
            </w:r>
          </w:p>
        </w:tc>
        <w:tc>
          <w:tcPr>
            <w:tcW w:type="dxa" w:w="2016"/>
          </w:tcPr>
          <w:p>
            <w:pPr>
              <w:spacing w:after="0"/>
            </w:pPr>
            <w:r/>
            <w:r>
              <w:rPr>
                <w:sz w:val="20"/>
              </w:rPr>
              <w:t>0.956 / 0.832</w:t>
            </w:r>
          </w:p>
        </w:tc>
        <w:tc>
          <w:tcPr>
            <w:tcW w:type="dxa" w:w="2016"/>
          </w:tcPr>
          <w:p>
            <w:pPr>
              <w:spacing w:after="0"/>
            </w:pPr>
            <w:r/>
            <w:r>
              <w:rPr>
                <w:sz w:val="20"/>
              </w:rPr>
              <w:t>1.000 / 0.984</w:t>
            </w:r>
          </w:p>
        </w:tc>
      </w:tr>
      <w:tr>
        <w:trPr>
          <w:cantSplit/>
        </w:trPr>
        <w:tc>
          <w:tcPr>
            <w:tcW w:type="dxa" w:w="3744"/>
          </w:tcPr>
          <w:p>
            <w:pPr>
              <w:spacing w:after="0"/>
            </w:pPr>
            <w:r/>
            <w:r>
              <w:rPr>
                <w:sz w:val="20"/>
              </w:rPr>
              <w:t>F1 (micro / macro)</w:t>
            </w:r>
          </w:p>
        </w:tc>
        <w:tc>
          <w:tcPr>
            <w:tcW w:type="dxa" w:w="2016"/>
          </w:tcPr>
          <w:p>
            <w:pPr>
              <w:spacing w:after="0"/>
            </w:pPr>
            <w:r/>
            <w:r>
              <w:rPr>
                <w:sz w:val="20"/>
              </w:rPr>
              <w:t>0.943 / 0.947</w:t>
            </w:r>
          </w:p>
        </w:tc>
        <w:tc>
          <w:tcPr>
            <w:tcW w:type="dxa" w:w="2016"/>
          </w:tcPr>
          <w:p>
            <w:pPr>
              <w:spacing w:after="0"/>
            </w:pPr>
            <w:r/>
            <w:r>
              <w:rPr>
                <w:sz w:val="20"/>
              </w:rPr>
              <w:t>0.890 / 0.889</w:t>
            </w:r>
          </w:p>
        </w:tc>
        <w:tc>
          <w:tcPr>
            <w:tcW w:type="dxa" w:w="2016"/>
          </w:tcPr>
          <w:p>
            <w:pPr>
              <w:spacing w:after="0"/>
            </w:pPr>
            <w:r/>
            <w:r>
              <w:rPr>
                <w:sz w:val="20"/>
              </w:rPr>
              <w:t>0.992 / 0.993</w:t>
            </w:r>
          </w:p>
        </w:tc>
      </w:tr>
      <w:tr>
        <w:trPr>
          <w:cantSplit/>
        </w:trPr>
        <w:tc>
          <w:tcPr>
            <w:tcW w:type="dxa" w:w="3744"/>
          </w:tcPr>
          <w:p>
            <w:pPr>
              <w:spacing w:after="0"/>
            </w:pPr>
            <w:r/>
            <w:r>
              <w:rPr>
                <w:sz w:val="20"/>
              </w:rPr>
              <w:t>Cost (Gemini 3.1 Pro preview, list-price assumption)</w:t>
            </w:r>
          </w:p>
        </w:tc>
        <w:tc>
          <w:tcPr>
            <w:tcW w:type="dxa" w:w="2016"/>
          </w:tcPr>
          <w:p>
            <w:pPr>
              <w:spacing w:after="0"/>
            </w:pPr>
            <w:r/>
            <w:r>
              <w:rPr>
                <w:sz w:val="20"/>
              </w:rPr>
              <w:t>$0</w:t>
            </w:r>
          </w:p>
        </w:tc>
        <w:tc>
          <w:tcPr>
            <w:tcW w:type="dxa" w:w="2016"/>
          </w:tcPr>
          <w:p>
            <w:pPr>
              <w:spacing w:after="0"/>
            </w:pPr>
            <w:r/>
            <w:r>
              <w:rPr>
                <w:sz w:val="20"/>
              </w:rPr>
              <w:t>$10.56 (42 calls)</w:t>
            </w:r>
          </w:p>
        </w:tc>
        <w:tc>
          <w:tcPr>
            <w:tcW w:type="dxa" w:w="2016"/>
          </w:tcPr>
          <w:p>
            <w:pPr>
              <w:spacing w:after="0"/>
            </w:pPr>
            <w:r/>
            <w:r>
              <w:rPr>
                <w:sz w:val="20"/>
              </w:rPr>
              <w:t>$4.41 (98 calls)</w:t>
            </w:r>
          </w:p>
        </w:tc>
      </w:tr>
    </w:tbl>
    <w:p>
      <w:pPr>
        <w:spacing w:after="40"/>
      </w:pPr>
    </w:p>
    <w:p>
      <w:pPr>
        <w:spacing w:after="120"/>
      </w:pPr>
      <w:r>
        <w:t>The hybrid's gain over rules is entirely recall (contradictions 0.75 to 1.00, terminology 0.90 to 0.98, duplicates 0.88 to 0.97). LLM-only found fewer issues and cost 2.4 times as much; one chunk of 25 records was lost to output truncation (excluding it, recall rises from 0.832 to 0.853 and the ranking is unchanged). Most of LLM-only's unmatched flags are real inconsistencies the answer key does not label, so its precision is understated.</w:t>
      </w:r>
    </w:p>
    <w:p>
      <w:pPr>
        <w:spacing w:after="80"/>
      </w:pPr>
      <w:r>
        <w:t>Agent red-team (Lab 6 targets). The suite has 17 attacks (9 direct, 8 indirect through poisoned notes and a poisoned knowledge-base document) and 4 benign controls. A simulated worst-case model that obeys any instruction it reads was used, so the unguarded baseline blocks nothing by construction; the table shows what each structural layer buys.</w:t>
      </w:r>
    </w:p>
    <w:tbl>
      <w:tblPr>
        <w:tblStyle w:val="TableGrid"/>
        <w:tblW w:type="auto" w:w="0"/>
        <w:tblLayout w:type="fixed"/>
        <w:tblLook w:firstColumn="1" w:firstRow="1" w:lastColumn="0" w:lastRow="0" w:noHBand="0" w:noVBand="1" w:val="04A0"/>
      </w:tblPr>
      <w:tblGrid>
        <w:gridCol w:w="4752"/>
        <w:gridCol w:w="1440"/>
        <w:gridCol w:w="2016"/>
        <w:gridCol w:w="1584"/>
      </w:tblGrid>
      <w:tr>
        <w:trPr>
          <w:cantSplit/>
        </w:trPr>
        <w:tc>
          <w:tcPr>
            <w:tcW w:type="dxa" w:w="4752"/>
            <w:shd w:val="clear" w:color="auto" w:fill="0B4F5C"/>
          </w:tcPr>
          <w:p>
            <w:pPr>
              <w:spacing w:after="0"/>
            </w:pPr>
            <w:r/>
            <w:r>
              <w:rPr>
                <w:b/>
                <w:color w:val="FFFFFF"/>
                <w:sz w:val="20"/>
              </w:rPr>
              <w:t>Layers (cumulative)</w:t>
            </w:r>
          </w:p>
        </w:tc>
        <w:tc>
          <w:tcPr>
            <w:tcW w:type="dxa" w:w="1440"/>
            <w:shd w:val="clear" w:color="auto" w:fill="0B4F5C"/>
          </w:tcPr>
          <w:p>
            <w:pPr>
              <w:spacing w:after="0"/>
            </w:pPr>
            <w:r/>
            <w:r>
              <w:rPr>
                <w:b/>
                <w:color w:val="FFFFFF"/>
                <w:sz w:val="20"/>
              </w:rPr>
              <w:t>Blocked (17)</w:t>
            </w:r>
          </w:p>
        </w:tc>
        <w:tc>
          <w:tcPr>
            <w:tcW w:type="dxa" w:w="2016"/>
            <w:shd w:val="clear" w:color="auto" w:fill="0B4F5C"/>
          </w:tcPr>
          <w:p>
            <w:pPr>
              <w:spacing w:after="0"/>
            </w:pPr>
            <w:r/>
            <w:r>
              <w:rPr>
                <w:b/>
                <w:color w:val="FFFFFF"/>
                <w:sz w:val="20"/>
              </w:rPr>
              <w:t>False positives (4)</w:t>
            </w:r>
          </w:p>
        </w:tc>
        <w:tc>
          <w:tcPr>
            <w:tcW w:type="dxa" w:w="1584"/>
            <w:shd w:val="clear" w:color="auto" w:fill="0B4F5C"/>
          </w:tcPr>
          <w:p>
            <w:pPr>
              <w:spacing w:after="0"/>
            </w:pPr>
            <w:r/>
            <w:r>
              <w:rPr>
                <w:b/>
                <w:color w:val="FFFFFF"/>
                <w:sz w:val="20"/>
              </w:rPr>
              <w:t>Privileged executed</w:t>
            </w:r>
          </w:p>
        </w:tc>
      </w:tr>
      <w:tr>
        <w:trPr>
          <w:cantSplit/>
        </w:trPr>
        <w:tc>
          <w:tcPr>
            <w:tcW w:type="dxa" w:w="4752"/>
          </w:tcPr>
          <w:p>
            <w:pPr>
              <w:spacing w:after="0"/>
            </w:pPr>
            <w:r/>
            <w:r>
              <w:rPr>
                <w:sz w:val="20"/>
              </w:rPr>
              <w:t>None</w:t>
            </w:r>
          </w:p>
        </w:tc>
        <w:tc>
          <w:tcPr>
            <w:tcW w:type="dxa" w:w="1440"/>
          </w:tcPr>
          <w:p>
            <w:pPr>
              <w:spacing w:after="0"/>
            </w:pPr>
            <w:r/>
            <w:r>
              <w:rPr>
                <w:sz w:val="20"/>
              </w:rPr>
              <w:t>0.00</w:t>
            </w:r>
          </w:p>
        </w:tc>
        <w:tc>
          <w:tcPr>
            <w:tcW w:type="dxa" w:w="2016"/>
          </w:tcPr>
          <w:p>
            <w:pPr>
              <w:spacing w:after="0"/>
            </w:pPr>
            <w:r/>
            <w:r>
              <w:rPr>
                <w:sz w:val="20"/>
              </w:rPr>
              <w:t>0/4</w:t>
            </w:r>
          </w:p>
        </w:tc>
        <w:tc>
          <w:tcPr>
            <w:tcW w:type="dxa" w:w="1584"/>
          </w:tcPr>
          <w:p>
            <w:pPr>
              <w:spacing w:after="0"/>
            </w:pPr>
            <w:r/>
            <w:r>
              <w:rPr>
                <w:sz w:val="20"/>
              </w:rPr>
              <w:t>9</w:t>
            </w:r>
          </w:p>
        </w:tc>
      </w:tr>
      <w:tr>
        <w:trPr>
          <w:cantSplit/>
        </w:trPr>
        <w:tc>
          <w:tcPr>
            <w:tcW w:type="dxa" w:w="4752"/>
          </w:tcPr>
          <w:p>
            <w:pPr>
              <w:spacing w:after="0"/>
            </w:pPr>
            <w:r/>
            <w:r>
              <w:rPr>
                <w:sz w:val="20"/>
              </w:rPr>
              <w:t>+ heuristic detector v1</w:t>
            </w:r>
          </w:p>
        </w:tc>
        <w:tc>
          <w:tcPr>
            <w:tcW w:type="dxa" w:w="1440"/>
          </w:tcPr>
          <w:p>
            <w:pPr>
              <w:spacing w:after="0"/>
            </w:pPr>
            <w:r/>
            <w:r>
              <w:rPr>
                <w:sz w:val="20"/>
              </w:rPr>
              <w:t>0.29</w:t>
            </w:r>
          </w:p>
        </w:tc>
        <w:tc>
          <w:tcPr>
            <w:tcW w:type="dxa" w:w="2016"/>
          </w:tcPr>
          <w:p>
            <w:pPr>
              <w:spacing w:after="0"/>
            </w:pPr>
            <w:r/>
            <w:r>
              <w:rPr>
                <w:sz w:val="20"/>
              </w:rPr>
              <w:t>4/4</w:t>
            </w:r>
          </w:p>
        </w:tc>
        <w:tc>
          <w:tcPr>
            <w:tcW w:type="dxa" w:w="1584"/>
          </w:tcPr>
          <w:p>
            <w:pPr>
              <w:spacing w:after="0"/>
            </w:pPr>
            <w:r/>
            <w:r>
              <w:rPr>
                <w:sz w:val="20"/>
              </w:rPr>
              <w:t>7</w:t>
            </w:r>
          </w:p>
        </w:tc>
      </w:tr>
      <w:tr>
        <w:trPr>
          <w:cantSplit/>
        </w:trPr>
        <w:tc>
          <w:tcPr>
            <w:tcW w:type="dxa" w:w="4752"/>
          </w:tcPr>
          <w:p>
            <w:pPr>
              <w:spacing w:after="0"/>
            </w:pPr>
            <w:r/>
            <w:r>
              <w:rPr>
                <w:sz w:val="20"/>
              </w:rPr>
              <w:t>+ detector v2 (false-positive fix)</w:t>
            </w:r>
          </w:p>
        </w:tc>
        <w:tc>
          <w:tcPr>
            <w:tcW w:type="dxa" w:w="1440"/>
          </w:tcPr>
          <w:p>
            <w:pPr>
              <w:spacing w:after="0"/>
            </w:pPr>
            <w:r/>
            <w:r>
              <w:rPr>
                <w:sz w:val="20"/>
              </w:rPr>
              <w:t>0.29</w:t>
            </w:r>
          </w:p>
        </w:tc>
        <w:tc>
          <w:tcPr>
            <w:tcW w:type="dxa" w:w="2016"/>
          </w:tcPr>
          <w:p>
            <w:pPr>
              <w:spacing w:after="0"/>
            </w:pPr>
            <w:r/>
            <w:r>
              <w:rPr>
                <w:sz w:val="20"/>
              </w:rPr>
              <w:t>0/4</w:t>
            </w:r>
          </w:p>
        </w:tc>
        <w:tc>
          <w:tcPr>
            <w:tcW w:type="dxa" w:w="1584"/>
          </w:tcPr>
          <w:p>
            <w:pPr>
              <w:spacing w:after="0"/>
            </w:pPr>
            <w:r/>
            <w:r>
              <w:rPr>
                <w:sz w:val="20"/>
              </w:rPr>
              <w:t>6</w:t>
            </w:r>
          </w:p>
        </w:tc>
      </w:tr>
      <w:tr>
        <w:trPr>
          <w:cantSplit/>
        </w:trPr>
        <w:tc>
          <w:tcPr>
            <w:tcW w:type="dxa" w:w="4752"/>
          </w:tcPr>
          <w:p>
            <w:pPr>
              <w:spacing w:after="0"/>
            </w:pPr>
            <w:r/>
            <w:r>
              <w:rPr>
                <w:sz w:val="20"/>
              </w:rPr>
              <w:t>+ structured output with citation grounding</w:t>
            </w:r>
          </w:p>
        </w:tc>
        <w:tc>
          <w:tcPr>
            <w:tcW w:type="dxa" w:w="1440"/>
          </w:tcPr>
          <w:p>
            <w:pPr>
              <w:spacing w:after="0"/>
            </w:pPr>
            <w:r/>
            <w:r>
              <w:rPr>
                <w:sz w:val="20"/>
              </w:rPr>
              <w:t>0.35</w:t>
            </w:r>
          </w:p>
        </w:tc>
        <w:tc>
          <w:tcPr>
            <w:tcW w:type="dxa" w:w="2016"/>
          </w:tcPr>
          <w:p>
            <w:pPr>
              <w:spacing w:after="0"/>
            </w:pPr>
            <w:r/>
            <w:r>
              <w:rPr>
                <w:sz w:val="20"/>
              </w:rPr>
              <w:t>0/4</w:t>
            </w:r>
          </w:p>
        </w:tc>
        <w:tc>
          <w:tcPr>
            <w:tcW w:type="dxa" w:w="1584"/>
          </w:tcPr>
          <w:p>
            <w:pPr>
              <w:spacing w:after="0"/>
            </w:pPr>
            <w:r/>
            <w:r>
              <w:rPr>
                <w:sz w:val="20"/>
              </w:rPr>
              <w:t>6</w:t>
            </w:r>
          </w:p>
        </w:tc>
      </w:tr>
      <w:tr>
        <w:trPr>
          <w:cantSplit/>
        </w:trPr>
        <w:tc>
          <w:tcPr>
            <w:tcW w:type="dxa" w:w="4752"/>
          </w:tcPr>
          <w:p>
            <w:pPr>
              <w:spacing w:after="0"/>
            </w:pPr>
            <w:r/>
            <w:r>
              <w:rPr>
                <w:sz w:val="20"/>
              </w:rPr>
              <w:t>+ privilege capping (validation, scope, human approval, call budget)</w:t>
            </w:r>
          </w:p>
        </w:tc>
        <w:tc>
          <w:tcPr>
            <w:tcW w:type="dxa" w:w="1440"/>
          </w:tcPr>
          <w:p>
            <w:pPr>
              <w:spacing w:after="0"/>
            </w:pPr>
            <w:r/>
            <w:r>
              <w:rPr>
                <w:sz w:val="20"/>
              </w:rPr>
              <w:t>0.82</w:t>
            </w:r>
          </w:p>
        </w:tc>
        <w:tc>
          <w:tcPr>
            <w:tcW w:type="dxa" w:w="2016"/>
          </w:tcPr>
          <w:p>
            <w:pPr>
              <w:spacing w:after="0"/>
            </w:pPr>
            <w:r/>
            <w:r>
              <w:rPr>
                <w:sz w:val="20"/>
              </w:rPr>
              <w:t>0/4</w:t>
            </w:r>
          </w:p>
        </w:tc>
        <w:tc>
          <w:tcPr>
            <w:tcW w:type="dxa" w:w="1584"/>
          </w:tcPr>
          <w:p>
            <w:pPr>
              <w:spacing w:after="0"/>
            </w:pPr>
            <w:r/>
            <w:r>
              <w:rPr>
                <w:sz w:val="20"/>
              </w:rPr>
              <w:t>0</w:t>
            </w:r>
          </w:p>
        </w:tc>
      </w:tr>
      <w:tr>
        <w:trPr>
          <w:cantSplit/>
        </w:trPr>
        <w:tc>
          <w:tcPr>
            <w:tcW w:type="dxa" w:w="4752"/>
          </w:tcPr>
          <w:p>
            <w:pPr>
              <w:spacing w:after="0"/>
            </w:pPr>
            <w:r/>
            <w:r>
              <w:rPr>
                <w:sz w:val="20"/>
              </w:rPr>
              <w:t>+ output filter</w:t>
            </w:r>
          </w:p>
        </w:tc>
        <w:tc>
          <w:tcPr>
            <w:tcW w:type="dxa" w:w="1440"/>
          </w:tcPr>
          <w:p>
            <w:pPr>
              <w:spacing w:after="0"/>
            </w:pPr>
            <w:r/>
            <w:r>
              <w:rPr>
                <w:sz w:val="20"/>
              </w:rPr>
              <w:t>0.94</w:t>
            </w:r>
          </w:p>
        </w:tc>
        <w:tc>
          <w:tcPr>
            <w:tcW w:type="dxa" w:w="2016"/>
          </w:tcPr>
          <w:p>
            <w:pPr>
              <w:spacing w:after="0"/>
            </w:pPr>
            <w:r/>
            <w:r>
              <w:rPr>
                <w:sz w:val="20"/>
              </w:rPr>
              <w:t>0/4</w:t>
            </w:r>
          </w:p>
        </w:tc>
        <w:tc>
          <w:tcPr>
            <w:tcW w:type="dxa" w:w="1584"/>
          </w:tcPr>
          <w:p>
            <w:pPr>
              <w:spacing w:after="0"/>
            </w:pPr>
            <w:r/>
            <w:r>
              <w:rPr>
                <w:sz w:val="20"/>
              </w:rPr>
              <w:t>0</w:t>
            </w:r>
          </w:p>
        </w:tc>
      </w:tr>
      <w:tr>
        <w:trPr>
          <w:cantSplit/>
        </w:trPr>
        <w:tc>
          <w:tcPr>
            <w:tcW w:type="dxa" w:w="4752"/>
          </w:tcPr>
          <w:p>
            <w:pPr>
              <w:spacing w:after="0"/>
            </w:pPr>
            <w:r/>
            <w:r>
              <w:rPr>
                <w:sz w:val="20"/>
              </w:rPr>
              <w:t>+ verdict cross-check against rule evidence</w:t>
            </w:r>
          </w:p>
        </w:tc>
        <w:tc>
          <w:tcPr>
            <w:tcW w:type="dxa" w:w="1440"/>
          </w:tcPr>
          <w:p>
            <w:pPr>
              <w:spacing w:after="0"/>
            </w:pPr>
            <w:r/>
            <w:r>
              <w:rPr>
                <w:sz w:val="20"/>
              </w:rPr>
              <w:t>1.00</w:t>
            </w:r>
          </w:p>
        </w:tc>
        <w:tc>
          <w:tcPr>
            <w:tcW w:type="dxa" w:w="2016"/>
          </w:tcPr>
          <w:p>
            <w:pPr>
              <w:spacing w:after="0"/>
            </w:pPr>
            <w:r/>
            <w:r>
              <w:rPr>
                <w:sz w:val="20"/>
              </w:rPr>
              <w:t>0/4</w:t>
            </w:r>
          </w:p>
        </w:tc>
        <w:tc>
          <w:tcPr>
            <w:tcW w:type="dxa" w:w="1584"/>
          </w:tcPr>
          <w:p>
            <w:pPr>
              <w:spacing w:after="0"/>
            </w:pPr>
            <w:r/>
            <w:r>
              <w:rPr>
                <w:sz w:val="20"/>
              </w:rPr>
              <w:t>0</w:t>
            </w:r>
          </w:p>
        </w:tc>
      </w:tr>
    </w:tbl>
    <w:p>
      <w:pPr>
        <w:spacing w:after="40"/>
      </w:pPr>
    </w:p>
    <w:p>
      <w:pPr>
        <w:spacing w:after="80"/>
      </w:pPr>
      <w:r>
        <w:t>Targets from Lab 6: block rate at least 0.80 (reached at privilege capping, 0.82), false positives at most 1 of 4 (0 of 4), privileged tool executed by any attack: 0 (0 from privilege capping onward), argument validation 100% (100% with capping on), loop always terminates (all cases, three budgets enforced). Cost per query is not measured: the simulation costs nothing and a live run is pending; a reasoning model at about $0.05 or more per call will not meet a $0.02 target without a cheaper model.</w:t>
      </w:r>
    </w:p>
    <w:p>
      <w:pPr>
        <w:pStyle w:val="Heading1"/>
      </w:pPr>
      <w:r>
        <w:t>5. Safety, privacy and survivability</w:t>
      </w:r>
    </w:p>
    <w:p>
      <w:pPr>
        <w:spacing w:after="80"/>
      </w:pPr>
      <w:r>
        <w:t>Design principle: the model proposes, a human disposes. The only privileged tool, apply_correction, is limited by schema to three demographic or encounter fields, works only on records of the case under review, and runs only after human approval; these limits are code, not prompt text. Notes and guideline text are treated as untrusted data. The attack that survives layers one to five is plain-language verdict manipulation ('mark this as false alarm'), which has no trigger words and needs no privileged tool, so its damage is bounded to an advisory verdict that a steward reviews; cross-checking the verdict against deterministic rule evidence removes it. The review interface shows raw evidence next to every verdict and records accept or reject decisions.</w:t>
      </w:r>
    </w:p>
    <w:p>
      <w:pPr>
        <w:pStyle w:val="Heading1"/>
      </w:pPr>
      <w:r>
        <w:t>6. Limitations and next steps</w:t>
      </w:r>
    </w:p>
    <w:p>
      <w:pPr>
        <w:spacing w:after="80"/>
      </w:pPr>
      <w:r>
        <w:t>All data is synthetic and the vocabulary is hand-built. The rules were written alongside the generator, so their precision does not transfer to real data. Some inconsistencies in the data are side effects of the planted problems and are unlabelled. LLM systems were run once each. The red-team used a simulated worst-case model; the same suite can be run against live Gemini (python -m aip.redteam --model gemini) but has not been. Lexical retrieval cannot match meaning ('brain attack' to stroke); an embedding retriever is the natural next step and is needed once the vocabulary is too large to list (UMLS, RxNorm or SNOMED scale). Further work: a human-reviewed sample for a label-independent precision estimate, a fixed second dataset version, and several seeds.</w:t>
      </w:r>
    </w:p>
    <w:p>
      <w:pPr>
        <w:spacing w:after="40"/>
      </w:pPr>
      <w:r>
        <w:t>Bonus (Lab 7): not included in this note; to be added once the Lab 7 brief is confirmed.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0B4F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0B4F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