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 Fraud Triage — Phase 1 GMM Report</w:t>
      </w:r>
    </w:p>
    <w:p>
      <w:r>
        <w:rPr>
          <w:i/>
        </w:rPr>
        <w:t>Team T047 · Project 26 · October 21, 2026</w:t>
      </w:r>
    </w:p>
    <w:p>
      <w:pPr>
        <w:pStyle w:val="Heading1"/>
      </w:pPr>
      <w:r>
        <w:t>Summary</w:t>
      </w:r>
    </w:p>
    <w:p>
      <w:r>
        <w:t xml:space="preserve">A 3-component Gaussian Mixture Model trained only on legitimate transactions reaches a </w:t>
      </w:r>
      <w:r>
        <w:rPr>
          <w:b/>
        </w:rPr>
        <w:t>test average precision (AP) of 0.612</w:t>
      </w:r>
      <w:r>
        <w:t xml:space="preserve"> (95% CI 0.485–0.743), about 470× the 0.13% random baseline. At a 0.5% false-alarm budget fixed on validation, it catches </w:t>
      </w:r>
      <w:r>
        <w:rPr>
          <w:b/>
        </w:rPr>
        <w:t>56 of 74 test frauds (75.7%)</w:t>
      </w:r>
      <w:r>
        <w:t xml:space="preserve"> with a 0.28% false-positive rate. Of its 50 highest-scored alerts, 42 (84%) are real fraud.</w:t>
      </w:r>
    </w:p>
    <w:p>
      <w:r>
        <w:t>Every modelling decision is made without touching the test period:</w:t>
      </w:r>
    </w:p>
    <w:p>
      <w:pPr>
        <w:pStyle w:val="ListBullet"/>
      </w:pPr>
      <w:r>
        <w:t>Fraud labels used for feature ranking come from the training period only.</w:t>
      </w:r>
    </w:p>
    <w:p>
      <w:pPr>
        <w:pStyle w:val="ListBullet"/>
      </w:pPr>
      <w:r>
        <w:t>The feature set, the number of components K, the random seed and the alarm threshold are all chosen on validation.</w:t>
      </w:r>
    </w:p>
    <w:p>
      <w:pPr>
        <w:pStyle w:val="ListBullet"/>
      </w:pPr>
      <w:r>
        <w:t>The test set is scored once, and every test metric carries a 1,000-sample bootstrap confidence interval.</w:t>
      </w:r>
    </w:p>
    <w:p>
      <w:r>
        <w:t>The central modelling finding is that GMM fraud-ranking quality depends heavily on which EM solution is reached. The same configuration can score anywhere from 0.34 to 0.67 validation AP depending on the random seed, so results are reported across 3 seeds per setting.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3A5F"/>
          </w:tcPr>
          <w:p>
            <w:pPr>
              <w:spacing w:after="0"/>
            </w:pPr>
            <w:r>
              <w:rPr>
                <w:b/>
                <w:color w:val="FFFFFF"/>
                <w:sz w:val="19"/>
              </w:rPr>
              <w:t>Notebook</w:t>
            </w:r>
          </w:p>
        </w:tc>
        <w:tc>
          <w:tcPr>
            <w:tcW w:type="dxa" w:w="3120"/>
            <w:shd w:val="clear" w:color="auto" w:fill="1F3A5F"/>
          </w:tcPr>
          <w:p>
            <w:pPr>
              <w:spacing w:after="0"/>
            </w:pPr>
            <w:r>
              <w:rPr>
                <w:b/>
                <w:color w:val="FFFFFF"/>
                <w:sz w:val="19"/>
              </w:rPr>
              <w:t>Purpose</w:t>
            </w:r>
          </w:p>
        </w:tc>
        <w:tc>
          <w:tcPr>
            <w:tcW w:type="dxa" w:w="3120"/>
            <w:shd w:val="clear" w:color="auto" w:fill="1F3A5F"/>
          </w:tcPr>
          <w:p>
            <w:pPr>
              <w:spacing w:after="0"/>
            </w:pPr>
            <w:r>
              <w:rPr>
                <w:b/>
                <w:color w:val="FFFFFF"/>
                <w:sz w:val="19"/>
              </w:rPr>
              <w:t>Key output</w:t>
            </w:r>
          </w:p>
        </w:tc>
      </w:tr>
      <w:tr>
        <w:tc>
          <w:tcPr>
            <w:tcW w:type="dxa" w:w="3120"/>
          </w:tcPr>
          <w:p>
            <w:pPr>
              <w:spacing w:after="0"/>
            </w:pPr>
            <w:r>
              <w:rPr>
                <w:sz w:val="19"/>
              </w:rPr>
              <w:t>01 Data inspection &amp; split</w:t>
            </w:r>
          </w:p>
        </w:tc>
        <w:tc>
          <w:tcPr>
            <w:tcW w:type="dxa" w:w="3120"/>
          </w:tcPr>
          <w:p>
            <w:pPr>
              <w:spacing w:after="0"/>
            </w:pPr>
            <w:r>
              <w:rPr>
                <w:sz w:val="19"/>
              </w:rPr>
              <w:t>Clean, dedupe, chronological split</w:t>
            </w:r>
          </w:p>
        </w:tc>
        <w:tc>
          <w:tcPr>
            <w:tcW w:type="dxa" w:w="3120"/>
          </w:tcPr>
          <w:p>
            <w:pPr>
              <w:spacing w:after="0"/>
            </w:pPr>
            <w:r>
              <w:rPr>
                <w:sz w:val="19"/>
              </w:rPr>
              <w:t>169,893 legit train / 56,745 val / 56,746 test</w:t>
            </w:r>
          </w:p>
        </w:tc>
      </w:tr>
      <w:tr>
        <w:tc>
          <w:tcPr>
            <w:tcW w:type="dxa" w:w="3120"/>
            <w:shd w:val="clear" w:color="auto" w:fill="EEF2F7"/>
          </w:tcPr>
          <w:p>
            <w:pPr>
              <w:spacing w:after="0"/>
            </w:pPr>
            <w:r>
              <w:rPr>
                <w:sz w:val="19"/>
              </w:rPr>
              <w:t>02 EDA</w:t>
            </w:r>
          </w:p>
        </w:tc>
        <w:tc>
          <w:tcPr>
            <w:tcW w:type="dxa" w:w="3120"/>
            <w:shd w:val="clear" w:color="auto" w:fill="EEF2F7"/>
          </w:tcPr>
          <w:p>
            <w:pPr>
              <w:spacing w:after="0"/>
            </w:pPr>
            <w:r>
              <w:rPr>
                <w:sz w:val="19"/>
              </w:rPr>
              <w:t>Feature behaviour on the training period</w:t>
            </w:r>
          </w:p>
        </w:tc>
        <w:tc>
          <w:tcPr>
            <w:tcW w:type="dxa" w:w="3120"/>
            <w:shd w:val="clear" w:color="auto" w:fill="EEF2F7"/>
          </w:tcPr>
          <w:p>
            <w:pPr>
              <w:spacing w:after="0"/>
            </w:pPr>
            <w:r>
              <w:rPr>
                <w:sz w:val="19"/>
              </w:rPr>
              <w:t xml:space="preserve">log(1+Amount); 12-feature list saved to </w:t>
            </w:r>
            <w:r>
              <w:rPr>
                <w:rFonts w:ascii="Consolas" w:hAnsi="Consolas" w:eastAsia="Consolas"/>
                <w:sz w:val="19"/>
              </w:rPr>
              <w:t>configs/gmm_features.json</w:t>
            </w:r>
          </w:p>
        </w:tc>
      </w:tr>
      <w:tr>
        <w:tc>
          <w:tcPr>
            <w:tcW w:type="dxa" w:w="3120"/>
          </w:tcPr>
          <w:p>
            <w:pPr>
              <w:spacing w:after="0"/>
            </w:pPr>
            <w:r>
              <w:rPr>
                <w:sz w:val="19"/>
              </w:rPr>
              <w:t>03 GMM experiments</w:t>
            </w:r>
          </w:p>
        </w:tc>
        <w:tc>
          <w:tcPr>
            <w:tcW w:type="dxa" w:w="3120"/>
          </w:tcPr>
          <w:p>
            <w:pPr>
              <w:spacing w:after="0"/>
            </w:pPr>
            <w:r>
              <w:rPr>
                <w:sz w:val="19"/>
              </w:rPr>
              <w:t>K = 1–8 × 3 seeds × 2 feature sets</w:t>
            </w:r>
          </w:p>
        </w:tc>
        <w:tc>
          <w:tcPr>
            <w:tcW w:type="dxa" w:w="3120"/>
          </w:tcPr>
          <w:p>
            <w:pPr>
              <w:spacing w:after="0"/>
            </w:pPr>
            <w:r>
              <w:rPr>
                <w:sz w:val="19"/>
              </w:rPr>
              <w:t>Champion: all 29 features, K=3, validation AP 0.666</w:t>
            </w:r>
          </w:p>
        </w:tc>
      </w:tr>
      <w:tr>
        <w:tc>
          <w:tcPr>
            <w:tcW w:type="dxa" w:w="3120"/>
            <w:shd w:val="clear" w:color="auto" w:fill="EEF2F7"/>
          </w:tcPr>
          <w:p>
            <w:pPr>
              <w:spacing w:after="0"/>
            </w:pPr>
            <w:r>
              <w:rPr>
                <w:sz w:val="19"/>
              </w:rPr>
              <w:t>04 GMM evaluation</w:t>
            </w:r>
          </w:p>
        </w:tc>
        <w:tc>
          <w:tcPr>
            <w:tcW w:type="dxa" w:w="3120"/>
            <w:shd w:val="clear" w:color="auto" w:fill="EEF2F7"/>
          </w:tcPr>
          <w:p>
            <w:pPr>
              <w:spacing w:after="0"/>
            </w:pPr>
            <w:r>
              <w:rPr>
                <w:sz w:val="19"/>
              </w:rPr>
              <w:t>Threshold, test metrics, confidence intervals</w:t>
            </w:r>
          </w:p>
        </w:tc>
        <w:tc>
          <w:tcPr>
            <w:tcW w:type="dxa" w:w="3120"/>
            <w:shd w:val="clear" w:color="auto" w:fill="EEF2F7"/>
          </w:tcPr>
          <w:p>
            <w:pPr>
              <w:spacing w:after="0"/>
            </w:pPr>
            <w:r>
              <w:rPr>
                <w:sz w:val="19"/>
              </w:rPr>
              <w:t>Test AP 0.612; recall 75.7% at 0.28% FPR; top-50 precision 84%</w:t>
            </w:r>
          </w:p>
        </w:tc>
      </w:tr>
    </w:tbl>
    <w:p/>
    <w:p>
      <w:pPr>
        <w:pStyle w:val="Heading1"/>
      </w:pPr>
      <w:r>
        <w:t>Problem and dataset</w:t>
      </w:r>
    </w:p>
    <w:p>
      <w:r>
        <w:t>The project (Team T047, Project 26) asks whether a density model of normal spending can rank suspicious card transactions well enough for an analyst triage queue. Phase 1 uses a GMM scored by negative log-likelihood (NLL).</w:t>
      </w:r>
    </w:p>
    <w:p>
      <w:r>
        <w:t xml:space="preserve">The data is the public European cardholder dataset </w:t>
      </w:r>
      <w:r>
        <w:rPr>
          <w:rFonts w:ascii="Consolas" w:hAnsi="Consolas" w:eastAsia="Consolas"/>
          <w:sz w:val="20"/>
        </w:rPr>
        <w:t>creditcard.csv</w:t>
      </w:r>
      <w:r>
        <w:t xml:space="preserve">: 284,807 transactions over 48 hours, with 492 frauds (0.173%). Features are </w:t>
      </w:r>
      <w:r>
        <w:rPr>
          <w:rFonts w:ascii="Consolas" w:hAnsi="Consolas" w:eastAsia="Consolas"/>
          <w:sz w:val="20"/>
        </w:rPr>
        <w:t>Time</w:t>
      </w:r>
      <w:r>
        <w:t xml:space="preserve"> (seconds from the first transaction), </w:t>
      </w:r>
      <w:r>
        <w:rPr>
          <w:rFonts w:ascii="Consolas" w:hAnsi="Consolas" w:eastAsia="Consolas"/>
          <w:sz w:val="20"/>
        </w:rPr>
        <w:t>Amount</w:t>
      </w:r>
      <w:r>
        <w:t xml:space="preserve"> in euros, and 28 anonymised PCA components V1–V28. There are no missing values. Because V1–V28 are anonymised, results cannot be explained in business terms.</w:t>
      </w:r>
    </w:p>
    <w:p>
      <w:r>
        <w:t>With fraud this rare, accuracy is meaningless: predicting “normal” for everything scores 99.8%. The project therefore reports average precision, recall at a fixed false-alarm budget, and precision in the top-k alerts.</w:t>
      </w:r>
    </w:p>
    <w:p>
      <w:pPr>
        <w:pStyle w:val="Heading1"/>
      </w:pPr>
      <w:r>
        <w:t>Data inspection and split (notebook 01)</w:t>
      </w:r>
    </w:p>
    <w:p>
      <w:r>
        <w:t xml:space="preserve">After removing 1,081 exact duplicate rows (19 of them frauds), 283,726 transactions remain. They are sorted by </w:t>
      </w:r>
      <w:r>
        <w:rPr>
          <w:rFonts w:ascii="Consolas" w:hAnsi="Consolas" w:eastAsia="Consolas"/>
          <w:sz w:val="20"/>
        </w:rPr>
        <w:t>Time</w:t>
      </w:r>
      <w:r>
        <w:t xml:space="preserve"> and split 60/20/20 chronologically, so the model is always tested on transactions later than those it learned from, as a bank would deploy it.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A5F"/>
          </w:tcPr>
          <w:p>
            <w:pPr>
              <w:spacing w:after="0"/>
            </w:pPr>
            <w:r>
              <w:rPr>
                <w:b/>
                <w:color w:val="FFFFFF"/>
                <w:sz w:val="19"/>
              </w:rPr>
              <w:t>Split</w:t>
            </w:r>
          </w:p>
        </w:tc>
        <w:tc>
          <w:tcPr>
            <w:tcW w:type="dxa" w:w="1872"/>
            <w:shd w:val="clear" w:color="auto" w:fill="1F3A5F"/>
          </w:tcPr>
          <w:p>
            <w:pPr>
              <w:spacing w:after="0"/>
            </w:pPr>
            <w:r>
              <w:rPr>
                <w:b/>
                <w:color w:val="FFFFFF"/>
                <w:sz w:val="19"/>
              </w:rPr>
              <w:t>Time share</w:t>
            </w:r>
          </w:p>
        </w:tc>
        <w:tc>
          <w:tcPr>
            <w:tcW w:type="dxa" w:w="1872"/>
            <w:shd w:val="clear" w:color="auto" w:fill="1F3A5F"/>
          </w:tcPr>
          <w:p>
            <w:pPr>
              <w:spacing w:after="0"/>
            </w:pPr>
            <w:r>
              <w:rPr>
                <w:b/>
                <w:color w:val="FFFFFF"/>
                <w:sz w:val="19"/>
              </w:rPr>
              <w:t>Rows</w:t>
            </w:r>
          </w:p>
        </w:tc>
        <w:tc>
          <w:tcPr>
            <w:tcW w:type="dxa" w:w="1872"/>
            <w:shd w:val="clear" w:color="auto" w:fill="1F3A5F"/>
          </w:tcPr>
          <w:p>
            <w:pPr>
              <w:spacing w:after="0"/>
            </w:pPr>
            <w:r>
              <w:rPr>
                <w:b/>
                <w:color w:val="FFFFFF"/>
                <w:sz w:val="19"/>
              </w:rPr>
              <w:t>Frauds</w:t>
            </w:r>
          </w:p>
        </w:tc>
        <w:tc>
          <w:tcPr>
            <w:tcW w:type="dxa" w:w="1872"/>
            <w:shd w:val="clear" w:color="auto" w:fill="1F3A5F"/>
          </w:tcPr>
          <w:p>
            <w:pPr>
              <w:spacing w:after="0"/>
            </w:pPr>
            <w:r>
              <w:rPr>
                <w:b/>
                <w:color w:val="FFFFFF"/>
                <w:sz w:val="19"/>
              </w:rPr>
              <w:t>Fraud rate</w:t>
            </w:r>
          </w:p>
        </w:tc>
      </w:tr>
      <w:tr>
        <w:tc>
          <w:tcPr>
            <w:tcW w:type="dxa" w:w="1872"/>
          </w:tcPr>
          <w:p>
            <w:pPr>
              <w:spacing w:after="0"/>
            </w:pPr>
            <w:r>
              <w:rPr>
                <w:sz w:val="19"/>
              </w:rPr>
              <w:t>Train (legit only)</w:t>
            </w:r>
          </w:p>
        </w:tc>
        <w:tc>
          <w:tcPr>
            <w:tcW w:type="dxa" w:w="1872"/>
          </w:tcPr>
          <w:p>
            <w:pPr>
              <w:spacing w:after="0"/>
            </w:pPr>
            <w:r>
              <w:rPr>
                <w:sz w:val="19"/>
              </w:rPr>
              <w:t>First 60%</w:t>
            </w:r>
          </w:p>
        </w:tc>
        <w:tc>
          <w:tcPr>
            <w:tcW w:type="dxa" w:w="1872"/>
          </w:tcPr>
          <w:p>
            <w:pPr>
              <w:spacing w:after="0"/>
            </w:pPr>
            <w:r>
              <w:rPr>
                <w:sz w:val="19"/>
              </w:rPr>
              <w:t>169,893</w:t>
            </w:r>
          </w:p>
        </w:tc>
        <w:tc>
          <w:tcPr>
            <w:tcW w:type="dxa" w:w="1872"/>
          </w:tcPr>
          <w:p>
            <w:pPr>
              <w:spacing w:after="0"/>
            </w:pPr>
            <w:r>
              <w:rPr>
                <w:sz w:val="19"/>
              </w:rPr>
              <w:t>0 (342 removed)</w:t>
            </w:r>
          </w:p>
        </w:tc>
        <w:tc>
          <w:tcPr>
            <w:tcW w:type="dxa" w:w="1872"/>
          </w:tcPr>
          <w:p>
            <w:pPr>
              <w:spacing w:after="0"/>
            </w:pPr>
            <w:r>
              <w:rPr>
                <w:sz w:val="19"/>
              </w:rPr>
              <w:t>—</w:t>
            </w:r>
          </w:p>
        </w:tc>
      </w:tr>
      <w:tr>
        <w:tc>
          <w:tcPr>
            <w:tcW w:type="dxa" w:w="1872"/>
            <w:shd w:val="clear" w:color="auto" w:fill="EEF2F7"/>
          </w:tcPr>
          <w:p>
            <w:pPr>
              <w:spacing w:after="0"/>
            </w:pPr>
            <w:r>
              <w:rPr>
                <w:sz w:val="19"/>
              </w:rPr>
              <w:t>Validation</w:t>
            </w:r>
          </w:p>
        </w:tc>
        <w:tc>
          <w:tcPr>
            <w:tcW w:type="dxa" w:w="1872"/>
            <w:shd w:val="clear" w:color="auto" w:fill="EEF2F7"/>
          </w:tcPr>
          <w:p>
            <w:pPr>
              <w:spacing w:after="0"/>
            </w:pPr>
            <w:r>
              <w:rPr>
                <w:sz w:val="19"/>
              </w:rPr>
              <w:t>Next 20%</w:t>
            </w:r>
          </w:p>
        </w:tc>
        <w:tc>
          <w:tcPr>
            <w:tcW w:type="dxa" w:w="1872"/>
            <w:shd w:val="clear" w:color="auto" w:fill="EEF2F7"/>
          </w:tcPr>
          <w:p>
            <w:pPr>
              <w:spacing w:after="0"/>
            </w:pPr>
            <w:r>
              <w:rPr>
                <w:sz w:val="19"/>
              </w:rPr>
              <w:t>56,745</w:t>
            </w:r>
          </w:p>
        </w:tc>
        <w:tc>
          <w:tcPr>
            <w:tcW w:type="dxa" w:w="1872"/>
            <w:shd w:val="clear" w:color="auto" w:fill="EEF2F7"/>
          </w:tcPr>
          <w:p>
            <w:pPr>
              <w:spacing w:after="0"/>
            </w:pPr>
            <w:r>
              <w:rPr>
                <w:sz w:val="19"/>
              </w:rPr>
              <w:t>57</w:t>
            </w:r>
          </w:p>
        </w:tc>
        <w:tc>
          <w:tcPr>
            <w:tcW w:type="dxa" w:w="1872"/>
            <w:shd w:val="clear" w:color="auto" w:fill="EEF2F7"/>
          </w:tcPr>
          <w:p>
            <w:pPr>
              <w:spacing w:after="0"/>
            </w:pPr>
            <w:r>
              <w:rPr>
                <w:sz w:val="19"/>
              </w:rPr>
              <w:t>0.10%</w:t>
            </w:r>
          </w:p>
        </w:tc>
      </w:tr>
      <w:tr>
        <w:tc>
          <w:tcPr>
            <w:tcW w:type="dxa" w:w="1872"/>
          </w:tcPr>
          <w:p>
            <w:pPr>
              <w:spacing w:after="0"/>
            </w:pPr>
            <w:r>
              <w:rPr>
                <w:sz w:val="19"/>
              </w:rPr>
              <w:t>Test</w:t>
            </w:r>
          </w:p>
        </w:tc>
        <w:tc>
          <w:tcPr>
            <w:tcW w:type="dxa" w:w="1872"/>
          </w:tcPr>
          <w:p>
            <w:pPr>
              <w:spacing w:after="0"/>
            </w:pPr>
            <w:r>
              <w:rPr>
                <w:sz w:val="19"/>
              </w:rPr>
              <w:t>Last 20%</w:t>
            </w:r>
          </w:p>
        </w:tc>
        <w:tc>
          <w:tcPr>
            <w:tcW w:type="dxa" w:w="1872"/>
          </w:tcPr>
          <w:p>
            <w:pPr>
              <w:spacing w:after="0"/>
            </w:pPr>
            <w:r>
              <w:rPr>
                <w:sz w:val="19"/>
              </w:rPr>
              <w:t>56,746</w:t>
            </w:r>
          </w:p>
        </w:tc>
        <w:tc>
          <w:tcPr>
            <w:tcW w:type="dxa" w:w="1872"/>
          </w:tcPr>
          <w:p>
            <w:pPr>
              <w:spacing w:after="0"/>
            </w:pPr>
            <w:r>
              <w:rPr>
                <w:sz w:val="19"/>
              </w:rPr>
              <w:t>74</w:t>
            </w:r>
          </w:p>
        </w:tc>
        <w:tc>
          <w:tcPr>
            <w:tcW w:type="dxa" w:w="1872"/>
          </w:tcPr>
          <w:p>
            <w:pPr>
              <w:spacing w:after="0"/>
            </w:pPr>
            <w:r>
              <w:rPr>
                <w:sz w:val="19"/>
              </w:rPr>
              <w:t>0.13%</w:t>
            </w:r>
          </w:p>
        </w:tc>
      </w:tr>
    </w:tbl>
    <w:p/>
    <w:p>
      <w:r>
        <w:t>Removing fraud from training is the defining choice of the project: the GMM learns only what legitimate spending looks like, and anything it finds unlikely is flagged. Amounts are heavily right-skewed (median €22, mean €88, max €25,691). With only 57 validation frauds, each fraud caught or missed moves validation recall by about 1.8 points.</w:t>
      </w:r>
    </w:p>
    <w:p>
      <w:pPr>
        <w:pStyle w:val="Heading1"/>
      </w:pPr>
      <w:r>
        <w:t>Exploratory analysis (notebook 02)</w:t>
      </w:r>
    </w:p>
    <w:p>
      <w:r>
        <w:t xml:space="preserve">The EDA supports three modelling choices: log-transform </w:t>
      </w:r>
      <w:r>
        <w:rPr>
          <w:rFonts w:ascii="Consolas" w:hAnsi="Consolas" w:eastAsia="Consolas"/>
          <w:sz w:val="20"/>
        </w:rPr>
        <w:t>Amount</w:t>
      </w:r>
      <w:r>
        <w:t xml:space="preserve">, build a candidate reduced feature set, and use a mixture rather than a single Gaussian. Every analysis that uses fraud labels runs on the </w:t>
      </w:r>
      <w:r>
        <w:rPr>
          <w:b/>
        </w:rPr>
        <w:t>training period only</w:t>
      </w:r>
      <w:r>
        <w:t xml:space="preserve"> (170,235 rows: 169,893 normal, 342 fraud), so nothing here sees validation or test labels.</w:t>
      </w:r>
    </w:p>
    <w:p>
      <w:r>
        <w:rPr>
          <w:b/>
        </w:rPr>
        <w:t>Time of day.</w:t>
      </w:r>
      <w:r>
        <w:t xml:space="preserve"> Legitimate volume drops sharply between roughly 1 and 6 AM, while fraud is spread across the day with peaks near 2 AM and 11 AM. Fraud is therefore proportionally far more common at night. Hour is derived as (Time / 3600) mod 24, which assumes recording started at midnight.</w:t>
      </w:r>
    </w:p>
    <w:p>
      <w:pPr>
        <w:jc w:val="center"/>
      </w:pPr>
      <w:r>
        <w:drawing>
          <wp:inline xmlns:a="http://schemas.openxmlformats.org/drawingml/2006/main" xmlns:pic="http://schemas.openxmlformats.org/drawingml/2006/picture">
            <wp:extent cx="4754880" cy="2377440"/>
            <wp:docPr id="1" name="Picture 1"/>
            <wp:cNvGraphicFramePr>
              <a:graphicFrameLocks noChangeAspect="1"/>
            </wp:cNvGraphicFramePr>
            <a:graphic>
              <a:graphicData uri="http://schemas.openxmlformats.org/drawingml/2006/picture">
                <pic:pic>
                  <pic:nvPicPr>
                    <pic:cNvPr id="0" name="fig1_time_diurnal_distribution.png"/>
                    <pic:cNvPicPr/>
                  </pic:nvPicPr>
                  <pic:blipFill>
                    <a:blip r:embed="rId9"/>
                    <a:stretch>
                      <a:fillRect/>
                    </a:stretch>
                  </pic:blipFill>
                  <pic:spPr>
                    <a:xfrm>
                      <a:off x="0" y="0"/>
                      <a:ext cx="4754880" cy="2377440"/>
                    </a:xfrm>
                    <a:prstGeom prst="rect"/>
                  </pic:spPr>
                </pic:pic>
              </a:graphicData>
            </a:graphic>
          </wp:inline>
        </w:drawing>
      </w:r>
    </w:p>
    <w:p>
      <w:pPr>
        <w:jc w:val="center"/>
      </w:pPr>
      <w:r>
        <w:rPr>
          <w:i/>
          <w:color w:val="555555"/>
          <w:sz w:val="19"/>
        </w:rPr>
        <w:t>Figure 1. Hourly distribution of normal vs fraud transactions, training period</w:t>
      </w:r>
    </w:p>
    <w:p>
      <w:r>
        <w:rPr>
          <w:b/>
        </w:rPr>
        <w:t>Amount.</w:t>
      </w:r>
      <w:r>
        <w:t xml:space="preserve"> Raw amounts have a skewness of 15.77; log(1 + Amount) brings this to 0.16, close to symmetric and much better suited to a Gaussian model.</w:t>
      </w:r>
    </w:p>
    <w:p>
      <w:pPr>
        <w:jc w:val="center"/>
      </w:pPr>
      <w:r>
        <w:drawing>
          <wp:inline xmlns:a="http://schemas.openxmlformats.org/drawingml/2006/main" xmlns:pic="http://schemas.openxmlformats.org/drawingml/2006/picture">
            <wp:extent cx="4754880" cy="1729047"/>
            <wp:docPr id="2" name="Picture 2"/>
            <wp:cNvGraphicFramePr>
              <a:graphicFrameLocks noChangeAspect="1"/>
            </wp:cNvGraphicFramePr>
            <a:graphic>
              <a:graphicData uri="http://schemas.openxmlformats.org/drawingml/2006/picture">
                <pic:pic>
                  <pic:nvPicPr>
                    <pic:cNvPr id="0" name="fig2_amount_distribution_log.png"/>
                    <pic:cNvPicPr/>
                  </pic:nvPicPr>
                  <pic:blipFill>
                    <a:blip r:embed="rId10"/>
                    <a:stretch>
                      <a:fillRect/>
                    </a:stretch>
                  </pic:blipFill>
                  <pic:spPr>
                    <a:xfrm>
                      <a:off x="0" y="0"/>
                      <a:ext cx="4754880" cy="1729047"/>
                    </a:xfrm>
                    <a:prstGeom prst="rect"/>
                  </pic:spPr>
                </pic:pic>
              </a:graphicData>
            </a:graphic>
          </wp:inline>
        </w:drawing>
      </w:r>
    </w:p>
    <w:p>
      <w:pPr>
        <w:jc w:val="center"/>
      </w:pPr>
      <w:r>
        <w:rPr>
          <w:i/>
          <w:color w:val="555555"/>
          <w:sz w:val="19"/>
        </w:rPr>
        <w:t>Figure 2. Raw vs log-transformed amount, training period</w:t>
      </w:r>
    </w:p>
    <w:p>
      <w:r>
        <w:rPr>
          <w:b/>
        </w:rPr>
        <w:t>Separating features.</w:t>
      </w:r>
      <w:r>
        <w:t xml:space="preserve"> A two-sample Kolmogorov–Smirnov (KS) test ranks V1–V28 by how differently they are distributed for fraud and normal transactions. The top 11 plus Amount form the 12-feature candidate set, saved to </w:t>
      </w:r>
      <w:r>
        <w:rPr>
          <w:rFonts w:ascii="Consolas" w:hAnsi="Consolas" w:eastAsia="Consolas"/>
          <w:sz w:val="20"/>
        </w:rPr>
        <w:t>configs/gmm_features.json</w:t>
      </w:r>
      <w: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3A5F"/>
          </w:tcPr>
          <w:p>
            <w:pPr>
              <w:spacing w:after="0"/>
            </w:pPr>
            <w:r>
              <w:rPr>
                <w:b/>
                <w:color w:val="FFFFFF"/>
                <w:sz w:val="19"/>
              </w:rPr>
              <w:t>Rank</w:t>
            </w:r>
          </w:p>
        </w:tc>
        <w:tc>
          <w:tcPr>
            <w:tcW w:type="dxa" w:w="2340"/>
            <w:shd w:val="clear" w:color="auto" w:fill="1F3A5F"/>
          </w:tcPr>
          <w:p>
            <w:pPr>
              <w:spacing w:after="0"/>
            </w:pPr>
            <w:r>
              <w:rPr>
                <w:b/>
                <w:color w:val="FFFFFF"/>
                <w:sz w:val="19"/>
              </w:rPr>
              <w:t>Feature</w:t>
            </w:r>
          </w:p>
        </w:tc>
        <w:tc>
          <w:tcPr>
            <w:tcW w:type="dxa" w:w="2340"/>
            <w:shd w:val="clear" w:color="auto" w:fill="1F3A5F"/>
          </w:tcPr>
          <w:p>
            <w:pPr>
              <w:spacing w:after="0"/>
            </w:pPr>
            <w:r>
              <w:rPr>
                <w:b/>
                <w:color w:val="FFFFFF"/>
                <w:sz w:val="19"/>
              </w:rPr>
              <w:t>KS statistic</w:t>
            </w:r>
          </w:p>
        </w:tc>
        <w:tc>
          <w:tcPr>
            <w:tcW w:type="dxa" w:w="2340"/>
            <w:shd w:val="clear" w:color="auto" w:fill="1F3A5F"/>
          </w:tcPr>
          <w:p>
            <w:pPr>
              <w:spacing w:after="0"/>
            </w:pPr>
            <w:r>
              <w:rPr>
                <w:b/>
                <w:color w:val="FFFFFF"/>
                <w:sz w:val="19"/>
              </w:rPr>
              <w:t>In 12-feature set</w:t>
            </w:r>
          </w:p>
        </w:tc>
      </w:tr>
      <w:tr>
        <w:tc>
          <w:tcPr>
            <w:tcW w:type="dxa" w:w="2340"/>
          </w:tcPr>
          <w:p>
            <w:pPr>
              <w:spacing w:after="0"/>
            </w:pPr>
            <w:r>
              <w:rPr>
                <w:sz w:val="19"/>
              </w:rPr>
              <w:t>1</w:t>
            </w:r>
          </w:p>
        </w:tc>
        <w:tc>
          <w:tcPr>
            <w:tcW w:type="dxa" w:w="2340"/>
          </w:tcPr>
          <w:p>
            <w:pPr>
              <w:spacing w:after="0"/>
            </w:pPr>
            <w:r>
              <w:rPr>
                <w:sz w:val="19"/>
              </w:rPr>
              <w:t>V14</w:t>
            </w:r>
          </w:p>
        </w:tc>
        <w:tc>
          <w:tcPr>
            <w:tcW w:type="dxa" w:w="2340"/>
          </w:tcPr>
          <w:p>
            <w:pPr>
              <w:spacing w:after="0"/>
            </w:pPr>
            <w:r>
              <w:rPr>
                <w:sz w:val="19"/>
              </w:rPr>
              <w:t>0.847</w:t>
            </w:r>
          </w:p>
        </w:tc>
        <w:tc>
          <w:tcPr>
            <w:tcW w:type="dxa" w:w="2340"/>
          </w:tcPr>
          <w:p>
            <w:pPr>
              <w:spacing w:after="0"/>
            </w:pPr>
            <w:r>
              <w:rPr>
                <w:sz w:val="19"/>
              </w:rPr>
              <w:t>Yes</w:t>
            </w:r>
          </w:p>
        </w:tc>
      </w:tr>
      <w:tr>
        <w:tc>
          <w:tcPr>
            <w:tcW w:type="dxa" w:w="2340"/>
            <w:shd w:val="clear" w:color="auto" w:fill="EEF2F7"/>
          </w:tcPr>
          <w:p>
            <w:pPr>
              <w:spacing w:after="0"/>
            </w:pPr>
            <w:r>
              <w:rPr>
                <w:sz w:val="19"/>
              </w:rPr>
              <w:t>2</w:t>
            </w:r>
          </w:p>
        </w:tc>
        <w:tc>
          <w:tcPr>
            <w:tcW w:type="dxa" w:w="2340"/>
            <w:shd w:val="clear" w:color="auto" w:fill="EEF2F7"/>
          </w:tcPr>
          <w:p>
            <w:pPr>
              <w:spacing w:after="0"/>
            </w:pPr>
            <w:r>
              <w:rPr>
                <w:sz w:val="19"/>
              </w:rPr>
              <w:t>V10</w:t>
            </w:r>
          </w:p>
        </w:tc>
        <w:tc>
          <w:tcPr>
            <w:tcW w:type="dxa" w:w="2340"/>
            <w:shd w:val="clear" w:color="auto" w:fill="EEF2F7"/>
          </w:tcPr>
          <w:p>
            <w:pPr>
              <w:spacing w:after="0"/>
            </w:pPr>
            <w:r>
              <w:rPr>
                <w:sz w:val="19"/>
              </w:rPr>
              <w:t>0.824</w:t>
            </w:r>
          </w:p>
        </w:tc>
        <w:tc>
          <w:tcPr>
            <w:tcW w:type="dxa" w:w="2340"/>
            <w:shd w:val="clear" w:color="auto" w:fill="EEF2F7"/>
          </w:tcPr>
          <w:p>
            <w:pPr>
              <w:spacing w:after="0"/>
            </w:pPr>
            <w:r>
              <w:rPr>
                <w:sz w:val="19"/>
              </w:rPr>
              <w:t>Yes</w:t>
            </w:r>
          </w:p>
        </w:tc>
      </w:tr>
      <w:tr>
        <w:tc>
          <w:tcPr>
            <w:tcW w:type="dxa" w:w="2340"/>
          </w:tcPr>
          <w:p>
            <w:pPr>
              <w:spacing w:after="0"/>
            </w:pPr>
            <w:r>
              <w:rPr>
                <w:sz w:val="19"/>
              </w:rPr>
              <w:t>3</w:t>
            </w:r>
          </w:p>
        </w:tc>
        <w:tc>
          <w:tcPr>
            <w:tcW w:type="dxa" w:w="2340"/>
          </w:tcPr>
          <w:p>
            <w:pPr>
              <w:spacing w:after="0"/>
            </w:pPr>
            <w:r>
              <w:rPr>
                <w:sz w:val="19"/>
              </w:rPr>
              <w:t>V12</w:t>
            </w:r>
          </w:p>
        </w:tc>
        <w:tc>
          <w:tcPr>
            <w:tcW w:type="dxa" w:w="2340"/>
          </w:tcPr>
          <w:p>
            <w:pPr>
              <w:spacing w:after="0"/>
            </w:pPr>
            <w:r>
              <w:rPr>
                <w:sz w:val="19"/>
              </w:rPr>
              <w:t>0.792</w:t>
            </w:r>
          </w:p>
        </w:tc>
        <w:tc>
          <w:tcPr>
            <w:tcW w:type="dxa" w:w="2340"/>
          </w:tcPr>
          <w:p>
            <w:pPr>
              <w:spacing w:after="0"/>
            </w:pPr>
            <w:r>
              <w:rPr>
                <w:sz w:val="19"/>
              </w:rPr>
              <w:t>Yes</w:t>
            </w:r>
          </w:p>
        </w:tc>
      </w:tr>
      <w:tr>
        <w:tc>
          <w:tcPr>
            <w:tcW w:type="dxa" w:w="2340"/>
            <w:shd w:val="clear" w:color="auto" w:fill="EEF2F7"/>
          </w:tcPr>
          <w:p>
            <w:pPr>
              <w:spacing w:after="0"/>
            </w:pPr>
            <w:r>
              <w:rPr>
                <w:sz w:val="19"/>
              </w:rPr>
              <w:t>4</w:t>
            </w:r>
          </w:p>
        </w:tc>
        <w:tc>
          <w:tcPr>
            <w:tcW w:type="dxa" w:w="2340"/>
            <w:shd w:val="clear" w:color="auto" w:fill="EEF2F7"/>
          </w:tcPr>
          <w:p>
            <w:pPr>
              <w:spacing w:after="0"/>
            </w:pPr>
            <w:r>
              <w:rPr>
                <w:sz w:val="19"/>
              </w:rPr>
              <w:t>V11</w:t>
            </w:r>
          </w:p>
        </w:tc>
        <w:tc>
          <w:tcPr>
            <w:tcW w:type="dxa" w:w="2340"/>
            <w:shd w:val="clear" w:color="auto" w:fill="EEF2F7"/>
          </w:tcPr>
          <w:p>
            <w:pPr>
              <w:spacing w:after="0"/>
            </w:pPr>
            <w:r>
              <w:rPr>
                <w:sz w:val="19"/>
              </w:rPr>
              <w:t>0.776</w:t>
            </w:r>
          </w:p>
        </w:tc>
        <w:tc>
          <w:tcPr>
            <w:tcW w:type="dxa" w:w="2340"/>
            <w:shd w:val="clear" w:color="auto" w:fill="EEF2F7"/>
          </w:tcPr>
          <w:p>
            <w:pPr>
              <w:spacing w:after="0"/>
            </w:pPr>
            <w:r>
              <w:rPr>
                <w:sz w:val="19"/>
              </w:rPr>
              <w:t>Yes</w:t>
            </w:r>
          </w:p>
        </w:tc>
      </w:tr>
      <w:tr>
        <w:tc>
          <w:tcPr>
            <w:tcW w:type="dxa" w:w="2340"/>
          </w:tcPr>
          <w:p>
            <w:pPr>
              <w:spacing w:after="0"/>
            </w:pPr>
            <w:r>
              <w:rPr>
                <w:sz w:val="19"/>
              </w:rPr>
              <w:t>5</w:t>
            </w:r>
          </w:p>
        </w:tc>
        <w:tc>
          <w:tcPr>
            <w:tcW w:type="dxa" w:w="2340"/>
          </w:tcPr>
          <w:p>
            <w:pPr>
              <w:spacing w:after="0"/>
            </w:pPr>
            <w:r>
              <w:rPr>
                <w:sz w:val="19"/>
              </w:rPr>
              <w:t>V17</w:t>
            </w:r>
          </w:p>
        </w:tc>
        <w:tc>
          <w:tcPr>
            <w:tcW w:type="dxa" w:w="2340"/>
          </w:tcPr>
          <w:p>
            <w:pPr>
              <w:spacing w:after="0"/>
            </w:pPr>
            <w:r>
              <w:rPr>
                <w:sz w:val="19"/>
              </w:rPr>
              <w:t>0.776</w:t>
            </w:r>
          </w:p>
        </w:tc>
        <w:tc>
          <w:tcPr>
            <w:tcW w:type="dxa" w:w="2340"/>
          </w:tcPr>
          <w:p>
            <w:pPr>
              <w:spacing w:after="0"/>
            </w:pPr>
            <w:r>
              <w:rPr>
                <w:sz w:val="19"/>
              </w:rPr>
              <w:t>Yes</w:t>
            </w:r>
          </w:p>
        </w:tc>
      </w:tr>
      <w:tr>
        <w:tc>
          <w:tcPr>
            <w:tcW w:type="dxa" w:w="2340"/>
            <w:shd w:val="clear" w:color="auto" w:fill="EEF2F7"/>
          </w:tcPr>
          <w:p>
            <w:pPr>
              <w:spacing w:after="0"/>
            </w:pPr>
            <w:r>
              <w:rPr>
                <w:sz w:val="19"/>
              </w:rPr>
              <w:t>6</w:t>
            </w:r>
          </w:p>
        </w:tc>
        <w:tc>
          <w:tcPr>
            <w:tcW w:type="dxa" w:w="2340"/>
            <w:shd w:val="clear" w:color="auto" w:fill="EEF2F7"/>
          </w:tcPr>
          <w:p>
            <w:pPr>
              <w:spacing w:after="0"/>
            </w:pPr>
            <w:r>
              <w:rPr>
                <w:sz w:val="19"/>
              </w:rPr>
              <w:t>V4</w:t>
            </w:r>
          </w:p>
        </w:tc>
        <w:tc>
          <w:tcPr>
            <w:tcW w:type="dxa" w:w="2340"/>
            <w:shd w:val="clear" w:color="auto" w:fill="EEF2F7"/>
          </w:tcPr>
          <w:p>
            <w:pPr>
              <w:spacing w:after="0"/>
            </w:pPr>
            <w:r>
              <w:rPr>
                <w:sz w:val="19"/>
              </w:rPr>
              <w:t>0.774</w:t>
            </w:r>
          </w:p>
        </w:tc>
        <w:tc>
          <w:tcPr>
            <w:tcW w:type="dxa" w:w="2340"/>
            <w:shd w:val="clear" w:color="auto" w:fill="EEF2F7"/>
          </w:tcPr>
          <w:p>
            <w:pPr>
              <w:spacing w:after="0"/>
            </w:pPr>
            <w:r>
              <w:rPr>
                <w:sz w:val="19"/>
              </w:rPr>
              <w:t>Yes</w:t>
            </w:r>
          </w:p>
        </w:tc>
      </w:tr>
      <w:tr>
        <w:tc>
          <w:tcPr>
            <w:tcW w:type="dxa" w:w="2340"/>
          </w:tcPr>
          <w:p>
            <w:pPr>
              <w:spacing w:after="0"/>
            </w:pPr>
            <w:r>
              <w:rPr>
                <w:sz w:val="19"/>
              </w:rPr>
              <w:t>7</w:t>
            </w:r>
          </w:p>
        </w:tc>
        <w:tc>
          <w:tcPr>
            <w:tcW w:type="dxa" w:w="2340"/>
          </w:tcPr>
          <w:p>
            <w:pPr>
              <w:spacing w:after="0"/>
            </w:pPr>
            <w:r>
              <w:rPr>
                <w:sz w:val="19"/>
              </w:rPr>
              <w:t>V3</w:t>
            </w:r>
          </w:p>
        </w:tc>
        <w:tc>
          <w:tcPr>
            <w:tcW w:type="dxa" w:w="2340"/>
          </w:tcPr>
          <w:p>
            <w:pPr>
              <w:spacing w:after="0"/>
            </w:pPr>
            <w:r>
              <w:rPr>
                <w:sz w:val="19"/>
              </w:rPr>
              <w:t>0.735</w:t>
            </w:r>
          </w:p>
        </w:tc>
        <w:tc>
          <w:tcPr>
            <w:tcW w:type="dxa" w:w="2340"/>
          </w:tcPr>
          <w:p>
            <w:pPr>
              <w:spacing w:after="0"/>
            </w:pPr>
            <w:r>
              <w:rPr>
                <w:sz w:val="19"/>
              </w:rPr>
              <w:t>Yes</w:t>
            </w:r>
          </w:p>
        </w:tc>
      </w:tr>
      <w:tr>
        <w:tc>
          <w:tcPr>
            <w:tcW w:type="dxa" w:w="2340"/>
            <w:shd w:val="clear" w:color="auto" w:fill="EEF2F7"/>
          </w:tcPr>
          <w:p>
            <w:pPr>
              <w:spacing w:after="0"/>
            </w:pPr>
            <w:r>
              <w:rPr>
                <w:sz w:val="19"/>
              </w:rPr>
              <w:t>8</w:t>
            </w:r>
          </w:p>
        </w:tc>
        <w:tc>
          <w:tcPr>
            <w:tcW w:type="dxa" w:w="2340"/>
            <w:shd w:val="clear" w:color="auto" w:fill="EEF2F7"/>
          </w:tcPr>
          <w:p>
            <w:pPr>
              <w:spacing w:after="0"/>
            </w:pPr>
            <w:r>
              <w:rPr>
                <w:sz w:val="19"/>
              </w:rPr>
              <w:t>V16</w:t>
            </w:r>
          </w:p>
        </w:tc>
        <w:tc>
          <w:tcPr>
            <w:tcW w:type="dxa" w:w="2340"/>
            <w:shd w:val="clear" w:color="auto" w:fill="EEF2F7"/>
          </w:tcPr>
          <w:p>
            <w:pPr>
              <w:spacing w:after="0"/>
            </w:pPr>
            <w:r>
              <w:rPr>
                <w:sz w:val="19"/>
              </w:rPr>
              <w:t>0.732</w:t>
            </w:r>
          </w:p>
        </w:tc>
        <w:tc>
          <w:tcPr>
            <w:tcW w:type="dxa" w:w="2340"/>
            <w:shd w:val="clear" w:color="auto" w:fill="EEF2F7"/>
          </w:tcPr>
          <w:p>
            <w:pPr>
              <w:spacing w:after="0"/>
            </w:pPr>
            <w:r>
              <w:rPr>
                <w:sz w:val="19"/>
              </w:rPr>
              <w:t>Yes</w:t>
            </w:r>
          </w:p>
        </w:tc>
      </w:tr>
      <w:tr>
        <w:tc>
          <w:tcPr>
            <w:tcW w:type="dxa" w:w="2340"/>
          </w:tcPr>
          <w:p>
            <w:pPr>
              <w:spacing w:after="0"/>
            </w:pPr>
            <w:r>
              <w:rPr>
                <w:sz w:val="19"/>
              </w:rPr>
              <w:t>9</w:t>
            </w:r>
          </w:p>
        </w:tc>
        <w:tc>
          <w:tcPr>
            <w:tcW w:type="dxa" w:w="2340"/>
          </w:tcPr>
          <w:p>
            <w:pPr>
              <w:spacing w:after="0"/>
            </w:pPr>
            <w:r>
              <w:rPr>
                <w:sz w:val="19"/>
              </w:rPr>
              <w:t>V7</w:t>
            </w:r>
          </w:p>
        </w:tc>
        <w:tc>
          <w:tcPr>
            <w:tcW w:type="dxa" w:w="2340"/>
          </w:tcPr>
          <w:p>
            <w:pPr>
              <w:spacing w:after="0"/>
            </w:pPr>
            <w:r>
              <w:rPr>
                <w:sz w:val="19"/>
              </w:rPr>
              <w:t>0.712</w:t>
            </w:r>
          </w:p>
        </w:tc>
        <w:tc>
          <w:tcPr>
            <w:tcW w:type="dxa" w:w="2340"/>
          </w:tcPr>
          <w:p>
            <w:pPr>
              <w:spacing w:after="0"/>
            </w:pPr>
            <w:r>
              <w:rPr>
                <w:sz w:val="19"/>
              </w:rPr>
              <w:t>Yes</w:t>
            </w:r>
          </w:p>
        </w:tc>
      </w:tr>
      <w:tr>
        <w:tc>
          <w:tcPr>
            <w:tcW w:type="dxa" w:w="2340"/>
            <w:shd w:val="clear" w:color="auto" w:fill="EEF2F7"/>
          </w:tcPr>
          <w:p>
            <w:pPr>
              <w:spacing w:after="0"/>
            </w:pPr>
            <w:r>
              <w:rPr>
                <w:sz w:val="19"/>
              </w:rPr>
              <w:t>10</w:t>
            </w:r>
          </w:p>
        </w:tc>
        <w:tc>
          <w:tcPr>
            <w:tcW w:type="dxa" w:w="2340"/>
            <w:shd w:val="clear" w:color="auto" w:fill="EEF2F7"/>
          </w:tcPr>
          <w:p>
            <w:pPr>
              <w:spacing w:after="0"/>
            </w:pPr>
            <w:r>
              <w:rPr>
                <w:sz w:val="19"/>
              </w:rPr>
              <w:t>V2</w:t>
            </w:r>
          </w:p>
        </w:tc>
        <w:tc>
          <w:tcPr>
            <w:tcW w:type="dxa" w:w="2340"/>
            <w:shd w:val="clear" w:color="auto" w:fill="EEF2F7"/>
          </w:tcPr>
          <w:p>
            <w:pPr>
              <w:spacing w:after="0"/>
            </w:pPr>
            <w:r>
              <w:rPr>
                <w:sz w:val="19"/>
              </w:rPr>
              <w:t>0.658</w:t>
            </w:r>
          </w:p>
        </w:tc>
        <w:tc>
          <w:tcPr>
            <w:tcW w:type="dxa" w:w="2340"/>
            <w:shd w:val="clear" w:color="auto" w:fill="EEF2F7"/>
          </w:tcPr>
          <w:p>
            <w:pPr>
              <w:spacing w:after="0"/>
            </w:pPr>
            <w:r>
              <w:rPr>
                <w:sz w:val="19"/>
              </w:rPr>
              <w:t>Yes</w:t>
            </w:r>
          </w:p>
        </w:tc>
      </w:tr>
      <w:tr>
        <w:tc>
          <w:tcPr>
            <w:tcW w:type="dxa" w:w="2340"/>
          </w:tcPr>
          <w:p>
            <w:pPr>
              <w:spacing w:after="0"/>
            </w:pPr>
            <w:r>
              <w:rPr>
                <w:sz w:val="19"/>
              </w:rPr>
              <w:t>11</w:t>
            </w:r>
          </w:p>
        </w:tc>
        <w:tc>
          <w:tcPr>
            <w:tcW w:type="dxa" w:w="2340"/>
          </w:tcPr>
          <w:p>
            <w:pPr>
              <w:spacing w:after="0"/>
            </w:pPr>
            <w:r>
              <w:rPr>
                <w:sz w:val="19"/>
              </w:rPr>
              <w:t>V9</w:t>
            </w:r>
          </w:p>
        </w:tc>
        <w:tc>
          <w:tcPr>
            <w:tcW w:type="dxa" w:w="2340"/>
          </w:tcPr>
          <w:p>
            <w:pPr>
              <w:spacing w:after="0"/>
            </w:pPr>
            <w:r>
              <w:rPr>
                <w:sz w:val="19"/>
              </w:rPr>
              <w:t>0.580</w:t>
            </w:r>
          </w:p>
        </w:tc>
        <w:tc>
          <w:tcPr>
            <w:tcW w:type="dxa" w:w="2340"/>
          </w:tcPr>
          <w:p>
            <w:pPr>
              <w:spacing w:after="0"/>
            </w:pPr>
            <w:r>
              <w:rPr>
                <w:sz w:val="19"/>
              </w:rPr>
              <w:t>Yes</w:t>
            </w:r>
          </w:p>
        </w:tc>
      </w:tr>
      <w:tr>
        <w:tc>
          <w:tcPr>
            <w:tcW w:type="dxa" w:w="2340"/>
            <w:shd w:val="clear" w:color="auto" w:fill="EEF2F7"/>
          </w:tcPr>
          <w:p>
            <w:pPr>
              <w:spacing w:after="0"/>
            </w:pPr>
            <w:r>
              <w:rPr>
                <w:sz w:val="19"/>
              </w:rPr>
              <w:t>12</w:t>
            </w:r>
          </w:p>
        </w:tc>
        <w:tc>
          <w:tcPr>
            <w:tcW w:type="dxa" w:w="2340"/>
            <w:shd w:val="clear" w:color="auto" w:fill="EEF2F7"/>
          </w:tcPr>
          <w:p>
            <w:pPr>
              <w:spacing w:after="0"/>
            </w:pPr>
            <w:r>
              <w:rPr>
                <w:sz w:val="19"/>
              </w:rPr>
              <w:t>V18</w:t>
            </w:r>
          </w:p>
        </w:tc>
        <w:tc>
          <w:tcPr>
            <w:tcW w:type="dxa" w:w="2340"/>
            <w:shd w:val="clear" w:color="auto" w:fill="EEF2F7"/>
          </w:tcPr>
          <w:p>
            <w:pPr>
              <w:spacing w:after="0"/>
            </w:pPr>
            <w:r>
              <w:rPr>
                <w:sz w:val="19"/>
              </w:rPr>
              <w:t>0.568</w:t>
            </w:r>
          </w:p>
        </w:tc>
        <w:tc>
          <w:tcPr>
            <w:tcW w:type="dxa" w:w="2340"/>
            <w:shd w:val="clear" w:color="auto" w:fill="EEF2F7"/>
          </w:tcPr>
          <w:p>
            <w:pPr>
              <w:spacing w:after="0"/>
            </w:pPr>
            <w:r>
              <w:rPr>
                <w:sz w:val="19"/>
              </w:rPr>
              <w:t>No</w:t>
            </w:r>
          </w:p>
        </w:tc>
      </w:tr>
    </w:tbl>
    <w:p/>
    <w:p>
      <w:pPr>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fig3_top_divergent_features_kde.png"/>
                    <pic:cNvPicPr/>
                  </pic:nvPicPr>
                  <pic:blipFill>
                    <a:blip r:embed="rId11"/>
                    <a:stretch>
                      <a:fillRect/>
                    </a:stretch>
                  </pic:blipFill>
                  <pic:spPr>
                    <a:xfrm>
                      <a:off x="0" y="0"/>
                      <a:ext cx="5486400" cy="2743200"/>
                    </a:xfrm>
                    <a:prstGeom prst="rect"/>
                  </pic:spPr>
                </pic:pic>
              </a:graphicData>
            </a:graphic>
          </wp:inline>
        </w:drawing>
      </w:r>
    </w:p>
    <w:p>
      <w:pPr>
        <w:jc w:val="center"/>
      </w:pPr>
      <w:r>
        <w:rPr>
          <w:i/>
          <w:color w:val="555555"/>
          <w:sz w:val="19"/>
        </w:rPr>
        <w:t>Figure 3. Density of the six most separating features, normal vs fraud</w:t>
      </w:r>
    </w:p>
    <w:p>
      <w:r>
        <w:rPr>
          <w:b/>
        </w:rPr>
        <w:t>Correlation.</w:t>
      </w:r>
      <w:r>
        <w:t xml:space="preserve"> The PCA components are close to uncorrelated. Hour correlates moderately with V12 (0.41) and weakly with V14 (−0.20), so these components partly encode time of day.</w:t>
      </w:r>
    </w:p>
    <w:p>
      <w:pPr>
        <w:jc w:val="center"/>
      </w:pPr>
      <w:r>
        <w:drawing>
          <wp:inline xmlns:a="http://schemas.openxmlformats.org/drawingml/2006/main" xmlns:pic="http://schemas.openxmlformats.org/drawingml/2006/picture">
            <wp:extent cx="4754880" cy="3566160"/>
            <wp:docPr id="4" name="Picture 4"/>
            <wp:cNvGraphicFramePr>
              <a:graphicFrameLocks noChangeAspect="1"/>
            </wp:cNvGraphicFramePr>
            <a:graphic>
              <a:graphicData uri="http://schemas.openxmlformats.org/drawingml/2006/picture">
                <pic:pic>
                  <pic:nvPicPr>
                    <pic:cNvPr id="0" name="fig4_feature_correlation_matrix.png"/>
                    <pic:cNvPicPr/>
                  </pic:nvPicPr>
                  <pic:blipFill>
                    <a:blip r:embed="rId12"/>
                    <a:stretch>
                      <a:fillRect/>
                    </a:stretch>
                  </pic:blipFill>
                  <pic:spPr>
                    <a:xfrm>
                      <a:off x="0" y="0"/>
                      <a:ext cx="4754880" cy="3566160"/>
                    </a:xfrm>
                    <a:prstGeom prst="rect"/>
                  </pic:spPr>
                </pic:pic>
              </a:graphicData>
            </a:graphic>
          </wp:inline>
        </w:drawing>
      </w:r>
    </w:p>
    <w:p>
      <w:pPr>
        <w:jc w:val="center"/>
      </w:pPr>
      <w:r>
        <w:rPr>
          <w:i/>
          <w:color w:val="555555"/>
          <w:sz w:val="19"/>
        </w:rPr>
        <w:t>Figure 4. Correlation matrix of Hour, Amount and the top six features</w:t>
      </w:r>
    </w:p>
    <w:p>
      <w:r>
        <w:rPr>
          <w:b/>
        </w:rPr>
        <w:t>Why a mixture.</w:t>
      </w:r>
      <w:r>
        <w:t xml:space="preserve"> D’Agostino–Pearson tests on normal transactions reject a single Gaussian for every feature tested. The p-values are below 1e-300.</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F3A5F"/>
          </w:tcPr>
          <w:p>
            <w:pPr>
              <w:spacing w:after="0"/>
            </w:pPr>
            <w:r>
              <w:rPr>
                <w:b/>
                <w:color w:val="FFFFFF"/>
                <w:sz w:val="19"/>
              </w:rPr>
              <w:t>Feature (normal transactions)</w:t>
            </w:r>
          </w:p>
        </w:tc>
        <w:tc>
          <w:tcPr>
            <w:tcW w:type="dxa" w:w="4680"/>
            <w:shd w:val="clear" w:color="auto" w:fill="1F3A5F"/>
          </w:tcPr>
          <w:p>
            <w:pPr>
              <w:spacing w:after="0"/>
            </w:pPr>
            <w:r>
              <w:rPr>
                <w:b/>
                <w:color w:val="FFFFFF"/>
                <w:sz w:val="19"/>
              </w:rPr>
              <w:t>Test statistic</w:t>
            </w:r>
          </w:p>
        </w:tc>
      </w:tr>
      <w:tr>
        <w:tc>
          <w:tcPr>
            <w:tcW w:type="dxa" w:w="4680"/>
          </w:tcPr>
          <w:p>
            <w:pPr>
              <w:spacing w:after="0"/>
            </w:pPr>
            <w:r>
              <w:rPr>
                <w:sz w:val="19"/>
              </w:rPr>
              <w:t>V1</w:t>
            </w:r>
          </w:p>
        </w:tc>
        <w:tc>
          <w:tcPr>
            <w:tcW w:type="dxa" w:w="4680"/>
          </w:tcPr>
          <w:p>
            <w:pPr>
              <w:spacing w:after="0"/>
            </w:pPr>
            <w:r>
              <w:rPr>
                <w:sz w:val="19"/>
              </w:rPr>
              <w:t>128,016.9</w:t>
            </w:r>
          </w:p>
        </w:tc>
      </w:tr>
      <w:tr>
        <w:tc>
          <w:tcPr>
            <w:tcW w:type="dxa" w:w="4680"/>
            <w:shd w:val="clear" w:color="auto" w:fill="EEF2F7"/>
          </w:tcPr>
          <w:p>
            <w:pPr>
              <w:spacing w:after="0"/>
            </w:pPr>
            <w:r>
              <w:rPr>
                <w:sz w:val="19"/>
              </w:rPr>
              <w:t>V14</w:t>
            </w:r>
          </w:p>
        </w:tc>
        <w:tc>
          <w:tcPr>
            <w:tcW w:type="dxa" w:w="4680"/>
            <w:shd w:val="clear" w:color="auto" w:fill="EEF2F7"/>
          </w:tcPr>
          <w:p>
            <w:pPr>
              <w:spacing w:after="0"/>
            </w:pPr>
            <w:r>
              <w:rPr>
                <w:sz w:val="19"/>
              </w:rPr>
              <w:t>44,187.6</w:t>
            </w:r>
          </w:p>
        </w:tc>
      </w:tr>
      <w:tr>
        <w:tc>
          <w:tcPr>
            <w:tcW w:type="dxa" w:w="4680"/>
          </w:tcPr>
          <w:p>
            <w:pPr>
              <w:spacing w:after="0"/>
            </w:pPr>
            <w:r>
              <w:rPr>
                <w:sz w:val="19"/>
              </w:rPr>
              <w:t>V4</w:t>
            </w:r>
          </w:p>
        </w:tc>
        <w:tc>
          <w:tcPr>
            <w:tcW w:type="dxa" w:w="4680"/>
          </w:tcPr>
          <w:p>
            <w:pPr>
              <w:spacing w:after="0"/>
            </w:pPr>
            <w:r>
              <w:rPr>
                <w:sz w:val="19"/>
              </w:rPr>
              <w:t>9,396.4</w:t>
            </w:r>
          </w:p>
        </w:tc>
      </w:tr>
      <w:tr>
        <w:tc>
          <w:tcPr>
            <w:tcW w:type="dxa" w:w="4680"/>
            <w:shd w:val="clear" w:color="auto" w:fill="EEF2F7"/>
          </w:tcPr>
          <w:p>
            <w:pPr>
              <w:spacing w:after="0"/>
            </w:pPr>
            <w:r>
              <w:rPr>
                <w:sz w:val="19"/>
              </w:rPr>
              <w:t>log(1 + Amount)</w:t>
            </w:r>
          </w:p>
        </w:tc>
        <w:tc>
          <w:tcPr>
            <w:tcW w:type="dxa" w:w="4680"/>
            <w:shd w:val="clear" w:color="auto" w:fill="EEF2F7"/>
          </w:tcPr>
          <w:p>
            <w:pPr>
              <w:spacing w:after="0"/>
            </w:pPr>
            <w:r>
              <w:rPr>
                <w:sz w:val="19"/>
              </w:rPr>
              <w:t>7,495.5</w:t>
            </w:r>
          </w:p>
        </w:tc>
      </w:tr>
    </w:tbl>
    <w:p/>
    <w:p>
      <w:pPr>
        <w:pStyle w:val="Heading1"/>
      </w:pPr>
      <w:r>
        <w:t>GMM experiments (notebook 03)</w:t>
      </w:r>
    </w:p>
    <w:p>
      <w:r>
        <w:t xml:space="preserve">The best setting is </w:t>
      </w:r>
      <w:r>
        <w:rPr>
          <w:b/>
        </w:rPr>
        <w:t>all 29 features with K=3</w:t>
      </w:r>
      <w:r>
        <w:t>: mean validation AP 0.549 across seeds, and 0.666 for the selected fit. Its performance depends strongly on the EM solution reached. The model fits a full-covariance GMM to standardised legitimate training data and scores each transaction by its negative log-likelihood:</w:t>
      </w:r>
    </w:p>
    <w:p>
      <w:pPr>
        <w:jc w:val="center"/>
      </w:pPr>
      <w:r>
        <w:drawing>
          <wp:inline xmlns:a="http://schemas.openxmlformats.org/drawingml/2006/main" xmlns:pic="http://schemas.openxmlformats.org/drawingml/2006/picture">
            <wp:extent cx="3291840" cy="700302"/>
            <wp:docPr id="5" name="Picture 5"/>
            <wp:cNvGraphicFramePr>
              <a:graphicFrameLocks noChangeAspect="1"/>
            </wp:cNvGraphicFramePr>
            <a:graphic>
              <a:graphicData uri="http://schemas.openxmlformats.org/drawingml/2006/picture">
                <pic:pic>
                  <pic:nvPicPr>
                    <pic:cNvPr id="0" name="eq1.png"/>
                    <pic:cNvPicPr/>
                  </pic:nvPicPr>
                  <pic:blipFill>
                    <a:blip r:embed="rId13"/>
                    <a:stretch>
                      <a:fillRect/>
                    </a:stretch>
                  </pic:blipFill>
                  <pic:spPr>
                    <a:xfrm>
                      <a:off x="0" y="0"/>
                      <a:ext cx="3291840" cy="700302"/>
                    </a:xfrm>
                    <a:prstGeom prst="rect"/>
                  </pic:spPr>
                </pic:pic>
              </a:graphicData>
            </a:graphic>
          </wp:inline>
        </w:drawing>
      </w:r>
    </w:p>
    <w:p>
      <w:r>
        <w:t>A higher score means the transaction is less like anything in the legitimate data.</w:t>
      </w:r>
    </w:p>
    <w:p>
      <w:r>
        <w:rPr>
          <w:b/>
        </w:rPr>
        <w:t>Search protocol</w:t>
      </w:r>
    </w:p>
    <w:p>
      <w:pPr>
        <w:pStyle w:val="ListBullet"/>
      </w:pPr>
      <w:r>
        <w:rPr>
          <w:b/>
        </w:rPr>
        <w:t>Feature sets:</w:t>
      </w:r>
      <w:r>
        <w:t xml:space="preserve"> all 29 (V1–V28 + Amount) and the 12-feature set from notebook 02.</w:t>
      </w:r>
    </w:p>
    <w:p>
      <w:pPr>
        <w:pStyle w:val="ListBullet"/>
      </w:pPr>
      <w:r>
        <w:rPr>
          <w:b/>
        </w:rPr>
        <w:t>Components:</w:t>
      </w:r>
      <w:r>
        <w:t xml:space="preserve"> K = 1 to 8.</w:t>
      </w:r>
    </w:p>
    <w:p>
      <w:pPr>
        <w:pStyle w:val="ListBullet"/>
      </w:pPr>
      <w:r>
        <w:rPr>
          <w:b/>
        </w:rPr>
        <w:t>Seeds:</w:t>
      </w:r>
      <w:r>
        <w:t xml:space="preserve"> 3 random seeds per (feature set, K), each fit with 5 EM restarts (</w:t>
      </w:r>
      <w:r>
        <w:rPr>
          <w:rFonts w:ascii="Consolas" w:hAnsi="Consolas" w:eastAsia="Consolas"/>
          <w:sz w:val="20"/>
        </w:rPr>
        <w:t>n_init=5</w:t>
      </w:r>
      <w:r>
        <w:t>), 144 fits in total.</w:t>
      </w:r>
    </w:p>
    <w:p>
      <w:pPr>
        <w:pStyle w:val="ListBullet"/>
      </w:pPr>
      <w:r>
        <w:rPr>
          <w:b/>
        </w:rPr>
        <w:t>Fixed settings:</w:t>
      </w:r>
      <w:r>
        <w:t xml:space="preserve"> </w:t>
      </w:r>
      <w:r>
        <w:rPr>
          <w:rFonts w:ascii="Consolas" w:hAnsi="Consolas" w:eastAsia="Consolas"/>
          <w:sz w:val="20"/>
        </w:rPr>
        <w:t>covariance_type='full'</w:t>
      </w:r>
      <w:r>
        <w:t xml:space="preserve">, </w:t>
      </w:r>
      <w:r>
        <w:rPr>
          <w:rFonts w:ascii="Consolas" w:hAnsi="Consolas" w:eastAsia="Consolas"/>
          <w:sz w:val="20"/>
        </w:rPr>
        <w:t>reg_covar=1e-5</w:t>
      </w:r>
      <w:r>
        <w:t xml:space="preserve">, </w:t>
      </w:r>
      <w:r>
        <w:rPr>
          <w:rFonts w:ascii="Consolas" w:hAnsi="Consolas" w:eastAsia="Consolas"/>
          <w:sz w:val="20"/>
        </w:rPr>
        <w:t>max_iter=200</w:t>
      </w:r>
      <w:r>
        <w:t xml:space="preserve">. Amount is log-transformed and the </w:t>
      </w:r>
      <w:r>
        <w:rPr>
          <w:rFonts w:ascii="Consolas" w:hAnsi="Consolas" w:eastAsia="Consolas"/>
          <w:sz w:val="20"/>
        </w:rPr>
        <w:t>StandardScaler</w:t>
      </w:r>
      <w:r>
        <w:t xml:space="preserve"> is fit on training data only.</w:t>
      </w:r>
    </w:p>
    <w:p>
      <w:pPr>
        <w:pStyle w:val="ListBullet"/>
      </w:pPr>
      <w:r>
        <w:rPr>
          <w:b/>
        </w:rPr>
        <w:t>Metric:</w:t>
      </w:r>
      <w:r>
        <w:t xml:space="preserve"> validation average precision (AP).</w:t>
      </w:r>
    </w:p>
    <w:p>
      <w:pPr>
        <w:pStyle w:val="ListBullet"/>
      </w:pPr>
      <w:r>
        <w:rPr>
          <w:b/>
        </w:rPr>
        <w:t>Selection rule:</w:t>
      </w:r>
      <w:r>
        <w:t xml:space="preserve"> the (feature set, K) with the highest mean validation AP is the champion. Among its seeds, the fit with the best validation AP is kept, so the seed is treated as a hyperparameter.</w:t>
      </w:r>
    </w:p>
    <w:p>
      <w:r>
        <w:t>Validation AP, mean with the min–max range across 3 seeds (random guess = 0.001):</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3A5F"/>
          </w:tcPr>
          <w:p>
            <w:pPr>
              <w:spacing w:after="0"/>
            </w:pPr>
            <w:r>
              <w:rPr>
                <w:b/>
                <w:color w:val="FFFFFF"/>
                <w:sz w:val="19"/>
              </w:rPr>
              <w:t>K</w:t>
            </w:r>
          </w:p>
        </w:tc>
        <w:tc>
          <w:tcPr>
            <w:tcW w:type="dxa" w:w="3120"/>
            <w:shd w:val="clear" w:color="auto" w:fill="1F3A5F"/>
          </w:tcPr>
          <w:p>
            <w:pPr>
              <w:spacing w:after="0"/>
            </w:pPr>
            <w:r>
              <w:rPr>
                <w:b/>
                <w:color w:val="FFFFFF"/>
                <w:sz w:val="19"/>
              </w:rPr>
              <w:t>All 29 features</w:t>
            </w:r>
          </w:p>
        </w:tc>
        <w:tc>
          <w:tcPr>
            <w:tcW w:type="dxa" w:w="3120"/>
            <w:shd w:val="clear" w:color="auto" w:fill="1F3A5F"/>
          </w:tcPr>
          <w:p>
            <w:pPr>
              <w:spacing w:after="0"/>
            </w:pPr>
            <w:r>
              <w:rPr>
                <w:b/>
                <w:color w:val="FFFFFF"/>
                <w:sz w:val="19"/>
              </w:rPr>
              <w:t>Selected 12 features</w:t>
            </w:r>
          </w:p>
        </w:tc>
      </w:tr>
      <w:tr>
        <w:tc>
          <w:tcPr>
            <w:tcW w:type="dxa" w:w="3120"/>
          </w:tcPr>
          <w:p>
            <w:pPr>
              <w:spacing w:after="0"/>
            </w:pPr>
            <w:r>
              <w:rPr>
                <w:sz w:val="19"/>
              </w:rPr>
              <w:t>1</w:t>
            </w:r>
          </w:p>
        </w:tc>
        <w:tc>
          <w:tcPr>
            <w:tcW w:type="dxa" w:w="3120"/>
          </w:tcPr>
          <w:p>
            <w:pPr>
              <w:spacing w:after="0"/>
            </w:pPr>
            <w:r>
              <w:rPr>
                <w:sz w:val="19"/>
              </w:rPr>
              <w:t>0.074 (0.074–0.074)</w:t>
            </w:r>
          </w:p>
        </w:tc>
        <w:tc>
          <w:tcPr>
            <w:tcW w:type="dxa" w:w="3120"/>
          </w:tcPr>
          <w:p>
            <w:pPr>
              <w:spacing w:after="0"/>
            </w:pPr>
            <w:r>
              <w:rPr>
                <w:sz w:val="19"/>
              </w:rPr>
              <w:t>0.266 (0.266–0.266)</w:t>
            </w:r>
          </w:p>
        </w:tc>
      </w:tr>
      <w:tr>
        <w:tc>
          <w:tcPr>
            <w:tcW w:type="dxa" w:w="3120"/>
            <w:shd w:val="clear" w:color="auto" w:fill="EEF2F7"/>
          </w:tcPr>
          <w:p>
            <w:pPr>
              <w:spacing w:after="0"/>
            </w:pPr>
            <w:r>
              <w:rPr>
                <w:sz w:val="19"/>
              </w:rPr>
              <w:t>2</w:t>
            </w:r>
          </w:p>
        </w:tc>
        <w:tc>
          <w:tcPr>
            <w:tcW w:type="dxa" w:w="3120"/>
            <w:shd w:val="clear" w:color="auto" w:fill="EEF2F7"/>
          </w:tcPr>
          <w:p>
            <w:pPr>
              <w:spacing w:after="0"/>
            </w:pPr>
            <w:r>
              <w:rPr>
                <w:sz w:val="19"/>
              </w:rPr>
              <w:t>0.176 (0.079–0.371)</w:t>
            </w:r>
          </w:p>
        </w:tc>
        <w:tc>
          <w:tcPr>
            <w:tcW w:type="dxa" w:w="3120"/>
            <w:shd w:val="clear" w:color="auto" w:fill="EEF2F7"/>
          </w:tcPr>
          <w:p>
            <w:pPr>
              <w:spacing w:after="0"/>
            </w:pPr>
            <w:r>
              <w:rPr>
                <w:sz w:val="19"/>
              </w:rPr>
              <w:t>0.205 (0.201–0.213)</w:t>
            </w:r>
          </w:p>
        </w:tc>
      </w:tr>
      <w:tr>
        <w:tc>
          <w:tcPr>
            <w:tcW w:type="dxa" w:w="3120"/>
          </w:tcPr>
          <w:p>
            <w:pPr>
              <w:spacing w:after="0"/>
            </w:pPr>
            <w:r>
              <w:rPr>
                <w:sz w:val="19"/>
              </w:rPr>
              <w:t>3</w:t>
            </w:r>
          </w:p>
        </w:tc>
        <w:tc>
          <w:tcPr>
            <w:tcW w:type="dxa" w:w="3120"/>
          </w:tcPr>
          <w:p>
            <w:pPr>
              <w:spacing w:after="0"/>
            </w:pPr>
            <w:r>
              <w:rPr>
                <w:b/>
                <w:sz w:val="19"/>
              </w:rPr>
              <w:t>0.549 (0.343–0.666)</w:t>
            </w:r>
          </w:p>
        </w:tc>
        <w:tc>
          <w:tcPr>
            <w:tcW w:type="dxa" w:w="3120"/>
          </w:tcPr>
          <w:p>
            <w:pPr>
              <w:spacing w:after="0"/>
            </w:pPr>
            <w:r>
              <w:rPr>
                <w:sz w:val="19"/>
              </w:rPr>
              <w:t>0.201 (0.199–0.205)</w:t>
            </w:r>
          </w:p>
        </w:tc>
      </w:tr>
      <w:tr>
        <w:tc>
          <w:tcPr>
            <w:tcW w:type="dxa" w:w="3120"/>
            <w:shd w:val="clear" w:color="auto" w:fill="EEF2F7"/>
          </w:tcPr>
          <w:p>
            <w:pPr>
              <w:spacing w:after="0"/>
            </w:pPr>
            <w:r>
              <w:rPr>
                <w:sz w:val="19"/>
              </w:rPr>
              <w:t>4</w:t>
            </w:r>
          </w:p>
        </w:tc>
        <w:tc>
          <w:tcPr>
            <w:tcW w:type="dxa" w:w="3120"/>
            <w:shd w:val="clear" w:color="auto" w:fill="EEF2F7"/>
          </w:tcPr>
          <w:p>
            <w:pPr>
              <w:spacing w:after="0"/>
            </w:pPr>
            <w:r>
              <w:rPr>
                <w:sz w:val="19"/>
              </w:rPr>
              <w:t>0.068 (0.065–0.074)</w:t>
            </w:r>
          </w:p>
        </w:tc>
        <w:tc>
          <w:tcPr>
            <w:tcW w:type="dxa" w:w="3120"/>
            <w:shd w:val="clear" w:color="auto" w:fill="EEF2F7"/>
          </w:tcPr>
          <w:p>
            <w:pPr>
              <w:spacing w:after="0"/>
            </w:pPr>
            <w:r>
              <w:rPr>
                <w:sz w:val="19"/>
              </w:rPr>
              <w:t>0.197 (0.197–0.198)</w:t>
            </w:r>
          </w:p>
        </w:tc>
      </w:tr>
      <w:tr>
        <w:tc>
          <w:tcPr>
            <w:tcW w:type="dxa" w:w="3120"/>
          </w:tcPr>
          <w:p>
            <w:pPr>
              <w:spacing w:after="0"/>
            </w:pPr>
            <w:r>
              <w:rPr>
                <w:sz w:val="19"/>
              </w:rPr>
              <w:t>5</w:t>
            </w:r>
          </w:p>
        </w:tc>
        <w:tc>
          <w:tcPr>
            <w:tcW w:type="dxa" w:w="3120"/>
          </w:tcPr>
          <w:p>
            <w:pPr>
              <w:spacing w:after="0"/>
            </w:pPr>
            <w:r>
              <w:rPr>
                <w:sz w:val="19"/>
              </w:rPr>
              <w:t>0.300 (0.058–0.647)</w:t>
            </w:r>
          </w:p>
        </w:tc>
        <w:tc>
          <w:tcPr>
            <w:tcW w:type="dxa" w:w="3120"/>
          </w:tcPr>
          <w:p>
            <w:pPr>
              <w:spacing w:after="0"/>
            </w:pPr>
            <w:r>
              <w:rPr>
                <w:sz w:val="19"/>
              </w:rPr>
              <w:t>0.203 (0.198–0.212)</w:t>
            </w:r>
          </w:p>
        </w:tc>
      </w:tr>
      <w:tr>
        <w:tc>
          <w:tcPr>
            <w:tcW w:type="dxa" w:w="3120"/>
            <w:shd w:val="clear" w:color="auto" w:fill="EEF2F7"/>
          </w:tcPr>
          <w:p>
            <w:pPr>
              <w:spacing w:after="0"/>
            </w:pPr>
            <w:r>
              <w:rPr>
                <w:sz w:val="19"/>
              </w:rPr>
              <w:t>6</w:t>
            </w:r>
          </w:p>
        </w:tc>
        <w:tc>
          <w:tcPr>
            <w:tcW w:type="dxa" w:w="3120"/>
            <w:shd w:val="clear" w:color="auto" w:fill="EEF2F7"/>
          </w:tcPr>
          <w:p>
            <w:pPr>
              <w:spacing w:after="0"/>
            </w:pPr>
            <w:r>
              <w:rPr>
                <w:sz w:val="19"/>
              </w:rPr>
              <w:t>0.068 (0.059–0.078)</w:t>
            </w:r>
          </w:p>
        </w:tc>
        <w:tc>
          <w:tcPr>
            <w:tcW w:type="dxa" w:w="3120"/>
            <w:shd w:val="clear" w:color="auto" w:fill="EEF2F7"/>
          </w:tcPr>
          <w:p>
            <w:pPr>
              <w:spacing w:after="0"/>
            </w:pPr>
            <w:r>
              <w:rPr>
                <w:sz w:val="19"/>
              </w:rPr>
              <w:t>0.334 (0.081–0.628)</w:t>
            </w:r>
          </w:p>
        </w:tc>
      </w:tr>
      <w:tr>
        <w:tc>
          <w:tcPr>
            <w:tcW w:type="dxa" w:w="3120"/>
          </w:tcPr>
          <w:p>
            <w:pPr>
              <w:spacing w:after="0"/>
            </w:pPr>
            <w:r>
              <w:rPr>
                <w:sz w:val="19"/>
              </w:rPr>
              <w:t>7</w:t>
            </w:r>
          </w:p>
        </w:tc>
        <w:tc>
          <w:tcPr>
            <w:tcW w:type="dxa" w:w="3120"/>
          </w:tcPr>
          <w:p>
            <w:pPr>
              <w:spacing w:after="0"/>
            </w:pPr>
            <w:r>
              <w:rPr>
                <w:sz w:val="19"/>
              </w:rPr>
              <w:t>0.196 (0.128–0.232)</w:t>
            </w:r>
          </w:p>
        </w:tc>
        <w:tc>
          <w:tcPr>
            <w:tcW w:type="dxa" w:w="3120"/>
          </w:tcPr>
          <w:p>
            <w:pPr>
              <w:spacing w:after="0"/>
            </w:pPr>
            <w:r>
              <w:rPr>
                <w:sz w:val="19"/>
              </w:rPr>
              <w:t>0.067 (0.065–0.069)</w:t>
            </w:r>
          </w:p>
        </w:tc>
      </w:tr>
      <w:tr>
        <w:tc>
          <w:tcPr>
            <w:tcW w:type="dxa" w:w="3120"/>
            <w:shd w:val="clear" w:color="auto" w:fill="EEF2F7"/>
          </w:tcPr>
          <w:p>
            <w:pPr>
              <w:spacing w:after="0"/>
            </w:pPr>
            <w:r>
              <w:rPr>
                <w:sz w:val="19"/>
              </w:rPr>
              <w:t>8</w:t>
            </w:r>
          </w:p>
        </w:tc>
        <w:tc>
          <w:tcPr>
            <w:tcW w:type="dxa" w:w="3120"/>
            <w:shd w:val="clear" w:color="auto" w:fill="EEF2F7"/>
          </w:tcPr>
          <w:p>
            <w:pPr>
              <w:spacing w:after="0"/>
            </w:pPr>
            <w:r>
              <w:rPr>
                <w:sz w:val="19"/>
              </w:rPr>
              <w:t>0.323 (0.246–0.419)</w:t>
            </w:r>
          </w:p>
        </w:tc>
        <w:tc>
          <w:tcPr>
            <w:tcW w:type="dxa" w:w="3120"/>
            <w:shd w:val="clear" w:color="auto" w:fill="EEF2F7"/>
          </w:tcPr>
          <w:p>
            <w:pPr>
              <w:spacing w:after="0"/>
            </w:pPr>
            <w:r>
              <w:rPr>
                <w:sz w:val="19"/>
              </w:rPr>
              <w:t>0.075 (0.065–0.095)</w:t>
            </w:r>
          </w:p>
        </w:tc>
      </w:tr>
    </w:tbl>
    <w:p/>
    <w:p>
      <w:pPr>
        <w:jc w:val="center"/>
      </w:pPr>
      <w:r>
        <w:drawing>
          <wp:inline xmlns:a="http://schemas.openxmlformats.org/drawingml/2006/main" xmlns:pic="http://schemas.openxmlformats.org/drawingml/2006/picture">
            <wp:extent cx="5486400" cy="2057400"/>
            <wp:docPr id="6" name="Picture 6"/>
            <wp:cNvGraphicFramePr>
              <a:graphicFrameLocks noChangeAspect="1"/>
            </wp:cNvGraphicFramePr>
            <a:graphic>
              <a:graphicData uri="http://schemas.openxmlformats.org/drawingml/2006/picture">
                <pic:pic>
                  <pic:nvPicPr>
                    <pic:cNvPr id="0" name="fig5_gmm_component_selection.png"/>
                    <pic:cNvPicPr/>
                  </pic:nvPicPr>
                  <pic:blipFill>
                    <a:blip r:embed="rId14"/>
                    <a:stretch>
                      <a:fillRect/>
                    </a:stretch>
                  </pic:blipFill>
                  <pic:spPr>
                    <a:xfrm>
                      <a:off x="0" y="0"/>
                      <a:ext cx="5486400" cy="2057400"/>
                    </a:xfrm>
                    <a:prstGeom prst="rect"/>
                  </pic:spPr>
                </pic:pic>
              </a:graphicData>
            </a:graphic>
          </wp:inline>
        </w:drawing>
      </w:r>
    </w:p>
    <w:p>
      <w:pPr>
        <w:jc w:val="center"/>
      </w:pPr>
      <w:r>
        <w:rPr>
          <w:i/>
          <w:color w:val="555555"/>
          <w:sz w:val="19"/>
        </w:rPr>
        <w:t>Figure 5. BIC and validation AP by number of components, both feature sets</w:t>
      </w:r>
    </w:p>
    <w:p>
      <w:r>
        <w:rPr>
          <w:b/>
        </w:rPr>
        <w:t>Key findings</w:t>
      </w:r>
    </w:p>
    <w:p>
      <w:pPr>
        <w:pStyle w:val="ListNumber"/>
      </w:pPr>
      <w:r>
        <w:rPr>
          <w:b/>
        </w:rPr>
        <w:t>EM solutions differ sharply in fraud-ranking quality.</w:t>
      </w:r>
      <w:r>
        <w:t xml:space="preserve"> For all-29 K=3, the three seeds give 0.343, 0.638 and 0.666 validation AP. All-29 K=5 ranges from 0.058 to 0.647, and selected-12 K=6 from 0.081 to 0.628. A single-seed result can be badly misleading in either direction.</w:t>
      </w:r>
    </w:p>
    <w:p>
      <w:pPr>
        <w:pStyle w:val="ListNumber"/>
      </w:pPr>
      <w:r>
        <w:rPr>
          <w:b/>
        </w:rPr>
        <w:t>Likelihood-based criteria do not identify good fraud rankers.</w:t>
      </w:r>
      <w:r>
        <w:t xml:space="preserve"> BIC falls steadily up to K=8 for both feature sets. For all 29 features it turns negative from K=4, because some components collapse onto near-identical points and their likelihood explodes. Fits with the highest training likelihood often rank fraud poorly, so model choice relies on validation AP.</w:t>
      </w:r>
    </w:p>
    <w:p>
      <w:pPr>
        <w:pStyle w:val="ListNumber"/>
      </w:pPr>
      <w:r>
        <w:rPr>
          <w:b/>
        </w:rPr>
        <w:t>Feature selection gives stability, not peak performance.</w:t>
      </w:r>
      <w:r>
        <w:t xml:space="preserve"> The 12-feature set is very stable for K = 1–5 (AP about 0.20–0.27). At K=3, however, the full 29 features reach much higher AP: dimensions that look uninformative one at a time still help separate fraud once the mixture structure is right.</w:t>
      </w:r>
    </w:p>
    <w:p>
      <w:r>
        <w:rPr>
          <w:b/>
        </w:rPr>
        <w:t>Champion:</w:t>
      </w:r>
      <w:r>
        <w:t xml:space="preserve"> all 29 features, K=3, seed 2, validation AP 0.666. It is saved with its scaler and feature list in </w:t>
      </w:r>
      <w:r>
        <w:rPr>
          <w:rFonts w:ascii="Consolas" w:hAnsi="Consolas" w:eastAsia="Consolas"/>
          <w:sz w:val="20"/>
        </w:rPr>
        <w:t>results/models/</w:t>
      </w:r>
      <w:r>
        <w:t>.</w:t>
      </w:r>
    </w:p>
    <w:p>
      <w:pPr>
        <w:pStyle w:val="Heading1"/>
      </w:pPr>
      <w:r>
        <w:t>Test evaluation (notebook 04)</w:t>
      </w:r>
    </w:p>
    <w:p>
      <w:r>
        <w:t>On the untouched test period, the champion GMM catches 75.7% of fraud at a 0.28% false-alarm rate, and 84% of its top 50 alerts are fraud. The alarm threshold (NLL ≥ 94.68) was fixed on validation as the 99.5th percentile of legitimate scores, targeting at most 0.5% false alarms, then applied once to test. Confidence intervals come from 1,000 bootstrap resamples of the test set with the threshold held fixed.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3A5F"/>
          </w:tcPr>
          <w:p>
            <w:pPr>
              <w:spacing w:after="0"/>
            </w:pPr>
            <w:r>
              <w:rPr>
                <w:b/>
                <w:color w:val="FFFFFF"/>
                <w:sz w:val="19"/>
              </w:rPr>
              <w:t>Metric</w:t>
            </w:r>
          </w:p>
        </w:tc>
        <w:tc>
          <w:tcPr>
            <w:tcW w:type="dxa" w:w="3120"/>
            <w:shd w:val="clear" w:color="auto" w:fill="1F3A5F"/>
          </w:tcPr>
          <w:p>
            <w:pPr>
              <w:spacing w:after="0"/>
            </w:pPr>
            <w:r>
              <w:rPr>
                <w:b/>
                <w:color w:val="FFFFFF"/>
                <w:sz w:val="19"/>
              </w:rPr>
              <w:t>Test value</w:t>
            </w:r>
          </w:p>
        </w:tc>
        <w:tc>
          <w:tcPr>
            <w:tcW w:type="dxa" w:w="3120"/>
            <w:shd w:val="clear" w:color="auto" w:fill="1F3A5F"/>
          </w:tcPr>
          <w:p>
            <w:pPr>
              <w:spacing w:after="0"/>
            </w:pPr>
            <w:r>
              <w:rPr>
                <w:b/>
                <w:color w:val="FFFFFF"/>
                <w:sz w:val="19"/>
              </w:rPr>
              <w:t>95% CI</w:t>
            </w:r>
          </w:p>
        </w:tc>
      </w:tr>
      <w:tr>
        <w:tc>
          <w:tcPr>
            <w:tcW w:type="dxa" w:w="3120"/>
          </w:tcPr>
          <w:p>
            <w:pPr>
              <w:spacing w:after="0"/>
            </w:pPr>
            <w:r>
              <w:rPr>
                <w:sz w:val="19"/>
              </w:rPr>
              <w:t>Average precision</w:t>
            </w:r>
          </w:p>
        </w:tc>
        <w:tc>
          <w:tcPr>
            <w:tcW w:type="dxa" w:w="3120"/>
          </w:tcPr>
          <w:p>
            <w:pPr>
              <w:spacing w:after="0"/>
            </w:pPr>
            <w:r>
              <w:rPr>
                <w:sz w:val="19"/>
              </w:rPr>
              <w:t>0.612 (random: 0.0013)</w:t>
            </w:r>
          </w:p>
        </w:tc>
        <w:tc>
          <w:tcPr>
            <w:tcW w:type="dxa" w:w="3120"/>
          </w:tcPr>
          <w:p>
            <w:pPr>
              <w:spacing w:after="0"/>
            </w:pPr>
            <w:r>
              <w:rPr>
                <w:sz w:val="19"/>
              </w:rPr>
              <w:t>0.485–0.743</w:t>
            </w:r>
          </w:p>
        </w:tc>
      </w:tr>
      <w:tr>
        <w:tc>
          <w:tcPr>
            <w:tcW w:type="dxa" w:w="3120"/>
            <w:shd w:val="clear" w:color="auto" w:fill="EEF2F7"/>
          </w:tcPr>
          <w:p>
            <w:pPr>
              <w:spacing w:after="0"/>
            </w:pPr>
            <w:r>
              <w:rPr>
                <w:sz w:val="19"/>
              </w:rPr>
              <w:t>PR-AUC, trapezoidal</w:t>
            </w:r>
          </w:p>
        </w:tc>
        <w:tc>
          <w:tcPr>
            <w:tcW w:type="dxa" w:w="3120"/>
            <w:shd w:val="clear" w:color="auto" w:fill="EEF2F7"/>
          </w:tcPr>
          <w:p>
            <w:pPr>
              <w:spacing w:after="0"/>
            </w:pPr>
            <w:r>
              <w:rPr>
                <w:sz w:val="19"/>
              </w:rPr>
              <w:t>0.608</w:t>
            </w:r>
          </w:p>
        </w:tc>
        <w:tc>
          <w:tcPr>
            <w:tcW w:type="dxa" w:w="3120"/>
            <w:shd w:val="clear" w:color="auto" w:fill="EEF2F7"/>
          </w:tcPr>
          <w:p>
            <w:pPr>
              <w:spacing w:after="0"/>
            </w:pPr>
            <w:r>
              <w:rPr>
                <w:sz w:val="19"/>
              </w:rPr>
              <w:t>—</w:t>
            </w:r>
          </w:p>
        </w:tc>
      </w:tr>
      <w:tr>
        <w:tc>
          <w:tcPr>
            <w:tcW w:type="dxa" w:w="3120"/>
          </w:tcPr>
          <w:p>
            <w:pPr>
              <w:spacing w:after="0"/>
            </w:pPr>
            <w:r>
              <w:rPr>
                <w:sz w:val="19"/>
              </w:rPr>
              <w:t>ROC-AUC</w:t>
            </w:r>
          </w:p>
        </w:tc>
        <w:tc>
          <w:tcPr>
            <w:tcW w:type="dxa" w:w="3120"/>
          </w:tcPr>
          <w:p>
            <w:pPr>
              <w:spacing w:after="0"/>
            </w:pPr>
            <w:r>
              <w:rPr>
                <w:sz w:val="19"/>
              </w:rPr>
              <w:t>0.923</w:t>
            </w:r>
          </w:p>
        </w:tc>
        <w:tc>
          <w:tcPr>
            <w:tcW w:type="dxa" w:w="3120"/>
          </w:tcPr>
          <w:p>
            <w:pPr>
              <w:spacing w:after="0"/>
            </w:pPr>
            <w:r>
              <w:rPr>
                <w:sz w:val="19"/>
              </w:rPr>
              <w:t>0.879–0.962</w:t>
            </w:r>
          </w:p>
        </w:tc>
      </w:tr>
      <w:tr>
        <w:tc>
          <w:tcPr>
            <w:tcW w:type="dxa" w:w="3120"/>
            <w:shd w:val="clear" w:color="auto" w:fill="EEF2F7"/>
          </w:tcPr>
          <w:p>
            <w:pPr>
              <w:spacing w:after="0"/>
            </w:pPr>
            <w:r>
              <w:rPr>
                <w:sz w:val="19"/>
              </w:rPr>
              <w:t>Recall at the 0.5% FPR threshold</w:t>
            </w:r>
          </w:p>
        </w:tc>
        <w:tc>
          <w:tcPr>
            <w:tcW w:type="dxa" w:w="3120"/>
            <w:shd w:val="clear" w:color="auto" w:fill="EEF2F7"/>
          </w:tcPr>
          <w:p>
            <w:pPr>
              <w:spacing w:after="0"/>
            </w:pPr>
            <w:r>
              <w:rPr>
                <w:sz w:val="19"/>
              </w:rPr>
              <w:t>75.7% (56 of 74)</w:t>
            </w:r>
          </w:p>
        </w:tc>
        <w:tc>
          <w:tcPr>
            <w:tcW w:type="dxa" w:w="3120"/>
            <w:shd w:val="clear" w:color="auto" w:fill="EEF2F7"/>
          </w:tcPr>
          <w:p>
            <w:pPr>
              <w:spacing w:after="0"/>
            </w:pPr>
            <w:r>
              <w:rPr>
                <w:sz w:val="19"/>
              </w:rPr>
              <w:t>65.8–84.7%</w:t>
            </w:r>
          </w:p>
        </w:tc>
      </w:tr>
      <w:tr>
        <w:tc>
          <w:tcPr>
            <w:tcW w:type="dxa" w:w="3120"/>
          </w:tcPr>
          <w:p>
            <w:pPr>
              <w:spacing w:after="0"/>
            </w:pPr>
            <w:r>
              <w:rPr>
                <w:sz w:val="19"/>
              </w:rPr>
              <w:t>Realised false-positive rate</w:t>
            </w:r>
          </w:p>
        </w:tc>
        <w:tc>
          <w:tcPr>
            <w:tcW w:type="dxa" w:w="3120"/>
          </w:tcPr>
          <w:p>
            <w:pPr>
              <w:spacing w:after="0"/>
            </w:pPr>
            <w:r>
              <w:rPr>
                <w:sz w:val="19"/>
              </w:rPr>
              <w:t>0.28% (158 of 56,672)</w:t>
            </w:r>
          </w:p>
        </w:tc>
        <w:tc>
          <w:tcPr>
            <w:tcW w:type="dxa" w:w="3120"/>
          </w:tcPr>
          <w:p>
            <w:pPr>
              <w:spacing w:after="0"/>
            </w:pPr>
            <w:r>
              <w:rPr>
                <w:sz w:val="19"/>
              </w:rPr>
              <w:t>—</w:t>
            </w:r>
          </w:p>
        </w:tc>
      </w:tr>
      <w:tr>
        <w:tc>
          <w:tcPr>
            <w:tcW w:type="dxa" w:w="3120"/>
            <w:shd w:val="clear" w:color="auto" w:fill="EEF2F7"/>
          </w:tcPr>
          <w:p>
            <w:pPr>
              <w:spacing w:after="0"/>
            </w:pPr>
            <w:r>
              <w:rPr>
                <w:sz w:val="19"/>
              </w:rPr>
              <w:t>Precision of all 214 alerts</w:t>
            </w:r>
          </w:p>
        </w:tc>
        <w:tc>
          <w:tcPr>
            <w:tcW w:type="dxa" w:w="3120"/>
            <w:shd w:val="clear" w:color="auto" w:fill="EEF2F7"/>
          </w:tcPr>
          <w:p>
            <w:pPr>
              <w:spacing w:after="0"/>
            </w:pPr>
            <w:r>
              <w:rPr>
                <w:sz w:val="19"/>
              </w:rPr>
              <w:t>26.2%</w:t>
            </w:r>
          </w:p>
        </w:tc>
        <w:tc>
          <w:tcPr>
            <w:tcW w:type="dxa" w:w="3120"/>
            <w:shd w:val="clear" w:color="auto" w:fill="EEF2F7"/>
          </w:tcPr>
          <w:p>
            <w:pPr>
              <w:spacing w:after="0"/>
            </w:pPr>
            <w:r>
              <w:rPr>
                <w:sz w:val="19"/>
              </w:rPr>
              <w:t>—</w:t>
            </w:r>
          </w:p>
        </w:tc>
      </w:tr>
    </w:tbl>
    <w:p/>
    <w:p>
      <w:r>
        <w:rPr>
          <w:b/>
        </w:rPr>
        <w:t>Scenario A: fixed false-alarm budget.</w:t>
      </w:r>
      <w:r>
        <w:t xml:space="preserve"> The realised false-positive rate (0.28%) came in under the 0.5% target, so the threshold transferred conservatively from validation to test. Analysts would review 214 alerts to find 56 frauds, about one real fraud in every four alerts, and 18 frauds pass undetected.</w:t>
      </w:r>
    </w:p>
    <w:p>
      <w:pPr>
        <w:jc w:val="center"/>
      </w:pPr>
      <w:r>
        <w:drawing>
          <wp:inline xmlns:a="http://schemas.openxmlformats.org/drawingml/2006/main" xmlns:pic="http://schemas.openxmlformats.org/drawingml/2006/picture">
            <wp:extent cx="4754880" cy="3803904"/>
            <wp:docPr id="7" name="Picture 7"/>
            <wp:cNvGraphicFramePr>
              <a:graphicFrameLocks noChangeAspect="1"/>
            </wp:cNvGraphicFramePr>
            <a:graphic>
              <a:graphicData uri="http://schemas.openxmlformats.org/drawingml/2006/picture">
                <pic:pic>
                  <pic:nvPicPr>
                    <pic:cNvPr id="0" name="fig7_gmm_test_confusion_matrix.png"/>
                    <pic:cNvPicPr/>
                  </pic:nvPicPr>
                  <pic:blipFill>
                    <a:blip r:embed="rId15"/>
                    <a:stretch>
                      <a:fillRect/>
                    </a:stretch>
                  </pic:blipFill>
                  <pic:spPr>
                    <a:xfrm>
                      <a:off x="0" y="0"/>
                      <a:ext cx="4754880" cy="3803904"/>
                    </a:xfrm>
                    <a:prstGeom prst="rect"/>
                  </pic:spPr>
                </pic:pic>
              </a:graphicData>
            </a:graphic>
          </wp:inline>
        </w:drawing>
      </w:r>
    </w:p>
    <w:p>
      <w:pPr>
        <w:jc w:val="center"/>
      </w:pPr>
      <w:r>
        <w:rPr>
          <w:i/>
          <w:color w:val="555555"/>
          <w:sz w:val="19"/>
        </w:rPr>
        <w:t>Figure 6. Test confusion matrix at the 0.5% false-alarm budget</w:t>
      </w:r>
    </w:p>
    <w:p>
      <w:r>
        <w:rPr>
          <w:b/>
        </w:rPr>
        <w:t>Scenario B: fixed analyst capacity.</w:t>
      </w:r>
      <w:r>
        <w:t xml:space="preserve"> If the team can only review the k highest-scored transactions: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3A5F"/>
          </w:tcPr>
          <w:p>
            <w:pPr>
              <w:spacing w:after="0"/>
            </w:pPr>
            <w:r>
              <w:rPr>
                <w:b/>
                <w:color w:val="FFFFFF"/>
                <w:sz w:val="19"/>
              </w:rPr>
              <w:t>Alerts reviewed</w:t>
            </w:r>
          </w:p>
        </w:tc>
        <w:tc>
          <w:tcPr>
            <w:tcW w:type="dxa" w:w="2340"/>
            <w:shd w:val="clear" w:color="auto" w:fill="1F3A5F"/>
          </w:tcPr>
          <w:p>
            <w:pPr>
              <w:spacing w:after="0"/>
            </w:pPr>
            <w:r>
              <w:rPr>
                <w:b/>
                <w:color w:val="FFFFFF"/>
                <w:sz w:val="19"/>
              </w:rPr>
              <w:t>Real frauds found</w:t>
            </w:r>
          </w:p>
        </w:tc>
        <w:tc>
          <w:tcPr>
            <w:tcW w:type="dxa" w:w="2340"/>
            <w:shd w:val="clear" w:color="auto" w:fill="1F3A5F"/>
          </w:tcPr>
          <w:p>
            <w:pPr>
              <w:spacing w:after="0"/>
            </w:pPr>
            <w:r>
              <w:rPr>
                <w:b/>
                <w:color w:val="FFFFFF"/>
                <w:sz w:val="19"/>
              </w:rPr>
              <w:t>Precision</w:t>
            </w:r>
          </w:p>
        </w:tc>
        <w:tc>
          <w:tcPr>
            <w:tcW w:type="dxa" w:w="2340"/>
            <w:shd w:val="clear" w:color="auto" w:fill="1F3A5F"/>
          </w:tcPr>
          <w:p>
            <w:pPr>
              <w:spacing w:after="0"/>
            </w:pPr>
            <w:r>
              <w:rPr>
                <w:b/>
                <w:color w:val="FFFFFF"/>
                <w:sz w:val="19"/>
              </w:rPr>
              <w:t>Share of all 74 test frauds</w:t>
            </w:r>
          </w:p>
        </w:tc>
      </w:tr>
      <w:tr>
        <w:tc>
          <w:tcPr>
            <w:tcW w:type="dxa" w:w="2340"/>
          </w:tcPr>
          <w:p>
            <w:pPr>
              <w:spacing w:after="0"/>
            </w:pPr>
            <w:r>
              <w:rPr>
                <w:sz w:val="19"/>
              </w:rPr>
              <w:t>Top 25</w:t>
            </w:r>
          </w:p>
        </w:tc>
        <w:tc>
          <w:tcPr>
            <w:tcW w:type="dxa" w:w="2340"/>
          </w:tcPr>
          <w:p>
            <w:pPr>
              <w:spacing w:after="0"/>
            </w:pPr>
            <w:r>
              <w:rPr>
                <w:sz w:val="19"/>
              </w:rPr>
              <w:t>18</w:t>
            </w:r>
          </w:p>
        </w:tc>
        <w:tc>
          <w:tcPr>
            <w:tcW w:type="dxa" w:w="2340"/>
          </w:tcPr>
          <w:p>
            <w:pPr>
              <w:spacing w:after="0"/>
            </w:pPr>
            <w:r>
              <w:rPr>
                <w:sz w:val="19"/>
              </w:rPr>
              <w:t>72%</w:t>
            </w:r>
          </w:p>
        </w:tc>
        <w:tc>
          <w:tcPr>
            <w:tcW w:type="dxa" w:w="2340"/>
          </w:tcPr>
          <w:p>
            <w:pPr>
              <w:spacing w:after="0"/>
            </w:pPr>
            <w:r>
              <w:rPr>
                <w:sz w:val="19"/>
              </w:rPr>
              <w:t>24%</w:t>
            </w:r>
          </w:p>
        </w:tc>
      </w:tr>
      <w:tr>
        <w:tc>
          <w:tcPr>
            <w:tcW w:type="dxa" w:w="2340"/>
            <w:shd w:val="clear" w:color="auto" w:fill="EEF2F7"/>
          </w:tcPr>
          <w:p>
            <w:pPr>
              <w:spacing w:after="0"/>
            </w:pPr>
            <w:r>
              <w:rPr>
                <w:sz w:val="19"/>
              </w:rPr>
              <w:t>Top 50</w:t>
            </w:r>
          </w:p>
        </w:tc>
        <w:tc>
          <w:tcPr>
            <w:tcW w:type="dxa" w:w="2340"/>
            <w:shd w:val="clear" w:color="auto" w:fill="EEF2F7"/>
          </w:tcPr>
          <w:p>
            <w:pPr>
              <w:spacing w:after="0"/>
            </w:pPr>
            <w:r>
              <w:rPr>
                <w:sz w:val="19"/>
              </w:rPr>
              <w:t>42</w:t>
            </w:r>
          </w:p>
        </w:tc>
        <w:tc>
          <w:tcPr>
            <w:tcW w:type="dxa" w:w="2340"/>
            <w:shd w:val="clear" w:color="auto" w:fill="EEF2F7"/>
          </w:tcPr>
          <w:p>
            <w:pPr>
              <w:spacing w:after="0"/>
            </w:pPr>
            <w:r>
              <w:rPr>
                <w:sz w:val="19"/>
              </w:rPr>
              <w:t>84% (95% CI 70–94%)</w:t>
            </w:r>
          </w:p>
        </w:tc>
        <w:tc>
          <w:tcPr>
            <w:tcW w:type="dxa" w:w="2340"/>
            <w:shd w:val="clear" w:color="auto" w:fill="EEF2F7"/>
          </w:tcPr>
          <w:p>
            <w:pPr>
              <w:spacing w:after="0"/>
            </w:pPr>
            <w:r>
              <w:rPr>
                <w:sz w:val="19"/>
              </w:rPr>
              <w:t>57%</w:t>
            </w:r>
          </w:p>
        </w:tc>
      </w:tr>
      <w:tr>
        <w:tc>
          <w:tcPr>
            <w:tcW w:type="dxa" w:w="2340"/>
          </w:tcPr>
          <w:p>
            <w:pPr>
              <w:spacing w:after="0"/>
            </w:pPr>
            <w:r>
              <w:rPr>
                <w:sz w:val="19"/>
              </w:rPr>
              <w:t>Top 100</w:t>
            </w:r>
          </w:p>
        </w:tc>
        <w:tc>
          <w:tcPr>
            <w:tcW w:type="dxa" w:w="2340"/>
          </w:tcPr>
          <w:p>
            <w:pPr>
              <w:spacing w:after="0"/>
            </w:pPr>
            <w:r>
              <w:rPr>
                <w:sz w:val="19"/>
              </w:rPr>
              <w:t>56</w:t>
            </w:r>
          </w:p>
        </w:tc>
        <w:tc>
          <w:tcPr>
            <w:tcW w:type="dxa" w:w="2340"/>
          </w:tcPr>
          <w:p>
            <w:pPr>
              <w:spacing w:after="0"/>
            </w:pPr>
            <w:r>
              <w:rPr>
                <w:sz w:val="19"/>
              </w:rPr>
              <w:t>56%</w:t>
            </w:r>
          </w:p>
        </w:tc>
        <w:tc>
          <w:tcPr>
            <w:tcW w:type="dxa" w:w="2340"/>
          </w:tcPr>
          <w:p>
            <w:pPr>
              <w:spacing w:after="0"/>
            </w:pPr>
            <w:r>
              <w:rPr>
                <w:sz w:val="19"/>
              </w:rPr>
              <w:t>76%</w:t>
            </w:r>
          </w:p>
        </w:tc>
      </w:tr>
    </w:tbl>
    <w:p/>
    <w:p>
      <w:r>
        <w:rPr>
          <w:b/>
        </w:rPr>
        <w:t>Shape of the ranking.</w:t>
      </w:r>
      <w:r>
        <w:t xml:space="preserve"> Precision stays between about 0.7 and 0.85 up to roughly 75% recall, then collapses. About three quarters of the frauds receive clearly anomalous scores. The rest score like ordinary transactions and sit deep in the ranking, which is why ROC-AUC (0.923) is modest next to the strong top-of-queue precision.</w:t>
      </w:r>
    </w:p>
    <w:p>
      <w:pPr>
        <w:jc w:val="center"/>
      </w:pPr>
      <w:r>
        <w:drawing>
          <wp:inline xmlns:a="http://schemas.openxmlformats.org/drawingml/2006/main" xmlns:pic="http://schemas.openxmlformats.org/drawingml/2006/picture">
            <wp:extent cx="4754880" cy="3056709"/>
            <wp:docPr id="8" name="Picture 8"/>
            <wp:cNvGraphicFramePr>
              <a:graphicFrameLocks noChangeAspect="1"/>
            </wp:cNvGraphicFramePr>
            <a:graphic>
              <a:graphicData uri="http://schemas.openxmlformats.org/drawingml/2006/picture">
                <pic:pic>
                  <pic:nvPicPr>
                    <pic:cNvPr id="0" name="fig6_gmm_test_pr_curve.png"/>
                    <pic:cNvPicPr/>
                  </pic:nvPicPr>
                  <pic:blipFill>
                    <a:blip r:embed="rId16"/>
                    <a:stretch>
                      <a:fillRect/>
                    </a:stretch>
                  </pic:blipFill>
                  <pic:spPr>
                    <a:xfrm>
                      <a:off x="0" y="0"/>
                      <a:ext cx="4754880" cy="3056709"/>
                    </a:xfrm>
                    <a:prstGeom prst="rect"/>
                  </pic:spPr>
                </pic:pic>
              </a:graphicData>
            </a:graphic>
          </wp:inline>
        </w:drawing>
      </w:r>
    </w:p>
    <w:p>
      <w:pPr>
        <w:jc w:val="center"/>
      </w:pPr>
      <w:r>
        <w:rPr>
          <w:i/>
          <w:color w:val="555555"/>
          <w:sz w:val="19"/>
        </w:rPr>
        <w:t>Figure 7. Precision–recall curve on the test set</w:t>
      </w:r>
    </w:p>
    <w:p>
      <w:r>
        <w:t>Test AP (0.612) is slightly below the selected fit’s validation AP (0.666) and inside its bootstrap interval, consistent with a model that generalises across the time split. With 74 test frauds, the confidence intervals are wide: test AP is known only to within about ±0.13.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 Fraud Triage — Phase 1 GMM Report</dc:title>
  <dc:subject/>
  <dc:creator>Team T047</dc:creator>
  <cp:keywords/>
  <dc:description>generated by python-docx</dc:description>
  <cp:lastModifiedBy/>
  <cp:revision>1</cp:revision>
  <dcterms:created xsi:type="dcterms:W3CDTF">2013-12-23T23:15:00Z</dcterms:created>
  <dcterms:modified xsi:type="dcterms:W3CDTF">2013-12-23T23:15:00Z</dcterms:modified>
  <cp:category/>
</cp:coreProperties>
</file>