
<file path=[Content_Types].xml><?xml version="1.0" encoding="utf-8"?>
<Types xmlns="http://schemas.openxmlformats.org/package/2006/content-types">
  <Default ContentType="application/vnd.openxmlformats-officedocument.obfuscatedFont" Extension="odttf"/>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spacing w:after="120" w:before="120" w:line="336" w:lineRule="auto"/>
        <w:ind w:firstLine="0" w:start="0"/>
        <w:jc w:val="start"/>
      </w:pPr>
      <w:r>
        <w:rPr>
          <w:rFonts w:ascii="Arial Bold" w:hAnsi="Arial Bold" w:cs="Arial Bold" w:eastAsia="Arial Bold"/>
          <w:b/>
          <w:bCs/>
          <w:color w:val="ffffff"/>
          <w:sz w:val="22"/>
          <w:szCs w:val="22"/>
        </w:rPr>
        <w:t>NEWTON SCHOOL OF TECHNOLOGY  |  DVA CAPSTONE PROJECT</w:t>
      </w:r>
      <w:r>
        <w:rPr>
          <w:rFonts w:ascii="Arimo" w:hAnsi="Arimo" w:cs="Arimo" w:eastAsia="Arimo"/>
          <w:color w:val="000000"/>
          <w:sz w:val="24"/>
          <w:szCs w:val="24"/>
        </w:rPr>
        <w:t xml:space="preserve">
</w:t>
      </w:r>
    </w:p>
    <w:p>
      <w:pPr>
        <w:spacing w:after="120" w:before="120" w:line="336" w:lineRule="auto"/>
        <w:ind w:firstLine="0" w:start="0"/>
        <w:jc w:val="start"/>
      </w:pPr>
      <w:r>
        <w:rPr>
          <w:rFonts w:ascii="Arial Italics" w:hAnsi="Arial Italics" w:cs="Arial Italics" w:eastAsia="Arial Italics"/>
          <w:i/>
          <w:iCs/>
          <w:color w:val="ffffff"/>
          <w:sz w:val="18"/>
          <w:szCs w:val="18"/>
        </w:rPr>
        <w:t xml:space="preserve">      Data &amp; Visual Analytics  |  Final Project Re</w:t>
      </w:r>
      <w:r>
        <w:rPr>
          <w:rFonts w:ascii="Arial Italics" w:hAnsi="Arial Italics" w:cs="Arial Italics" w:eastAsia="Arial Italics"/>
          <w:i/>
          <w:iCs/>
          <w:color w:val="ffffff"/>
          <w:sz w:val="18"/>
          <w:szCs w:val="18"/>
        </w:rPr>
        <w:t xml:space="preserve">
</w:t>
      </w:r>
    </w:p>
    <w:p>
      <w:pPr>
        <w:spacing w:after="120" w:before="120" w:line="336" w:lineRule="auto"/>
        <w:ind w:firstLine="0" w:start="0"/>
        <w:jc w:val="center"/>
      </w:pPr>
      <w:r>
        <w:rPr>
          <w:rFonts w:ascii="Arial Bold" w:hAnsi="Arial Bold" w:cs="Arial Bold" w:eastAsia="Arial Bold"/>
          <w:b/>
          <w:bCs/>
          <w:color w:val="1f4e79"/>
          <w:sz w:val="60"/>
          <w:szCs w:val="60"/>
        </w:rPr>
        <w:t>FINAL PROJECT REPORT</w:t>
      </w:r>
      <w:r>
        <w:rPr>
          <w:rFonts w:ascii="Arimo" w:hAnsi="Arimo" w:cs="Arimo" w:eastAsia="Arimo"/>
          <w:color w:val="000000"/>
          <w:sz w:val="24"/>
          <w:szCs w:val="24"/>
        </w:rPr>
        <w:t xml:space="preserve">
</w:t>
      </w:r>
    </w:p>
    <w:p>
      <w:pPr>
        <w:spacing w:after="120" w:before="120" w:line="336" w:lineRule="auto"/>
        <w:ind w:firstLine="0" w:start="0"/>
        <w:jc w:val="center"/>
      </w:pPr>
      <w:r>
        <w:rPr>
          <w:rFonts w:ascii="Arial Bold" w:hAnsi="Arial Bold" w:cs="Arial Bold" w:eastAsia="Arial Bold"/>
          <w:b/>
          <w:bCs/>
          <w:color w:val="2e75b6"/>
          <w:sz w:val="40"/>
          <w:szCs w:val="40"/>
        </w:rPr>
        <w:t>Retail Sales Analytics</w:t>
      </w:r>
      <w:r>
        <w:rPr>
          <w:rFonts w:ascii="Arimo" w:hAnsi="Arimo" w:cs="Arimo" w:eastAsia="Arimo"/>
          <w:color w:val="000000"/>
          <w:sz w:val="24"/>
          <w:szCs w:val="24"/>
        </w:rPr>
        <w:t xml:space="preserve">
</w:t>
      </w:r>
    </w:p>
    <w:p>
      <w:pPr>
        <w:spacing w:after="120" w:before="120" w:line="336" w:lineRule="auto"/>
        <w:ind w:firstLine="0" w:start="0"/>
        <w:jc w:val="center"/>
      </w:pPr>
      <w:r>
        <w:rPr>
          <w:rFonts w:ascii="Arial Italics" w:hAnsi="Arial Italics" w:cs="Arial Italics" w:eastAsia="Arial Italics"/>
          <w:i/>
          <w:iCs/>
          <w:color w:val="555555"/>
          <w:sz w:val="24"/>
          <w:szCs w:val="24"/>
        </w:rPr>
        <w:t>Uncovering Revenue Drivers, Category Performance &amp; Discount Efficiency</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3511"/>
        <w:gridCol w:w="5518"/>
      </w:tblGrid>
      <w:tr>
        <w:tc>
          <w:tcPr>
            <w:tcW w:w="3511" w:type="dxa"/>
            <w:tcBorders>
              <w:top w:color="cccccc" w:sz="1" w:val="single"/>
              <w:start w:color="cccccc" w:sz="1" w:val="single"/>
              <w:bottom w:color="cccccc" w:sz="1" w:val="single"/>
              <w:end w:color="cccccc" w:sz="1" w:val="single"/>
            </w:tcBorders>
            <w:shd w:val="clear" w:color="auto" w:fill="d6e4f0"/>
            <w:tcMar>
              <w:top w:w="75"/>
              <w:start w:w="75"/>
              <w:bottom w:w="75"/>
              <w:end w:w="75"/>
            </w:tcMar>
          </w:tcPr>
          <w:p>
            <w:pPr>
              <w:spacing w:after="120" w:before="120" w:line="336" w:lineRule="auto"/>
              <w:ind w:firstLine="0" w:start="0"/>
              <w:jc w:val="start"/>
            </w:pPr>
            <w:r>
              <w:rPr>
                <w:rFonts w:ascii="Arial Bold" w:hAnsi="Arial Bold" w:cs="Arial Bold" w:eastAsia="Arial Bold"/>
                <w:b/>
                <w:bCs/>
                <w:color w:val="1a1a1a"/>
                <w:sz w:val="20"/>
                <w:szCs w:val="20"/>
              </w:rPr>
              <w:t>Title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5518"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Retail Sales Analytics – DVA Capstone 1</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3511" w:type="dxa"/>
            <w:tcBorders>
              <w:top w:color="cccccc" w:sz="1" w:val="single"/>
              <w:start w:color="cccccc" w:sz="1" w:val="single"/>
              <w:bottom w:color="cccccc" w:sz="1" w:val="single"/>
              <w:end w:color="cccccc" w:sz="1" w:val="single"/>
            </w:tcBorders>
            <w:shd w:val="clear" w:color="auto" w:fill="d6e4f0"/>
            <w:tcMar>
              <w:top w:w="75"/>
              <w:start w:w="75"/>
              <w:bottom w:w="75"/>
              <w:end w:w="75"/>
            </w:tcMar>
          </w:tcPr>
          <w:p>
            <w:pPr>
              <w:spacing w:after="120" w:before="120" w:line="336" w:lineRule="auto"/>
              <w:ind w:firstLine="0" w:start="0"/>
              <w:jc w:val="start"/>
            </w:pPr>
            <w:r>
              <w:rPr>
                <w:rFonts w:ascii="Arial Bold" w:hAnsi="Arial Bold" w:cs="Arial Bold" w:eastAsia="Arial Bold"/>
                <w:b/>
                <w:bCs/>
                <w:color w:val="1a1a1a"/>
                <w:sz w:val="20"/>
                <w:szCs w:val="20"/>
              </w:rPr>
              <w:t>Sector</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5518"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Retail</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3511" w:type="dxa"/>
            <w:tcBorders>
              <w:top w:color="cccccc" w:sz="1" w:val="single"/>
              <w:start w:color="cccccc" w:sz="1" w:val="single"/>
              <w:bottom w:color="cccccc" w:sz="1" w:val="single"/>
              <w:end w:color="cccccc" w:sz="1" w:val="single"/>
            </w:tcBorders>
            <w:shd w:val="clear" w:color="auto" w:fill="d6e4f0"/>
            <w:tcMar>
              <w:top w:w="75"/>
              <w:start w:w="75"/>
              <w:bottom w:w="75"/>
              <w:end w:w="75"/>
            </w:tcMar>
          </w:tcPr>
          <w:p>
            <w:pPr>
              <w:spacing w:after="120" w:before="120" w:line="336" w:lineRule="auto"/>
              <w:ind w:firstLine="0" w:start="0"/>
              <w:jc w:val="start"/>
            </w:pPr>
            <w:r>
              <w:rPr>
                <w:rFonts w:ascii="Arial Bold" w:hAnsi="Arial Bold" w:cs="Arial Bold" w:eastAsia="Arial Bold"/>
                <w:b/>
                <w:bCs/>
                <w:color w:val="1a1a1a"/>
                <w:sz w:val="20"/>
                <w:szCs w:val="20"/>
              </w:rPr>
              <w:t>Faculty</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5518"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a1a1a"/>
                <w:sz w:val="19"/>
                <w:szCs w:val="19"/>
              </w:rPr>
              <w:t xml:space="preserve">Satyaki Das, Archit Raj, Aayushi Vashishth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3511" w:type="dxa"/>
            <w:tcBorders>
              <w:top w:color="cccccc" w:sz="1" w:val="single"/>
              <w:start w:color="cccccc" w:sz="1" w:val="single"/>
              <w:bottom w:color="cccccc" w:sz="1" w:val="single"/>
              <w:end w:color="cccccc" w:sz="1" w:val="single"/>
            </w:tcBorders>
            <w:shd w:val="clear" w:color="auto" w:fill="d6e4f0"/>
            <w:tcMar>
              <w:top w:w="75"/>
              <w:start w:w="75"/>
              <w:bottom w:w="75"/>
              <w:end w:w="75"/>
            </w:tcMar>
          </w:tcPr>
          <w:p>
            <w:pPr>
              <w:spacing w:after="120" w:before="120" w:line="336" w:lineRule="auto"/>
              <w:ind w:firstLine="0" w:start="0"/>
              <w:jc w:val="start"/>
            </w:pPr>
            <w:r>
              <w:rPr>
                <w:rFonts w:ascii="Arial Bold" w:hAnsi="Arial Bold" w:cs="Arial Bold" w:eastAsia="Arial Bold"/>
                <w:b/>
                <w:bCs/>
                <w:color w:val="1a1a1a"/>
                <w:sz w:val="20"/>
                <w:szCs w:val="20"/>
              </w:rPr>
              <w:t>Team Members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5518"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Mayank  |  Archit  |  Manjeet  |  Jivit  |  Sushant  |  Akhilesh</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3511" w:type="dxa"/>
            <w:tcBorders>
              <w:top w:color="cccccc" w:sz="1" w:val="single"/>
              <w:start w:color="cccccc" w:sz="1" w:val="single"/>
              <w:bottom w:color="cccccc" w:sz="1" w:val="single"/>
              <w:end w:color="cccccc" w:sz="1" w:val="single"/>
            </w:tcBorders>
            <w:shd w:val="clear" w:color="auto" w:fill="d6e4f0"/>
            <w:tcMar>
              <w:top w:w="75"/>
              <w:start w:w="75"/>
              <w:bottom w:w="75"/>
              <w:end w:w="75"/>
            </w:tcMar>
          </w:tcPr>
          <w:p>
            <w:pPr>
              <w:spacing w:after="120" w:before="120" w:line="336" w:lineRule="auto"/>
              <w:ind w:firstLine="0" w:start="0"/>
              <w:jc w:val="start"/>
            </w:pPr>
            <w:r>
              <w:rPr>
                <w:rFonts w:ascii="Arial Bold" w:hAnsi="Arial Bold" w:cs="Arial Bold" w:eastAsia="Arial Bold"/>
                <w:b/>
                <w:bCs/>
                <w:color w:val="1a1a1a"/>
                <w:sz w:val="19"/>
                <w:szCs w:val="19"/>
              </w:rPr>
              <w:t xml:space="preserve">Academic Year
</w:t>
            </w:r>
          </w:p>
          <w:p>
            <w:pPr>
              <w:spacing w:after="120" w:before="120" w:line="336" w:lineRule="auto"/>
              <w:ind w:firstLine="0" w:start="0"/>
              <w:jc w:val="start"/>
            </w:pPr>
            <w:r>
              <w:rPr>
                <w:rFonts w:ascii="Arimo" w:hAnsi="Arimo" w:cs="Arimo" w:eastAsia="Arimo"/>
                <w:color w:val="000000"/>
                <w:sz w:val="24"/>
                <w:szCs w:val="24"/>
              </w:rPr>
              <w:t xml:space="preserve">
</w:t>
            </w:r>
          </w:p>
        </w:tc>
        <w:tc>
          <w:tcPr>
            <w:tcW w:w="5518"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a1a1a"/>
                <w:sz w:val="19"/>
                <w:szCs w:val="19"/>
              </w:rPr>
              <w:t xml:space="preserve">2024-28
</w:t>
            </w:r>
          </w:p>
          <w:p>
            <w:pPr>
              <w:spacing w:after="120" w:before="120" w:line="336" w:lineRule="auto"/>
              <w:ind w:firstLine="0" w:start="0"/>
              <w:jc w:val="start"/>
            </w:pPr>
            <w:r>
              <w:rPr>
                <w:rFonts w:ascii="Arimo" w:hAnsi="Arimo" w:cs="Arimo" w:eastAsia="Arimo"/>
                <w:color w:val="000000"/>
                <w:sz w:val="24"/>
                <w:szCs w:val="24"/>
              </w:rPr>
              <w:t xml:space="preserve">
</w:t>
            </w:r>
          </w:p>
        </w:tc>
      </w:tr>
    </w:tbl>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pPr>
      <w:r>
        <w:br w:type="page"/>
      </w:r>
    </w:p>
    <w:p>
      <w:pPr>
        <w:spacing w:after="120" w:before="120" w:line="336" w:lineRule="auto"/>
        <w:ind w:firstLine="0" w:start="0"/>
        <w:jc w:val="start"/>
      </w:pPr>
      <w:r>
        <w:rPr>
          <w:rFonts w:ascii="Arial Italics" w:hAnsi="Arial Italics" w:cs="Arial Italics" w:eastAsia="Arial Italics"/>
          <w:i/>
          <w:iCs/>
          <w:color w:val="777777"/>
          <w:sz w:val="18"/>
          <w:szCs w:val="18"/>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al Bold" w:hAnsi="Arial Bold" w:cs="Arial Bold" w:eastAsia="Arial Bold"/>
          <w:b/>
          <w:bCs/>
          <w:color w:val="1f4e79"/>
          <w:sz w:val="34"/>
          <w:szCs w:val="34"/>
        </w:rPr>
        <w:t>2. Executive Summary</w:t>
      </w:r>
      <w:r>
        <w:rPr>
          <w:rFonts w:ascii="Arimo" w:hAnsi="Arimo" w:cs="Arimo" w:eastAsia="Arimo"/>
          <w:color w:val="000000"/>
          <w:sz w:val="24"/>
          <w:szCs w:val="24"/>
        </w:rPr>
        <w:t xml:space="preserve">
</w:t>
      </w:r>
    </w:p>
    <w:p>
      <w:pPr>
        <w:spacing w:after="120" w:before="120" w:line="336" w:lineRule="auto"/>
        <w:ind w:firstLine="0" w:start="0"/>
        <w:jc w:val="start"/>
      </w:pPr>
      <w:r>
        <w:rPr>
          <w:rFonts w:ascii="Arial" w:hAnsi="Arial" w:cs="Arial" w:eastAsia="Arial"/>
          <w:color w:val="1a1a1a"/>
          <w:sz w:val="22"/>
          <w:szCs w:val="22"/>
        </w:rPr>
        <w:t>This report presents our end-to-end data analytics project on Retail Sales, completed as part of the DVA Capstone 1 programme at Newton School of Technology. Our team of six analysed a multi-category retail transaction dataset spanning January 2022 to January 2025, covering 8 product categories and 2 sales channels (Online and In-store). The entire analysis pipeline — from raw data cleaning to dashboard creation — was executed in Google Sheets.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al Bold" w:hAnsi="Arial Bold" w:cs="Arial Bold" w:eastAsia="Arial Bold"/>
          <w:b/>
          <w:bCs/>
          <w:color w:val="2e75b6"/>
          <w:sz w:val="26"/>
          <w:szCs w:val="26"/>
        </w:rPr>
        <w:t>Problem</w:t>
      </w:r>
      <w:r>
        <w:rPr>
          <w:rFonts w:ascii="Arimo" w:hAnsi="Arimo" w:cs="Arimo" w:eastAsia="Arimo"/>
          <w:color w:val="000000"/>
          <w:sz w:val="24"/>
          <w:szCs w:val="24"/>
        </w:rPr>
        <w:t xml:space="preserve">
</w:t>
      </w:r>
    </w:p>
    <w:p>
      <w:pPr>
        <w:spacing w:after="120" w:before="120" w:line="336" w:lineRule="auto"/>
        <w:ind w:firstLine="0" w:start="0"/>
        <w:jc w:val="start"/>
      </w:pPr>
      <w:r>
        <w:rPr>
          <w:rFonts w:ascii="Arial" w:hAnsi="Arial" w:cs="Arial" w:eastAsia="Arial"/>
          <w:color w:val="1a1a1a"/>
          <w:sz w:val="22"/>
          <w:szCs w:val="22"/>
        </w:rPr>
        <w:t>Org</w:t>
      </w:r>
      <w:r>
        <w:rPr>
          <w:rFonts w:ascii="Arial" w:hAnsi="Arial" w:cs="Arial" w:eastAsia="Arial"/>
          <w:color w:val="1a1a1a"/>
          <w:sz w:val="22"/>
          <w:szCs w:val="22"/>
        </w:rPr>
        <w:t>anisation had three years of transactional sales data but no structured analytics framework. Without clear visibility into category-level revenue, channel performance, payment trends, and discount effectiveness, management was making decisions based on instinct rather than evidence — leading to missed growth opportunities and margin leakage.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al Bold" w:hAnsi="Arial Bold" w:cs="Arial Bold" w:eastAsia="Arial Bold"/>
          <w:b/>
          <w:bCs/>
          <w:color w:val="2e75b6"/>
          <w:sz w:val="26"/>
          <w:szCs w:val="26"/>
        </w:rPr>
        <w:t>Approach</w:t>
      </w:r>
      <w:r>
        <w:rPr>
          <w:rFonts w:ascii="Arimo" w:hAnsi="Arimo" w:cs="Arimo" w:eastAsia="Arimo"/>
          <w:color w:val="000000"/>
          <w:sz w:val="24"/>
          <w:szCs w:val="24"/>
        </w:rPr>
        <w:t xml:space="preserve">
</w:t>
      </w:r>
    </w:p>
    <w:p>
      <w:pPr>
        <w:spacing w:after="120" w:before="120" w:line="336" w:lineRule="auto"/>
        <w:ind w:firstLine="0" w:start="0"/>
        <w:jc w:val="start"/>
      </w:pPr>
      <w:r>
        <w:rPr>
          <w:rFonts w:ascii="Arial" w:hAnsi="Arial" w:cs="Arial" w:eastAsia="Arial"/>
          <w:color w:val="1a1a1a"/>
          <w:sz w:val="22"/>
          <w:szCs w:val="22"/>
        </w:rPr>
        <w:t>We sourced the dataset from Kaggle, cleaned it in Google Sheets (handling missing values, duplicates, and format inconsistencies), built a KPI framework, constructed pivot tables, and developed an interactive dashboard with filters. We then performed trend, category, channel, and discount impact analysis before deriving actionable insights.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al Bold" w:hAnsi="Arial Bold" w:cs="Arial Bold" w:eastAsia="Arial Bold"/>
          <w:b/>
          <w:bCs/>
          <w:color w:val="2e75b6"/>
          <w:sz w:val="26"/>
          <w:szCs w:val="26"/>
        </w:rPr>
        <w:t>Key Insights</w:t>
      </w:r>
      <w:r>
        <w:rPr>
          <w:rFonts w:ascii="Arimo" w:hAnsi="Arimo" w:cs="Arimo" w:eastAsia="Arimo"/>
          <w:color w:val="000000"/>
          <w:sz w:val="24"/>
          <w:szCs w:val="24"/>
        </w:rPr>
        <w:t xml:space="preserve">
</w:t>
      </w:r>
    </w:p>
    <w:p>
      <w:pPr>
        <w:numPr>
          <w:ilvl w:val="0"/>
          <w:numId w:val="1"/>
        </w:numPr>
        <w:spacing w:after="0" w:before="0" w:line="336" w:lineRule="auto"/>
        <w:jc w:val="start"/>
      </w:pPr>
      <w:r>
        <w:rPr>
          <w:rFonts w:ascii="Arial" w:hAnsi="Arial" w:cs="Arial" w:eastAsia="Arial"/>
          <w:color w:val="1a1a1a"/>
          <w:sz w:val="22"/>
          <w:szCs w:val="22"/>
        </w:rPr>
        <w:t>Our dataset contains 11,362 transactions generating total revenue of ₹14,72,998.50 with 62,889 units sold.</w:t>
      </w:r>
      <w:r>
        <w:rPr>
          <w:rFonts w:ascii="Arimo" w:hAnsi="Arimo" w:cs="Arimo" w:eastAsia="Arimo"/>
          <w:color w:val="000000"/>
          <w:sz w:val="24"/>
          <w:szCs w:val="24"/>
        </w:rPr>
        <w:t xml:space="preserve">
</w:t>
      </w:r>
    </w:p>
    <w:p>
      <w:pPr>
        <w:numPr>
          <w:ilvl w:val="0"/>
          <w:numId w:val="1"/>
        </w:numPr>
        <w:spacing w:after="0" w:before="0" w:line="336" w:lineRule="auto"/>
        <w:jc w:val="start"/>
      </w:pPr>
      <w:r>
        <w:rPr>
          <w:rFonts w:ascii="Arial" w:hAnsi="Arial" w:cs="Arial" w:eastAsia="Arial"/>
          <w:color w:val="1a1a1a"/>
          <w:sz w:val="22"/>
          <w:szCs w:val="22"/>
        </w:rPr>
        <w:t>Month-over-month revenue growth is –0.97%, signalling near-stagnation that requires strategic intervention.</w:t>
      </w:r>
      <w:r>
        <w:rPr>
          <w:rFonts w:ascii="Arimo" w:hAnsi="Arimo" w:cs="Arimo" w:eastAsia="Arimo"/>
          <w:color w:val="000000"/>
          <w:sz w:val="24"/>
          <w:szCs w:val="24"/>
        </w:rPr>
        <w:t xml:space="preserve">
</w:t>
      </w:r>
    </w:p>
    <w:p>
      <w:pPr>
        <w:numPr>
          <w:ilvl w:val="0"/>
          <w:numId w:val="1"/>
        </w:numPr>
        <w:spacing w:after="0" w:before="0" w:line="336" w:lineRule="auto"/>
        <w:jc w:val="start"/>
      </w:pPr>
      <w:r>
        <w:rPr>
          <w:rFonts w:ascii="Arial" w:hAnsi="Arial" w:cs="Arial" w:eastAsia="Arial"/>
          <w:color w:val="1a1a1a"/>
          <w:sz w:val="22"/>
          <w:szCs w:val="22"/>
        </w:rPr>
        <w:t>Our Revenue Concentration Ratio of 0.51 reveals a significant dependency on just two product categories — posing a business continuity risk.</w:t>
      </w:r>
      <w:r>
        <w:rPr>
          <w:rFonts w:ascii="Arimo" w:hAnsi="Arimo" w:cs="Arimo" w:eastAsia="Arimo"/>
          <w:color w:val="000000"/>
          <w:sz w:val="24"/>
          <w:szCs w:val="24"/>
        </w:rPr>
        <w:t xml:space="preserve">
</w:t>
      </w:r>
    </w:p>
    <w:p>
      <w:pPr>
        <w:numPr>
          <w:ilvl w:val="0"/>
          <w:numId w:val="1"/>
        </w:numPr>
        <w:spacing w:after="0" w:before="0" w:line="336" w:lineRule="auto"/>
        <w:jc w:val="start"/>
      </w:pPr>
      <w:r>
        <w:rPr>
          <w:rFonts w:ascii="Arial" w:hAnsi="Arial" w:cs="Arial" w:eastAsia="Arial"/>
          <w:color w:val="1a1a1a"/>
          <w:sz w:val="22"/>
          <w:szCs w:val="22"/>
        </w:rPr>
        <w:t>Approximately 48% of transactions had a discount applied; while this drives volume, it compresses revenue per transaction.</w:t>
      </w:r>
      <w:r>
        <w:rPr>
          <w:rFonts w:ascii="Arimo" w:hAnsi="Arimo" w:cs="Arimo" w:eastAsia="Arimo"/>
          <w:color w:val="000000"/>
          <w:sz w:val="24"/>
          <w:szCs w:val="24"/>
        </w:rPr>
        <w:t xml:space="preserve">
</w:t>
      </w:r>
    </w:p>
    <w:p>
      <w:pPr>
        <w:numPr>
          <w:ilvl w:val="0"/>
          <w:numId w:val="1"/>
        </w:numPr>
        <w:spacing w:after="0" w:before="0" w:line="336" w:lineRule="auto"/>
        <w:jc w:val="start"/>
      </w:pPr>
      <w:r>
        <w:rPr>
          <w:rFonts w:ascii="Arial" w:hAnsi="Arial" w:cs="Arial" w:eastAsia="Arial"/>
          <w:color w:val="1a1a1a"/>
          <w:sz w:val="22"/>
          <w:szCs w:val="22"/>
        </w:rPr>
        <w:t>Online and In-store channels display distinctly different growth patterns and category preferences.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al Bold" w:hAnsi="Arial Bold" w:cs="Arial Bold" w:eastAsia="Arial Bold"/>
          <w:b/>
          <w:bCs/>
          <w:color w:val="2e75b6"/>
          <w:sz w:val="26"/>
          <w:szCs w:val="26"/>
        </w:rPr>
        <w:t>Key Recommendations</w:t>
      </w:r>
      <w:r>
        <w:rPr>
          <w:rFonts w:ascii="Arimo" w:hAnsi="Arimo" w:cs="Arimo" w:eastAsia="Arimo"/>
          <w:color w:val="000000"/>
          <w:sz w:val="24"/>
          <w:szCs w:val="24"/>
        </w:rPr>
        <w:t xml:space="preserve">
</w:t>
      </w:r>
    </w:p>
    <w:p>
      <w:pPr>
        <w:numPr>
          <w:ilvl w:val="0"/>
          <w:numId w:val="2"/>
        </w:numPr>
        <w:spacing w:after="0" w:before="0" w:line="336" w:lineRule="auto"/>
        <w:jc w:val="start"/>
      </w:pPr>
      <w:r>
        <w:rPr>
          <w:rFonts w:ascii="Arial" w:hAnsi="Arial" w:cs="Arial" w:eastAsia="Arial"/>
          <w:color w:val="1a1a1a"/>
          <w:sz w:val="22"/>
          <w:szCs w:val="22"/>
        </w:rPr>
        <w:t>Reduce revenue concentration by growing underperforming categories through targeted campaigns.</w:t>
      </w:r>
      <w:r>
        <w:rPr>
          <w:rFonts w:ascii="Arimo" w:hAnsi="Arimo" w:cs="Arimo" w:eastAsia="Arimo"/>
          <w:color w:val="000000"/>
          <w:sz w:val="24"/>
          <w:szCs w:val="24"/>
        </w:rPr>
        <w:t xml:space="preserve">
</w:t>
      </w:r>
    </w:p>
    <w:p>
      <w:pPr>
        <w:numPr>
          <w:ilvl w:val="0"/>
          <w:numId w:val="2"/>
        </w:numPr>
        <w:spacing w:after="0" w:before="0" w:line="336" w:lineRule="auto"/>
        <w:jc w:val="start"/>
      </w:pPr>
      <w:r>
        <w:rPr>
          <w:rFonts w:ascii="Arial" w:hAnsi="Arial" w:cs="Arial" w:eastAsia="Arial"/>
          <w:color w:val="1a1a1a"/>
          <w:sz w:val="22"/>
          <w:szCs w:val="22"/>
        </w:rPr>
        <w:t>Redesign discount policies with category-specific profit-floor thresholds to protect margins.</w:t>
      </w:r>
      <w:r>
        <w:rPr>
          <w:rFonts w:ascii="Arimo" w:hAnsi="Arimo" w:cs="Arimo" w:eastAsia="Arimo"/>
          <w:color w:val="000000"/>
          <w:sz w:val="24"/>
          <w:szCs w:val="24"/>
        </w:rPr>
        <w:t xml:space="preserve">
</w:t>
      </w:r>
    </w:p>
    <w:p>
      <w:pPr>
        <w:numPr>
          <w:ilvl w:val="0"/>
          <w:numId w:val="2"/>
        </w:numPr>
        <w:spacing w:after="0" w:before="0" w:line="336" w:lineRule="auto"/>
        <w:jc w:val="start"/>
      </w:pPr>
      <w:r>
        <w:rPr>
          <w:rFonts w:ascii="Arial" w:hAnsi="Arial" w:cs="Arial" w:eastAsia="Arial"/>
          <w:color w:val="1a1a1a"/>
          <w:sz w:val="22"/>
          <w:szCs w:val="22"/>
        </w:rPr>
        <w:t>Prioritise high-AOV categories (Furniture, Computers &amp; Electronics) for online channel investment.</w:t>
      </w:r>
      <w:r>
        <w:rPr>
          <w:rFonts w:ascii="Arimo" w:hAnsi="Arimo" w:cs="Arimo" w:eastAsia="Arimo"/>
          <w:color w:val="000000"/>
          <w:sz w:val="24"/>
          <w:szCs w:val="24"/>
        </w:rPr>
        <w:t xml:space="preserve">
</w:t>
      </w:r>
    </w:p>
    <w:p>
      <w:pPr>
        <w:numPr>
          <w:ilvl w:val="0"/>
          <w:numId w:val="2"/>
        </w:numPr>
        <w:spacing w:after="0" w:before="0" w:line="336" w:lineRule="auto"/>
        <w:jc w:val="start"/>
      </w:pPr>
      <w:r>
        <w:rPr>
          <w:rFonts w:ascii="Arial" w:hAnsi="Arial" w:cs="Arial" w:eastAsia="Arial"/>
          <w:color w:val="1a1a1a"/>
          <w:sz w:val="22"/>
          <w:szCs w:val="22"/>
        </w:rPr>
        <w:t>Implement real-time dashboards to move from monthly retrospective reviews to weekly decision cycles.</w:t>
      </w:r>
      <w:r>
        <w:rPr>
          <w:rFonts w:ascii="Arimo" w:hAnsi="Arimo" w:cs="Arimo" w:eastAsia="Arimo"/>
          <w:color w:val="000000"/>
          <w:sz w:val="24"/>
          <w:szCs w:val="24"/>
        </w:rPr>
        <w:t xml:space="preserve">
</w:t>
      </w:r>
    </w:p>
    <w:p>
      <w:pPr>
        <w:spacing w:after="120" w:before="120" w:line="336" w:lineRule="auto"/>
        <w:ind w:firstLine="0" w:start="0"/>
        <w:jc w:val="start"/>
      </w:pPr>
      <w:r>
        <w:rPr>
          <w:rFonts w:ascii="Arial" w:hAnsi="Arial" w:cs="Arial" w:eastAsia="Arial"/>
          <w:color w:val="888888"/>
          <w:sz w:val="16"/>
          <w:szCs w:val="16"/>
        </w:rPr>
        <w:t xml:space="preserve">
</w:t>
      </w:r>
    </w:p>
    <w:p>
      <w:pPr>
        <w:spacing w:after="120" w:before="120"/>
      </w:pPr>
      <w:r>
        <w:br w:type="page"/>
      </w:r>
    </w:p>
    <w:p>
      <w:pPr>
        <w:spacing w:after="120" w:before="120" w:line="336" w:lineRule="auto"/>
        <w:ind w:firstLine="0" w:start="0"/>
        <w:jc w:val="start"/>
      </w:pPr>
      <w:r>
        <w:rPr>
          <w:rFonts w:ascii="Arial Italics" w:hAnsi="Arial Italics" w:cs="Arial Italics" w:eastAsia="Arial Italics"/>
          <w:i/>
          <w:iCs/>
          <w:color w:val="777777"/>
          <w:sz w:val="18"/>
          <w:szCs w:val="18"/>
        </w:rPr>
        <w:t xml:space="preserve">
</w:t>
      </w:r>
    </w:p>
    <w:p>
      <w:pPr>
        <w:spacing w:after="120" w:before="120" w:line="336" w:lineRule="auto"/>
        <w:ind w:firstLine="0" w:start="0"/>
        <w:jc w:val="start"/>
      </w:pPr>
      <w:r>
        <w:rPr>
          <w:rFonts w:ascii="Arial Bold" w:hAnsi="Arial Bold" w:cs="Arial Bold" w:eastAsia="Arial Bold"/>
          <w:b/>
          <w:bCs/>
          <w:color w:val="1f4e79"/>
          <w:sz w:val="34"/>
          <w:szCs w:val="34"/>
        </w:rPr>
        <w:t>3. Sector &amp; Business Context</w:t>
      </w:r>
      <w:r>
        <w:rPr>
          <w:rFonts w:ascii="Arimo" w:hAnsi="Arimo" w:cs="Arimo" w:eastAsia="Arimo"/>
          <w:color w:val="000000"/>
          <w:sz w:val="24"/>
          <w:szCs w:val="24"/>
        </w:rPr>
        <w:t xml:space="preserve">
</w:t>
      </w:r>
    </w:p>
    <w:p>
      <w:pPr>
        <w:spacing w:after="120" w:before="120" w:line="336" w:lineRule="auto"/>
        <w:ind w:firstLine="0" w:start="0"/>
        <w:jc w:val="start"/>
      </w:pPr>
      <w:r>
        <w:rPr>
          <w:rFonts w:ascii="Arial Bold" w:hAnsi="Arial Bold" w:cs="Arial Bold" w:eastAsia="Arial Bold"/>
          <w:b/>
          <w:bCs/>
          <w:color w:val="2e75b6"/>
          <w:sz w:val="26"/>
          <w:szCs w:val="26"/>
        </w:rPr>
        <w:t>Sector Overview</w:t>
      </w:r>
      <w:r>
        <w:rPr>
          <w:rFonts w:ascii="Arimo" w:hAnsi="Arimo" w:cs="Arimo" w:eastAsia="Arimo"/>
          <w:color w:val="000000"/>
          <w:sz w:val="24"/>
          <w:szCs w:val="24"/>
        </w:rPr>
        <w:t xml:space="preserve">
</w:t>
      </w:r>
    </w:p>
    <w:p>
      <w:pPr>
        <w:spacing w:after="120" w:before="120" w:line="336" w:lineRule="auto"/>
        <w:ind w:firstLine="0" w:start="0"/>
        <w:jc w:val="start"/>
      </w:pPr>
      <w:r>
        <w:rPr>
          <w:rFonts w:ascii="Arial" w:hAnsi="Arial" w:cs="Arial" w:eastAsia="Arial"/>
          <w:color w:val="1a1a1a"/>
          <w:sz w:val="22"/>
          <w:szCs w:val="22"/>
        </w:rPr>
        <w:t>We chose to work in the Retail sector — one of the most data-intensive and fast-moving industries in India and globally. Organised retail in India is growing rapidly, driven by increasing urbanisation, rising disposable incomes, digital payment proliferation, and the expansion of e-commerce. Retailers today operate across hybrid models — physical stores and online platforms — serving diverse customer segments across multiple product categories including food, beverages, household goods, electronics, and furniture.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al Bold" w:hAnsi="Arial Bold" w:cs="Arial Bold" w:eastAsia="Arial Bold"/>
          <w:b/>
          <w:bCs/>
          <w:color w:val="2e75b6"/>
          <w:sz w:val="26"/>
          <w:szCs w:val="26"/>
        </w:rPr>
        <w:t>Current Challenges in Retail</w:t>
      </w:r>
      <w:r>
        <w:rPr>
          <w:rFonts w:ascii="Arimo" w:hAnsi="Arimo" w:cs="Arimo" w:eastAsia="Arimo"/>
          <w:color w:val="000000"/>
          <w:sz w:val="24"/>
          <w:szCs w:val="24"/>
        </w:rPr>
        <w:t xml:space="preserve">
</w:t>
      </w:r>
    </w:p>
    <w:p>
      <w:pPr>
        <w:spacing w:after="120" w:before="120" w:line="336" w:lineRule="auto"/>
        <w:ind w:firstLine="0" w:start="0"/>
        <w:jc w:val="start"/>
      </w:pPr>
      <w:r>
        <w:rPr>
          <w:rFonts w:ascii="Arial" w:hAnsi="Arial" w:cs="Arial" w:eastAsia="Arial"/>
          <w:color w:val="1a1a1a"/>
          <w:sz w:val="22"/>
          <w:szCs w:val="22"/>
        </w:rPr>
        <w:t>During our research and problem framing, we identified the following key challenges that retail businesses commonly face:</w:t>
      </w:r>
      <w:r>
        <w:rPr>
          <w:rFonts w:ascii="Arimo" w:hAnsi="Arimo" w:cs="Arimo" w:eastAsia="Arimo"/>
          <w:color w:val="000000"/>
          <w:sz w:val="24"/>
          <w:szCs w:val="24"/>
        </w:rPr>
        <w:t xml:space="preserve">
</w:t>
      </w:r>
    </w:p>
    <w:p>
      <w:pPr>
        <w:numPr>
          <w:ilvl w:val="0"/>
          <w:numId w:val="3"/>
        </w:numPr>
        <w:spacing w:after="0" w:before="0" w:line="336" w:lineRule="auto"/>
        <w:jc w:val="start"/>
      </w:pPr>
      <w:r>
        <w:rPr>
          <w:rFonts w:ascii="Arial" w:hAnsi="Arial" w:cs="Arial" w:eastAsia="Arial"/>
          <w:color w:val="1a1a1a"/>
          <w:sz w:val="22"/>
          <w:szCs w:val="22"/>
        </w:rPr>
        <w:t>Unstructured, siloed transaction data across channels makes consistent performance measurement difficult.</w:t>
      </w:r>
      <w:r>
        <w:rPr>
          <w:rFonts w:ascii="Arimo" w:hAnsi="Arimo" w:cs="Arimo" w:eastAsia="Arimo"/>
          <w:color w:val="000000"/>
          <w:sz w:val="24"/>
          <w:szCs w:val="24"/>
        </w:rPr>
        <w:t xml:space="preserve">
</w:t>
      </w:r>
    </w:p>
    <w:p>
      <w:pPr>
        <w:numPr>
          <w:ilvl w:val="0"/>
          <w:numId w:val="3"/>
        </w:numPr>
        <w:spacing w:after="0" w:before="0" w:line="336" w:lineRule="auto"/>
        <w:jc w:val="start"/>
      </w:pPr>
      <w:r>
        <w:rPr>
          <w:rFonts w:ascii="Arial" w:hAnsi="Arial" w:cs="Arial" w:eastAsia="Arial"/>
          <w:color w:val="1a1a1a"/>
          <w:sz w:val="22"/>
          <w:szCs w:val="22"/>
        </w:rPr>
        <w:t>Management lacks a unified KPI framework to compare performance across categories, time periods, and locations.</w:t>
      </w:r>
      <w:r>
        <w:rPr>
          <w:rFonts w:ascii="Arimo" w:hAnsi="Arimo" w:cs="Arimo" w:eastAsia="Arimo"/>
          <w:color w:val="000000"/>
          <w:sz w:val="24"/>
          <w:szCs w:val="24"/>
        </w:rPr>
        <w:t xml:space="preserve">
</w:t>
      </w:r>
    </w:p>
    <w:p>
      <w:pPr>
        <w:numPr>
          <w:ilvl w:val="0"/>
          <w:numId w:val="3"/>
        </w:numPr>
        <w:spacing w:after="0" w:before="0" w:line="336" w:lineRule="auto"/>
        <w:jc w:val="start"/>
      </w:pPr>
      <w:r>
        <w:rPr>
          <w:rFonts w:ascii="Arial" w:hAnsi="Arial" w:cs="Arial" w:eastAsia="Arial"/>
          <w:color w:val="1a1a1a"/>
          <w:sz w:val="22"/>
          <w:szCs w:val="22"/>
        </w:rPr>
        <w:t>Discount and promotional strategies are largely intuition-driven, resulting in revenue and margin leakage.</w:t>
      </w:r>
      <w:r>
        <w:rPr>
          <w:rFonts w:ascii="Arimo" w:hAnsi="Arimo" w:cs="Arimo" w:eastAsia="Arimo"/>
          <w:color w:val="000000"/>
          <w:sz w:val="24"/>
          <w:szCs w:val="24"/>
        </w:rPr>
        <w:t xml:space="preserve">
</w:t>
      </w:r>
    </w:p>
    <w:p>
      <w:pPr>
        <w:numPr>
          <w:ilvl w:val="0"/>
          <w:numId w:val="3"/>
        </w:numPr>
        <w:spacing w:after="0" w:before="0" w:line="336" w:lineRule="auto"/>
        <w:jc w:val="start"/>
      </w:pPr>
      <w:r>
        <w:rPr>
          <w:rFonts w:ascii="Arial" w:hAnsi="Arial" w:cs="Arial" w:eastAsia="Arial"/>
          <w:color w:val="1a1a1a"/>
          <w:sz w:val="22"/>
          <w:szCs w:val="22"/>
        </w:rPr>
        <w:t>Inventory decisions are made without adequate demand-side analytics, causing stockouts or overstocking.</w:t>
      </w:r>
      <w:r>
        <w:rPr>
          <w:rFonts w:ascii="Arimo" w:hAnsi="Arimo" w:cs="Arimo" w:eastAsia="Arimo"/>
          <w:color w:val="000000"/>
          <w:sz w:val="24"/>
          <w:szCs w:val="24"/>
        </w:rPr>
        <w:t xml:space="preserve">
</w:t>
      </w:r>
    </w:p>
    <w:p>
      <w:pPr>
        <w:numPr>
          <w:ilvl w:val="0"/>
          <w:numId w:val="3"/>
        </w:numPr>
        <w:spacing w:after="0" w:before="0" w:line="336" w:lineRule="auto"/>
        <w:jc w:val="start"/>
      </w:pPr>
      <w:r>
        <w:rPr>
          <w:rFonts w:ascii="Arial" w:hAnsi="Arial" w:cs="Arial" w:eastAsia="Arial"/>
          <w:color w:val="1a1a1a"/>
          <w:sz w:val="22"/>
          <w:szCs w:val="22"/>
        </w:rPr>
        <w:t>Static, delayed reports prevent timely interventions when sales trends deteriorate.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al Bold" w:hAnsi="Arial Bold" w:cs="Arial Bold" w:eastAsia="Arial Bold"/>
          <w:b/>
          <w:bCs/>
          <w:color w:val="2e75b6"/>
          <w:sz w:val="26"/>
          <w:szCs w:val="26"/>
        </w:rPr>
        <w:t>Why We Chose This Problem</w:t>
      </w:r>
      <w:r>
        <w:rPr>
          <w:rFonts w:ascii="Arimo" w:hAnsi="Arimo" w:cs="Arimo" w:eastAsia="Arimo"/>
          <w:color w:val="000000"/>
          <w:sz w:val="24"/>
          <w:szCs w:val="24"/>
        </w:rPr>
        <w:t xml:space="preserve">
</w:t>
      </w:r>
    </w:p>
    <w:p>
      <w:pPr>
        <w:spacing w:after="120" w:before="120" w:line="336" w:lineRule="auto"/>
        <w:ind w:firstLine="0" w:start="0"/>
        <w:jc w:val="start"/>
      </w:pPr>
      <w:r>
        <w:rPr>
          <w:rFonts w:ascii="Arial" w:hAnsi="Arial" w:cs="Arial" w:eastAsia="Arial"/>
          <w:color w:val="1a1a1a"/>
          <w:sz w:val="22"/>
          <w:szCs w:val="22"/>
        </w:rPr>
        <w:t>We selected Retail Sales Analytics because it offered a rich, multi-dimensional dataset that allowed us to demonstrate the complete analytics lifecycle — from raw data wrangling to strategic business recommendations. The availability of transactional data spanning 37 months, 8 categories, and 2 channels gave us the depth needed to produce genuinely meaningful insights, while also aligning with real-world business problems that any retail manager would recognise and find valuable.</w:t>
      </w:r>
      <w:r>
        <w:rPr>
          <w:rFonts w:ascii="Arimo" w:hAnsi="Arimo" w:cs="Arimo" w:eastAsia="Arimo"/>
          <w:color w:val="000000"/>
          <w:sz w:val="24"/>
          <w:szCs w:val="24"/>
        </w:rPr>
        <w:t xml:space="preserve">
</w:t>
      </w:r>
    </w:p>
    <w:p>
      <w:pPr>
        <w:spacing w:after="120" w:before="120" w:line="336" w:lineRule="auto"/>
        <w:ind w:firstLine="0" w:start="0"/>
        <w:jc w:val="start"/>
      </w:pPr>
      <w:r>
        <w:rPr>
          <w:rFonts w:ascii="Arial" w:hAnsi="Arial" w:cs="Arial" w:eastAsia="Arial"/>
          <w:color w:val="888888"/>
          <w:sz w:val="16"/>
          <w:szCs w:val="16"/>
        </w:rPr>
        <w:t xml:space="preserve">
</w:t>
      </w:r>
    </w:p>
    <w:p>
      <w:pPr>
        <w:spacing w:after="120" w:before="120"/>
      </w:pPr>
      <w:r>
        <w:br w:type="page"/>
      </w:r>
    </w:p>
    <w:p>
      <w:pPr>
        <w:spacing w:after="120" w:before="120" w:line="336" w:lineRule="auto"/>
        <w:ind w:firstLine="0" w:start="0"/>
        <w:jc w:val="start"/>
      </w:pPr>
      <w:r>
        <w:rPr>
          <w:rFonts w:ascii="Arial Italics" w:hAnsi="Arial Italics" w:cs="Arial Italics" w:eastAsia="Arial Italics"/>
          <w:i/>
          <w:iCs/>
          <w:color w:val="777777"/>
          <w:sz w:val="18"/>
          <w:szCs w:val="18"/>
        </w:rPr>
        <w:t xml:space="preserve">
</w:t>
      </w:r>
    </w:p>
    <w:p>
      <w:pPr>
        <w:spacing w:after="120" w:before="120" w:line="336" w:lineRule="auto"/>
        <w:ind w:firstLine="0" w:start="0"/>
        <w:jc w:val="start"/>
      </w:pPr>
      <w:r>
        <w:rPr>
          <w:rFonts w:ascii="Arial Bold" w:hAnsi="Arial Bold" w:cs="Arial Bold" w:eastAsia="Arial Bold"/>
          <w:b/>
          <w:bCs/>
          <w:color w:val="1f4e79"/>
          <w:sz w:val="34"/>
          <w:szCs w:val="34"/>
        </w:rPr>
        <w:t>4. Problem Statement &amp; Objectives</w:t>
      </w:r>
      <w:r>
        <w:rPr>
          <w:rFonts w:ascii="Arimo" w:hAnsi="Arimo" w:cs="Arimo" w:eastAsia="Arimo"/>
          <w:color w:val="000000"/>
          <w:sz w:val="24"/>
          <w:szCs w:val="24"/>
        </w:rPr>
        <w:t xml:space="preserve">
</w:t>
      </w:r>
    </w:p>
    <w:p>
      <w:pPr>
        <w:spacing w:after="120" w:before="120" w:line="336" w:lineRule="auto"/>
        <w:ind w:firstLine="0" w:start="0"/>
        <w:jc w:val="start"/>
      </w:pPr>
      <w:r>
        <w:rPr>
          <w:rFonts w:ascii="Arial Bold" w:hAnsi="Arial Bold" w:cs="Arial Bold" w:eastAsia="Arial Bold"/>
          <w:b/>
          <w:bCs/>
          <w:color w:val="2e75b6"/>
          <w:sz w:val="26"/>
          <w:szCs w:val="26"/>
        </w:rPr>
        <w:t>Formal Problem Definition</w:t>
      </w:r>
      <w:r>
        <w:rPr>
          <w:rFonts w:ascii="Arimo" w:hAnsi="Arimo" w:cs="Arimo" w:eastAsia="Arimo"/>
          <w:color w:val="000000"/>
          <w:sz w:val="24"/>
          <w:szCs w:val="24"/>
        </w:rPr>
        <w:t xml:space="preserve">
</w:t>
      </w:r>
    </w:p>
    <w:p>
      <w:pPr>
        <w:spacing w:after="120" w:before="120" w:line="336" w:lineRule="auto"/>
        <w:ind w:firstLine="0" w:start="0"/>
        <w:jc w:val="start"/>
      </w:pPr>
      <w:r>
        <w:rPr>
          <w:rFonts w:ascii="Arial" w:hAnsi="Arial" w:cs="Arial" w:eastAsia="Arial"/>
          <w:color w:val="1a1a1a"/>
          <w:sz w:val="22"/>
          <w:szCs w:val="22"/>
        </w:rPr>
        <w:t>A retail business has accumulated 37 months of transaction-level sales data across 8 product categories and 2 sales channels but has no structured analytics framework to convert this data into actionable intelligence. The absence of KPI tracking, trend visibility, and discount effectiveness measurement results in suboptimal pricing, inefficient promotional spend, and missed revenue opportunities.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al Bold" w:hAnsi="Arial Bold" w:cs="Arial Bold" w:eastAsia="Arial Bold"/>
          <w:b/>
          <w:bCs/>
          <w:color w:val="2e75b6"/>
          <w:sz w:val="26"/>
          <w:szCs w:val="26"/>
        </w:rPr>
        <w:t>Project Scope</w:t>
      </w:r>
      <w:r>
        <w:rPr>
          <w:rFonts w:ascii="Arimo" w:hAnsi="Arimo" w:cs="Arimo" w:eastAsia="Arimo"/>
          <w:color w:val="000000"/>
          <w:sz w:val="24"/>
          <w:szCs w:val="24"/>
        </w:rPr>
        <w:t xml:space="preserve">
</w:t>
      </w:r>
    </w:p>
    <w:p>
      <w:pPr>
        <w:spacing w:after="120" w:before="120" w:line="336" w:lineRule="auto"/>
        <w:ind w:firstLine="0" w:start="0"/>
        <w:jc w:val="start"/>
      </w:pPr>
      <w:r>
        <w:rPr>
          <w:rFonts w:ascii="Arial" w:hAnsi="Arial" w:cs="Arial" w:eastAsia="Arial"/>
          <w:color w:val="1a1a1a"/>
          <w:sz w:val="22"/>
          <w:szCs w:val="22"/>
        </w:rPr>
        <w:t>Our project covered the following analytical scope:</w:t>
      </w:r>
      <w:r>
        <w:rPr>
          <w:rFonts w:ascii="Arimo" w:hAnsi="Arimo" w:cs="Arimo" w:eastAsia="Arimo"/>
          <w:color w:val="000000"/>
          <w:sz w:val="24"/>
          <w:szCs w:val="24"/>
        </w:rPr>
        <w:t xml:space="preserve">
</w:t>
      </w:r>
    </w:p>
    <w:p>
      <w:pPr>
        <w:numPr>
          <w:ilvl w:val="0"/>
          <w:numId w:val="4"/>
        </w:numPr>
        <w:spacing w:after="0" w:before="0" w:line="336" w:lineRule="auto"/>
        <w:jc w:val="start"/>
      </w:pPr>
      <w:r>
        <w:rPr>
          <w:rFonts w:ascii="Arial" w:hAnsi="Arial" w:cs="Arial" w:eastAsia="Arial"/>
          <w:color w:val="1a1a1a"/>
          <w:sz w:val="22"/>
          <w:szCs w:val="22"/>
        </w:rPr>
        <w:t>Analyse sales performance across product categories, channels, payment methods, and time periods (2022–2025).</w:t>
      </w:r>
      <w:r>
        <w:rPr>
          <w:rFonts w:ascii="Arimo" w:hAnsi="Arimo" w:cs="Arimo" w:eastAsia="Arimo"/>
          <w:color w:val="000000"/>
          <w:sz w:val="24"/>
          <w:szCs w:val="24"/>
        </w:rPr>
        <w:t xml:space="preserve">
</w:t>
      </w:r>
    </w:p>
    <w:p>
      <w:pPr>
        <w:numPr>
          <w:ilvl w:val="0"/>
          <w:numId w:val="4"/>
        </w:numPr>
        <w:spacing w:after="0" w:before="0" w:line="336" w:lineRule="auto"/>
        <w:jc w:val="start"/>
      </w:pPr>
      <w:r>
        <w:rPr>
          <w:rFonts w:ascii="Arial" w:hAnsi="Arial" w:cs="Arial" w:eastAsia="Arial"/>
          <w:color w:val="1a1a1a"/>
          <w:sz w:val="22"/>
          <w:szCs w:val="22"/>
        </w:rPr>
        <w:t>Define, compute, and track a KPI framework covering revenue, volume, growth, and concentration risk.</w:t>
      </w:r>
      <w:r>
        <w:rPr>
          <w:rFonts w:ascii="Arimo" w:hAnsi="Arimo" w:cs="Arimo" w:eastAsia="Arimo"/>
          <w:color w:val="000000"/>
          <w:sz w:val="24"/>
          <w:szCs w:val="24"/>
        </w:rPr>
        <w:t xml:space="preserve">
</w:t>
      </w:r>
    </w:p>
    <w:p>
      <w:pPr>
        <w:numPr>
          <w:ilvl w:val="0"/>
          <w:numId w:val="4"/>
        </w:numPr>
        <w:spacing w:after="0" w:before="0" w:line="336" w:lineRule="auto"/>
        <w:jc w:val="start"/>
      </w:pPr>
      <w:r>
        <w:rPr>
          <w:rFonts w:ascii="Arial" w:hAnsi="Arial" w:cs="Arial" w:eastAsia="Arial"/>
          <w:color w:val="1a1a1a"/>
          <w:sz w:val="22"/>
          <w:szCs w:val="22"/>
        </w:rPr>
        <w:t>Build an interactive, filter-enabled Google Sheets dashboard for executive-level consumption.</w:t>
      </w:r>
      <w:r>
        <w:rPr>
          <w:rFonts w:ascii="Arimo" w:hAnsi="Arimo" w:cs="Arimo" w:eastAsia="Arimo"/>
          <w:color w:val="000000"/>
          <w:sz w:val="24"/>
          <w:szCs w:val="24"/>
        </w:rPr>
        <w:t xml:space="preserve">
</w:t>
      </w:r>
    </w:p>
    <w:p>
      <w:pPr>
        <w:numPr>
          <w:ilvl w:val="0"/>
          <w:numId w:val="4"/>
        </w:numPr>
        <w:spacing w:after="0" w:before="0" w:line="336" w:lineRule="auto"/>
        <w:jc w:val="start"/>
      </w:pPr>
      <w:r>
        <w:rPr>
          <w:rFonts w:ascii="Arial" w:hAnsi="Arial" w:cs="Arial" w:eastAsia="Arial"/>
          <w:color w:val="1a1a1a"/>
          <w:sz w:val="22"/>
          <w:szCs w:val="22"/>
        </w:rPr>
        <w:t>Identify 8–12 decision-relevant insights from the data.</w:t>
      </w:r>
      <w:r>
        <w:rPr>
          <w:rFonts w:ascii="Arimo" w:hAnsi="Arimo" w:cs="Arimo" w:eastAsia="Arimo"/>
          <w:color w:val="000000"/>
          <w:sz w:val="24"/>
          <w:szCs w:val="24"/>
        </w:rPr>
        <w:t xml:space="preserve">
</w:t>
      </w:r>
    </w:p>
    <w:p>
      <w:pPr>
        <w:numPr>
          <w:ilvl w:val="0"/>
          <w:numId w:val="4"/>
        </w:numPr>
        <w:spacing w:after="0" w:before="0" w:line="336" w:lineRule="auto"/>
        <w:jc w:val="start"/>
      </w:pPr>
      <w:r>
        <w:rPr>
          <w:rFonts w:ascii="Arial" w:hAnsi="Arial" w:cs="Arial" w:eastAsia="Arial"/>
          <w:color w:val="1a1a1a"/>
          <w:sz w:val="22"/>
          <w:szCs w:val="22"/>
        </w:rPr>
        <w:t>Provide business recommendations with impact estimates and feasibility ratings.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al Bold" w:hAnsi="Arial Bold" w:cs="Arial Bold" w:eastAsia="Arial Bold"/>
          <w:b/>
          <w:bCs/>
          <w:color w:val="2e75b6"/>
          <w:sz w:val="26"/>
          <w:szCs w:val="26"/>
        </w:rPr>
        <w:t>Success Criteria</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3087"/>
        <w:gridCol w:w="5942"/>
      </w:tblGrid>
      <w:tr>
        <w:tc>
          <w:tcPr>
            <w:tcW w:w="3087" w:type="dxa"/>
            <w:tcBorders>
              <w:top w:color="cccccc" w:sz="1" w:val="single"/>
              <w:start w:color="cccccc" w:sz="1" w:val="single"/>
              <w:bottom w:color="cccccc" w:sz="1" w:val="single"/>
              <w:end w:color="cccccc" w:sz="1" w:val="single"/>
            </w:tcBorders>
            <w:shd w:val="clear" w:color="auto" w:fill="1f4e79"/>
            <w:tcMar>
              <w:top w:w="75"/>
              <w:start w:w="75"/>
              <w:bottom w:w="75"/>
              <w:end w:w="75"/>
            </w:tcMar>
          </w:tcPr>
          <w:p>
            <w:pPr>
              <w:spacing w:after="120" w:before="120" w:line="336" w:lineRule="auto"/>
              <w:ind w:firstLine="0" w:start="0"/>
              <w:jc w:val="start"/>
            </w:pPr>
            <w:r>
              <w:rPr>
                <w:rFonts w:ascii="Arial Bold" w:hAnsi="Arial Bold" w:cs="Arial Bold" w:eastAsia="Arial Bold"/>
                <w:b/>
                <w:bCs/>
                <w:color w:val="ffffff"/>
                <w:sz w:val="20"/>
                <w:szCs w:val="20"/>
              </w:rPr>
              <w:t>Success Criterion</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5942" w:type="dxa"/>
            <w:tcBorders>
              <w:top w:color="cccccc" w:sz="1" w:val="single"/>
              <w:start w:color="cccccc" w:sz="1" w:val="single"/>
              <w:bottom w:color="cccccc" w:sz="1" w:val="single"/>
              <w:end w:color="cccccc" w:sz="1" w:val="single"/>
            </w:tcBorders>
            <w:shd w:val="clear" w:color="auto" w:fill="1f4e79"/>
            <w:tcMar>
              <w:top w:w="75"/>
              <w:start w:w="75"/>
              <w:bottom w:w="75"/>
              <w:end w:w="75"/>
            </w:tcMar>
          </w:tcPr>
          <w:p>
            <w:pPr>
              <w:spacing w:after="120" w:before="120" w:line="336" w:lineRule="auto"/>
              <w:ind w:firstLine="0" w:start="0"/>
              <w:jc w:val="start"/>
            </w:pPr>
            <w:r>
              <w:rPr>
                <w:rFonts w:ascii="Arial Bold" w:hAnsi="Arial Bold" w:cs="Arial Bold" w:eastAsia="Arial Bold"/>
                <w:b/>
                <w:bCs/>
                <w:color w:val="ffffff"/>
                <w:sz w:val="20"/>
                <w:szCs w:val="20"/>
              </w:rPr>
              <w:t>Definition</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3087"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Data Completeness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5942"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≥95% of records usable after cleaning</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3087" w:type="dxa"/>
            <w:tcBorders>
              <w:top w:color="cccccc" w:sz="1" w:val="single"/>
              <w:start w:color="cccccc" w:sz="1" w:val="single"/>
              <w:bottom w:color="cccccc" w:sz="1" w:val="single"/>
              <w:end w:color="cccccc" w:sz="1" w:val="single"/>
            </w:tcBorders>
            <w:shd w:val="clear" w:color="auto" w:fill="ebf5fb"/>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KPI Coverage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5942" w:type="dxa"/>
            <w:tcBorders>
              <w:top w:color="cccccc" w:sz="1" w:val="single"/>
              <w:start w:color="cccccc" w:sz="1" w:val="single"/>
              <w:bottom w:color="cccccc" w:sz="1" w:val="single"/>
              <w:end w:color="cccccc" w:sz="1" w:val="single"/>
            </w:tcBorders>
            <w:shd w:val="clear" w:color="auto" w:fill="ebf5fb"/>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Minimum 6 KPIs defined and computed from actual data</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3087"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Insight Depth</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5942"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8–12 insights, each directly linked to a business decision</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3087" w:type="dxa"/>
            <w:tcBorders>
              <w:top w:color="cccccc" w:sz="1" w:val="single"/>
              <w:start w:color="cccccc" w:sz="1" w:val="single"/>
              <w:bottom w:color="cccccc" w:sz="1" w:val="single"/>
              <w:end w:color="cccccc" w:sz="1" w:val="single"/>
            </w:tcBorders>
            <w:shd w:val="clear" w:color="auto" w:fill="ebf5fb"/>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Dashboard Usability</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5942" w:type="dxa"/>
            <w:tcBorders>
              <w:top w:color="cccccc" w:sz="1" w:val="single"/>
              <w:start w:color="cccccc" w:sz="1" w:val="single"/>
              <w:bottom w:color="cccccc" w:sz="1" w:val="single"/>
              <w:end w:color="cccccc" w:sz="1" w:val="single"/>
            </w:tcBorders>
            <w:shd w:val="clear" w:color="auto" w:fill="ebf5fb"/>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Interactive filters by category, channel, and date in Google Sheets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3087"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Recommendations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5942"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Each recommendation tied to a specific insight and estimated impact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bl>
    <w:p>
      <w:pPr>
        <w:spacing w:after="120" w:before="120" w:line="336" w:lineRule="auto"/>
        <w:ind w:firstLine="0" w:start="0"/>
        <w:jc w:val="start"/>
      </w:pPr>
      <w:r>
        <w:rPr>
          <w:rFonts w:ascii="Arial" w:hAnsi="Arial" w:cs="Arial" w:eastAsia="Arial"/>
          <w:color w:val="888888"/>
          <w:sz w:val="16"/>
          <w:szCs w:val="16"/>
        </w:rPr>
        <w:t xml:space="preserve">
</w:t>
      </w:r>
    </w:p>
    <w:p>
      <w:pPr>
        <w:spacing w:after="120" w:before="120"/>
      </w:pPr>
      <w:r>
        <w:br w:type="page"/>
      </w:r>
    </w:p>
    <w:p>
      <w:pPr>
        <w:spacing w:after="120" w:before="120" w:line="336" w:lineRule="auto"/>
        <w:ind w:firstLine="0" w:start="0"/>
        <w:jc w:val="start"/>
      </w:pPr>
      <w:r>
        <w:rPr>
          <w:rFonts w:ascii="Arial Italics" w:hAnsi="Arial Italics" w:cs="Arial Italics" w:eastAsia="Arial Italics"/>
          <w:i/>
          <w:iCs/>
          <w:color w:val="777777"/>
          <w:sz w:val="18"/>
          <w:szCs w:val="18"/>
        </w:rPr>
        <w:t xml:space="preserve">
</w:t>
      </w:r>
    </w:p>
    <w:p>
      <w:pPr>
        <w:spacing w:after="120" w:before="120" w:line="336" w:lineRule="auto"/>
        <w:ind w:firstLine="0" w:start="0"/>
        <w:jc w:val="start"/>
      </w:pPr>
      <w:r>
        <w:rPr>
          <w:rFonts w:ascii="Arial Bold" w:hAnsi="Arial Bold" w:cs="Arial Bold" w:eastAsia="Arial Bold"/>
          <w:b/>
          <w:bCs/>
          <w:color w:val="1f4e79"/>
          <w:sz w:val="34"/>
          <w:szCs w:val="34"/>
        </w:rPr>
        <w:t>5. Data Description</w:t>
      </w:r>
      <w:r>
        <w:rPr>
          <w:rFonts w:ascii="Arimo" w:hAnsi="Arimo" w:cs="Arimo" w:eastAsia="Arimo"/>
          <w:color w:val="000000"/>
          <w:sz w:val="24"/>
          <w:szCs w:val="24"/>
        </w:rPr>
        <w:t xml:space="preserve">
</w:t>
      </w:r>
    </w:p>
    <w:p>
      <w:pPr>
        <w:spacing w:after="120" w:before="120" w:line="336" w:lineRule="auto"/>
        <w:ind w:firstLine="0" w:start="0"/>
        <w:jc w:val="start"/>
      </w:pPr>
      <w:r>
        <w:rPr>
          <w:rFonts w:ascii="Arial Bold" w:hAnsi="Arial Bold" w:cs="Arial Bold" w:eastAsia="Arial Bold"/>
          <w:b/>
          <w:bCs/>
          <w:color w:val="2e75b6"/>
          <w:sz w:val="26"/>
          <w:szCs w:val="26"/>
        </w:rPr>
        <w:t>Exact Dataset Source &amp; Access</w:t>
      </w:r>
      <w:r>
        <w:rPr>
          <w:rFonts w:ascii="Arimo" w:hAnsi="Arimo" w:cs="Arimo" w:eastAsia="Arimo"/>
          <w:color w:val="000000"/>
          <w:sz w:val="24"/>
          <w:szCs w:val="24"/>
        </w:rPr>
        <w:t xml:space="preserve">
</w:t>
      </w:r>
    </w:p>
    <w:p>
      <w:pPr>
        <w:spacing w:after="120" w:before="120" w:line="336" w:lineRule="auto"/>
        <w:ind w:firstLine="0" w:start="0"/>
        <w:jc w:val="start"/>
      </w:pPr>
      <w:r>
        <w:rPr>
          <w:rFonts w:ascii="Arial" w:hAnsi="Arial" w:cs="Arial" w:eastAsia="Arial"/>
          <w:color w:val="1a1a1a"/>
          <w:sz w:val="22"/>
          <w:szCs w:val="22"/>
        </w:rPr>
        <w:t>Dataset Name: Retail Store Sales Dataset</w:t>
      </w:r>
      <w:r>
        <w:rPr>
          <w:rFonts w:ascii="Arimo" w:hAnsi="Arimo" w:cs="Arimo" w:eastAsia="Arimo"/>
          <w:color w:val="000000"/>
          <w:sz w:val="24"/>
          <w:szCs w:val="24"/>
        </w:rPr>
        <w:t xml:space="preserve">
</w:t>
      </w:r>
    </w:p>
    <w:p>
      <w:pPr>
        <w:spacing w:after="120" w:before="120" w:line="336" w:lineRule="auto"/>
        <w:ind w:firstLine="0" w:start="0"/>
        <w:jc w:val="start"/>
      </w:pPr>
      <w:r>
        <w:rPr>
          <w:rFonts w:ascii="Arial" w:hAnsi="Arial" w:cs="Arial" w:eastAsia="Arial"/>
          <w:color w:val="1a1a1a"/>
          <w:sz w:val="22"/>
          <w:szCs w:val="22"/>
        </w:rPr>
        <w:t>Source Platform: Kaggle</w:t>
      </w:r>
      <w:r>
        <w:rPr>
          <w:rFonts w:ascii="Arimo" w:hAnsi="Arimo" w:cs="Arimo" w:eastAsia="Arimo"/>
          <w:color w:val="000000"/>
          <w:sz w:val="24"/>
          <w:szCs w:val="24"/>
        </w:rPr>
        <w:t xml:space="preserve">
</w:t>
      </w:r>
    </w:p>
    <w:p>
      <w:pPr>
        <w:spacing w:after="120" w:before="120" w:line="336" w:lineRule="auto"/>
        <w:ind w:firstLine="0" w:start="0"/>
        <w:jc w:val="start"/>
      </w:pPr>
      <w:r>
        <w:rPr>
          <w:rFonts w:ascii="Arial" w:hAnsi="Arial" w:cs="Arial" w:eastAsia="Arial"/>
          <w:color w:val="1a1a1a"/>
          <w:sz w:val="22"/>
          <w:szCs w:val="22"/>
        </w:rPr>
        <w:t>Citation: Fares Ashraf (2024). Retail Store Sales. Kaggle. https://www.kaggle.com/datasets/faresashraf1001/retail-store-sales</w:t>
      </w:r>
      <w:r>
        <w:rPr>
          <w:rFonts w:ascii="Arimo" w:hAnsi="Arimo" w:cs="Arimo" w:eastAsia="Arimo"/>
          <w:color w:val="000000"/>
          <w:sz w:val="24"/>
          <w:szCs w:val="24"/>
        </w:rPr>
        <w:t xml:space="preserve">
</w:t>
      </w:r>
    </w:p>
    <w:p>
      <w:pPr>
        <w:spacing w:after="120" w:before="120" w:line="336" w:lineRule="auto"/>
        <w:ind w:firstLine="0" w:start="0"/>
        <w:jc w:val="start"/>
      </w:pPr>
      <w:r>
        <w:rPr>
          <w:rFonts w:ascii="Arial" w:hAnsi="Arial" w:cs="Arial" w:eastAsia="Arial"/>
          <w:color w:val="1a1a1a"/>
          <w:sz w:val="22"/>
          <w:szCs w:val="22"/>
        </w:rPr>
        <w:t>Our Working File (Google Sheets — Raw Data, Cleaned Data, Pivot Tables, Dashboard):</w:t>
      </w:r>
      <w:r>
        <w:rPr>
          <w:rFonts w:ascii="Arimo" w:hAnsi="Arimo" w:cs="Arimo" w:eastAsia="Arimo"/>
          <w:color w:val="000000"/>
          <w:sz w:val="24"/>
          <w:szCs w:val="24"/>
        </w:rPr>
        <w:t xml:space="preserve">
</w:t>
      </w:r>
    </w:p>
    <w:p>
      <w:pPr>
        <w:spacing w:after="120" w:before="120" w:line="336" w:lineRule="auto"/>
        <w:ind w:firstLine="0" w:start="0"/>
        <w:jc w:val="start"/>
      </w:pPr>
      <w:r>
        <w:rPr>
          <w:rFonts w:ascii="Arial" w:hAnsi="Arial" w:cs="Arial" w:eastAsia="Arial"/>
          <w:color w:val="1a1a1a"/>
          <w:sz w:val="22"/>
          <w:szCs w:val="22"/>
        </w:rPr>
        <w:t>https://docs.google.com/spreadsheets/d/112HhLBUQNRM1SgkNvdGLBjG2Wk2nk5YADVmCigKOx2Q/edit?usp=sharing</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al Bold" w:hAnsi="Arial Bold" w:cs="Arial Bold" w:eastAsia="Arial Bold"/>
          <w:b/>
          <w:bCs/>
          <w:color w:val="2e75b6"/>
          <w:sz w:val="26"/>
          <w:szCs w:val="26"/>
        </w:rPr>
        <w:t>Data Structure &amp; Column Explanation</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2025"/>
        <w:gridCol w:w="1350"/>
        <w:gridCol w:w="3376"/>
        <w:gridCol w:w="2276"/>
      </w:tblGrid>
      <w:tr>
        <w:tc>
          <w:tcPr>
            <w:tcW w:w="2025" w:type="dxa"/>
            <w:tcBorders>
              <w:top w:color="cccccc" w:sz="1" w:val="single"/>
              <w:start w:color="cccccc" w:sz="1" w:val="single"/>
              <w:bottom w:color="cccccc" w:sz="1" w:val="single"/>
              <w:end w:color="cccccc" w:sz="1" w:val="single"/>
            </w:tcBorders>
            <w:shd w:val="clear" w:color="auto" w:fill="1f4e79"/>
            <w:tcMar>
              <w:top w:w="75"/>
              <w:start w:w="75"/>
              <w:bottom w:w="75"/>
              <w:end w:w="75"/>
            </w:tcMar>
          </w:tcPr>
          <w:p>
            <w:pPr>
              <w:spacing w:after="120" w:before="120" w:line="336" w:lineRule="auto"/>
              <w:ind w:firstLine="0" w:start="0"/>
              <w:jc w:val="start"/>
            </w:pPr>
            <w:r>
              <w:rPr>
                <w:rFonts w:ascii="Arial Bold" w:hAnsi="Arial Bold" w:cs="Arial Bold" w:eastAsia="Arial Bold"/>
                <w:b/>
                <w:bCs/>
                <w:color w:val="ffffff"/>
                <w:sz w:val="20"/>
                <w:szCs w:val="20"/>
              </w:rPr>
              <w:t>Column Name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350" w:type="dxa"/>
            <w:tcBorders>
              <w:top w:color="cccccc" w:sz="1" w:val="single"/>
              <w:start w:color="cccccc" w:sz="1" w:val="single"/>
              <w:bottom w:color="cccccc" w:sz="1" w:val="single"/>
              <w:end w:color="cccccc" w:sz="1" w:val="single"/>
            </w:tcBorders>
            <w:shd w:val="clear" w:color="auto" w:fill="1f4e79"/>
            <w:tcMar>
              <w:top w:w="75"/>
              <w:start w:w="75"/>
              <w:bottom w:w="75"/>
              <w:end w:w="75"/>
            </w:tcMar>
          </w:tcPr>
          <w:p>
            <w:pPr>
              <w:spacing w:after="120" w:before="120" w:line="336" w:lineRule="auto"/>
              <w:ind w:firstLine="0" w:start="0"/>
              <w:jc w:val="start"/>
            </w:pPr>
            <w:r>
              <w:rPr>
                <w:rFonts w:ascii="Arial Bold" w:hAnsi="Arial Bold" w:cs="Arial Bold" w:eastAsia="Arial Bold"/>
                <w:b/>
                <w:bCs/>
                <w:color w:val="ffffff"/>
                <w:sz w:val="20"/>
                <w:szCs w:val="20"/>
              </w:rPr>
              <w:t>Data Type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3376" w:type="dxa"/>
            <w:tcBorders>
              <w:top w:color="cccccc" w:sz="1" w:val="single"/>
              <w:start w:color="cccccc" w:sz="1" w:val="single"/>
              <w:bottom w:color="cccccc" w:sz="1" w:val="single"/>
              <w:end w:color="cccccc" w:sz="1" w:val="single"/>
            </w:tcBorders>
            <w:shd w:val="clear" w:color="auto" w:fill="1f4e79"/>
            <w:tcMar>
              <w:top w:w="75"/>
              <w:start w:w="75"/>
              <w:bottom w:w="75"/>
              <w:end w:w="75"/>
            </w:tcMar>
          </w:tcPr>
          <w:p>
            <w:pPr>
              <w:spacing w:after="120" w:before="120" w:line="336" w:lineRule="auto"/>
              <w:ind w:firstLine="0" w:start="0"/>
              <w:jc w:val="start"/>
            </w:pPr>
            <w:r>
              <w:rPr>
                <w:rFonts w:ascii="Arial Bold" w:hAnsi="Arial Bold" w:cs="Arial Bold" w:eastAsia="Arial Bold"/>
                <w:b/>
                <w:bCs/>
                <w:color w:val="ffffff"/>
                <w:sz w:val="20"/>
                <w:szCs w:val="20"/>
              </w:rPr>
              <w:t>Description</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276" w:type="dxa"/>
            <w:tcBorders>
              <w:top w:color="cccccc" w:sz="1" w:val="single"/>
              <w:start w:color="cccccc" w:sz="1" w:val="single"/>
              <w:bottom w:color="cccccc" w:sz="1" w:val="single"/>
              <w:end w:color="cccccc" w:sz="1" w:val="single"/>
            </w:tcBorders>
            <w:shd w:val="clear" w:color="auto" w:fill="1f4e79"/>
            <w:tcMar>
              <w:top w:w="75"/>
              <w:start w:w="75"/>
              <w:bottom w:w="75"/>
              <w:end w:w="75"/>
            </w:tcMar>
          </w:tcPr>
          <w:p>
            <w:pPr>
              <w:spacing w:after="120" w:before="120" w:line="336" w:lineRule="auto"/>
              <w:ind w:firstLine="0" w:start="0"/>
              <w:jc w:val="start"/>
            </w:pPr>
            <w:r>
              <w:rPr>
                <w:rFonts w:ascii="Arial Bold" w:hAnsi="Arial Bold" w:cs="Arial Bold" w:eastAsia="Arial Bold"/>
                <w:b/>
                <w:bCs/>
                <w:color w:val="ffffff"/>
                <w:sz w:val="20"/>
                <w:szCs w:val="20"/>
              </w:rPr>
              <w:t>Example Value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2025"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Transaction ID</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350"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String</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3376"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Unique identifier for each transaction</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276"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TXN_6867343</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2025" w:type="dxa"/>
            <w:tcBorders>
              <w:top w:color="cccccc" w:sz="1" w:val="single"/>
              <w:start w:color="cccccc" w:sz="1" w:val="single"/>
              <w:bottom w:color="cccccc" w:sz="1" w:val="single"/>
              <w:end w:color="cccccc" w:sz="1" w:val="single"/>
            </w:tcBorders>
            <w:shd w:val="clear" w:color="auto" w:fill="ebf5fb"/>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Customer ID</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350" w:type="dxa"/>
            <w:tcBorders>
              <w:top w:color="cccccc" w:sz="1" w:val="single"/>
              <w:start w:color="cccccc" w:sz="1" w:val="single"/>
              <w:bottom w:color="cccccc" w:sz="1" w:val="single"/>
              <w:end w:color="cccccc" w:sz="1" w:val="single"/>
            </w:tcBorders>
            <w:shd w:val="clear" w:color="auto" w:fill="ebf5fb"/>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String</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3376" w:type="dxa"/>
            <w:tcBorders>
              <w:top w:color="cccccc" w:sz="1" w:val="single"/>
              <w:start w:color="cccccc" w:sz="1" w:val="single"/>
              <w:bottom w:color="cccccc" w:sz="1" w:val="single"/>
              <w:end w:color="cccccc" w:sz="1" w:val="single"/>
            </w:tcBorders>
            <w:shd w:val="clear" w:color="auto" w:fill="ebf5fb"/>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Anonymised customer identifier (25 unique customers)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276" w:type="dxa"/>
            <w:tcBorders>
              <w:top w:color="cccccc" w:sz="1" w:val="single"/>
              <w:start w:color="cccccc" w:sz="1" w:val="single"/>
              <w:bottom w:color="cccccc" w:sz="1" w:val="single"/>
              <w:end w:color="cccccc" w:sz="1" w:val="single"/>
            </w:tcBorders>
            <w:shd w:val="clear" w:color="auto" w:fill="ebf5fb"/>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CUST_09</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2025"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Category</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350"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String</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3376"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Product category — 8 distinct categories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276"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Patisserie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2025" w:type="dxa"/>
            <w:tcBorders>
              <w:top w:color="cccccc" w:sz="1" w:val="single"/>
              <w:start w:color="cccccc" w:sz="1" w:val="single"/>
              <w:bottom w:color="cccccc" w:sz="1" w:val="single"/>
              <w:end w:color="cccccc" w:sz="1" w:val="single"/>
            </w:tcBorders>
            <w:shd w:val="clear" w:color="auto" w:fill="ebf5fb"/>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Item</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350" w:type="dxa"/>
            <w:tcBorders>
              <w:top w:color="cccccc" w:sz="1" w:val="single"/>
              <w:start w:color="cccccc" w:sz="1" w:val="single"/>
              <w:bottom w:color="cccccc" w:sz="1" w:val="single"/>
              <w:end w:color="cccccc" w:sz="1" w:val="single"/>
            </w:tcBorders>
            <w:shd w:val="clear" w:color="auto" w:fill="ebf5fb"/>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String</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3376" w:type="dxa"/>
            <w:tcBorders>
              <w:top w:color="cccccc" w:sz="1" w:val="single"/>
              <w:start w:color="cccccc" w:sz="1" w:val="single"/>
              <w:bottom w:color="cccccc" w:sz="1" w:val="single"/>
              <w:end w:color="cccccc" w:sz="1" w:val="single"/>
            </w:tcBorders>
            <w:shd w:val="clear" w:color="auto" w:fill="ebf5fb"/>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Specific product SKU code within its category</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276" w:type="dxa"/>
            <w:tcBorders>
              <w:top w:color="cccccc" w:sz="1" w:val="single"/>
              <w:start w:color="cccccc" w:sz="1" w:val="single"/>
              <w:bottom w:color="cccccc" w:sz="1" w:val="single"/>
              <w:end w:color="cccccc" w:sz="1" w:val="single"/>
            </w:tcBorders>
            <w:shd w:val="clear" w:color="auto" w:fill="ebf5fb"/>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Item_10_PAT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2025"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Price Per Unit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350"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Decimal</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3376"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Unit selling price in local currency</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276"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18.5</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2025" w:type="dxa"/>
            <w:tcBorders>
              <w:top w:color="cccccc" w:sz="1" w:val="single"/>
              <w:start w:color="cccccc" w:sz="1" w:val="single"/>
              <w:bottom w:color="cccccc" w:sz="1" w:val="single"/>
              <w:end w:color="cccccc" w:sz="1" w:val="single"/>
            </w:tcBorders>
            <w:shd w:val="clear" w:color="auto" w:fill="ebf5fb"/>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Quantity</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350" w:type="dxa"/>
            <w:tcBorders>
              <w:top w:color="cccccc" w:sz="1" w:val="single"/>
              <w:start w:color="cccccc" w:sz="1" w:val="single"/>
              <w:bottom w:color="cccccc" w:sz="1" w:val="single"/>
              <w:end w:color="cccccc" w:sz="1" w:val="single"/>
            </w:tcBorders>
            <w:shd w:val="clear" w:color="auto" w:fill="ebf5fb"/>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Integer</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3376" w:type="dxa"/>
            <w:tcBorders>
              <w:top w:color="cccccc" w:sz="1" w:val="single"/>
              <w:start w:color="cccccc" w:sz="1" w:val="single"/>
              <w:bottom w:color="cccccc" w:sz="1" w:val="single"/>
              <w:end w:color="cccccc" w:sz="1" w:val="single"/>
            </w:tcBorders>
            <w:shd w:val="clear" w:color="auto" w:fill="ebf5fb"/>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Number of units purchased in the transaction</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276" w:type="dxa"/>
            <w:tcBorders>
              <w:top w:color="cccccc" w:sz="1" w:val="single"/>
              <w:start w:color="cccccc" w:sz="1" w:val="single"/>
              <w:bottom w:color="cccccc" w:sz="1" w:val="single"/>
              <w:end w:color="cccccc" w:sz="1" w:val="single"/>
            </w:tcBorders>
            <w:shd w:val="clear" w:color="auto" w:fill="ebf5fb"/>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10</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2025"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Total Spent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350"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Decimal</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3376"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Price Per Unit × Quantity (transaction revenue)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276"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185.0</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2025" w:type="dxa"/>
            <w:tcBorders>
              <w:top w:color="cccccc" w:sz="1" w:val="single"/>
              <w:start w:color="cccccc" w:sz="1" w:val="single"/>
              <w:bottom w:color="cccccc" w:sz="1" w:val="single"/>
              <w:end w:color="cccccc" w:sz="1" w:val="single"/>
            </w:tcBorders>
            <w:shd w:val="clear" w:color="auto" w:fill="ebf5fb"/>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Payment Method</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350" w:type="dxa"/>
            <w:tcBorders>
              <w:top w:color="cccccc" w:sz="1" w:val="single"/>
              <w:start w:color="cccccc" w:sz="1" w:val="single"/>
              <w:bottom w:color="cccccc" w:sz="1" w:val="single"/>
              <w:end w:color="cccccc" w:sz="1" w:val="single"/>
            </w:tcBorders>
            <w:shd w:val="clear" w:color="auto" w:fill="ebf5fb"/>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String</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3376" w:type="dxa"/>
            <w:tcBorders>
              <w:top w:color="cccccc" w:sz="1" w:val="single"/>
              <w:start w:color="cccccc" w:sz="1" w:val="single"/>
              <w:bottom w:color="cccccc" w:sz="1" w:val="single"/>
              <w:end w:color="cccccc" w:sz="1" w:val="single"/>
            </w:tcBorders>
            <w:shd w:val="clear" w:color="auto" w:fill="ebf5fb"/>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Mode of payment used by the customer</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276" w:type="dxa"/>
            <w:tcBorders>
              <w:top w:color="cccccc" w:sz="1" w:val="single"/>
              <w:start w:color="cccccc" w:sz="1" w:val="single"/>
              <w:bottom w:color="cccccc" w:sz="1" w:val="single"/>
              <w:end w:color="cccccc" w:sz="1" w:val="single"/>
            </w:tcBorders>
            <w:shd w:val="clear" w:color="auto" w:fill="ebf5fb"/>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Digital Wallet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2025"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Location</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350"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String</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3376"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Sales channel: Online or In-store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276"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Online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2025" w:type="dxa"/>
            <w:tcBorders>
              <w:top w:color="cccccc" w:sz="1" w:val="single"/>
              <w:start w:color="cccccc" w:sz="1" w:val="single"/>
              <w:bottom w:color="cccccc" w:sz="1" w:val="single"/>
              <w:end w:color="cccccc" w:sz="1" w:val="single"/>
            </w:tcBorders>
            <w:shd w:val="clear" w:color="auto" w:fill="ebf5fb"/>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Transaction Date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350" w:type="dxa"/>
            <w:tcBorders>
              <w:top w:color="cccccc" w:sz="1" w:val="single"/>
              <w:start w:color="cccccc" w:sz="1" w:val="single"/>
              <w:bottom w:color="cccccc" w:sz="1" w:val="single"/>
              <w:end w:color="cccccc" w:sz="1" w:val="single"/>
            </w:tcBorders>
            <w:shd w:val="clear" w:color="auto" w:fill="ebf5fb"/>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Date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3376" w:type="dxa"/>
            <w:tcBorders>
              <w:top w:color="cccccc" w:sz="1" w:val="single"/>
              <w:start w:color="cccccc" w:sz="1" w:val="single"/>
              <w:bottom w:color="cccccc" w:sz="1" w:val="single"/>
              <w:end w:color="cccccc" w:sz="1" w:val="single"/>
            </w:tcBorders>
            <w:shd w:val="clear" w:color="auto" w:fill="ebf5fb"/>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Date of transaction (YYYY-MM-DD format)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276" w:type="dxa"/>
            <w:tcBorders>
              <w:top w:color="cccccc" w:sz="1" w:val="single"/>
              <w:start w:color="cccccc" w:sz="1" w:val="single"/>
              <w:bottom w:color="cccccc" w:sz="1" w:val="single"/>
              <w:end w:color="cccccc" w:sz="1" w:val="single"/>
            </w:tcBorders>
            <w:shd w:val="clear" w:color="auto" w:fill="ebf5fb"/>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2024-04-08</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2025"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Discount Applied</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350"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Boolean</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3376"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Whether a discount was applied (TRUE / FALSE)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276"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TRUE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bl>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al Bold" w:hAnsi="Arial Bold" w:cs="Arial Bold" w:eastAsia="Arial Bold"/>
          <w:b/>
          <w:bCs/>
          <w:color w:val="2e75b6"/>
          <w:sz w:val="26"/>
          <w:szCs w:val="26"/>
        </w:rPr>
        <w:t>Data Size</w:t>
      </w:r>
      <w:r>
        <w:rPr>
          <w:rFonts w:ascii="Arimo" w:hAnsi="Arimo" w:cs="Arimo" w:eastAsia="Arimo"/>
          <w:color w:val="000000"/>
          <w:sz w:val="24"/>
          <w:szCs w:val="24"/>
        </w:rPr>
        <w:t xml:space="preserve">
</w:t>
      </w:r>
    </w:p>
    <w:p>
      <w:pPr>
        <w:spacing w:after="120" w:before="120" w:line="336" w:lineRule="auto"/>
        <w:ind w:firstLine="0" w:start="0"/>
        <w:jc w:val="start"/>
      </w:pPr>
      <w:r>
        <w:rPr>
          <w:rFonts w:ascii="Arial" w:hAnsi="Arial" w:cs="Arial" w:eastAsia="Arial"/>
          <w:color w:val="1a1a1a"/>
          <w:sz w:val="22"/>
          <w:szCs w:val="22"/>
        </w:rPr>
        <w:t>Our dataset contained approximately 11,500 raw rows. After our cleaning process, we retained 11,362 valid transaction records. The data spans 37 months (January 2022 to January 2025) and covers 25 unique customers, 8 product categories, 3 payment methods (Cash, Credit Card, Digital Wallet), and 2 channels (Online, In-store).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al Bold" w:hAnsi="Arial Bold" w:cs="Arial Bold" w:eastAsia="Arial Bold"/>
          <w:b/>
          <w:bCs/>
          <w:color w:val="2e75b6"/>
          <w:sz w:val="26"/>
          <w:szCs w:val="26"/>
        </w:rPr>
        <w:t>Data Limitations</w:t>
      </w:r>
      <w:r>
        <w:rPr>
          <w:rFonts w:ascii="Arimo" w:hAnsi="Arimo" w:cs="Arimo" w:eastAsia="Arimo"/>
          <w:color w:val="000000"/>
          <w:sz w:val="24"/>
          <w:szCs w:val="24"/>
        </w:rPr>
        <w:t xml:space="preserve">
</w:t>
      </w:r>
    </w:p>
    <w:p>
      <w:pPr>
        <w:spacing w:after="120" w:before="120" w:line="336" w:lineRule="auto"/>
        <w:ind w:firstLine="0" w:start="0"/>
        <w:jc w:val="start"/>
      </w:pPr>
      <w:r>
        <w:rPr>
          <w:rFonts w:ascii="Arial" w:hAnsi="Arial" w:cs="Arial" w:eastAsia="Arial"/>
          <w:color w:val="1a1a1a"/>
          <w:sz w:val="22"/>
          <w:szCs w:val="22"/>
        </w:rPr>
        <w:t>We identified the following limitations in our dataset before beginning analysis:</w:t>
      </w:r>
      <w:r>
        <w:rPr>
          <w:rFonts w:ascii="Arimo" w:hAnsi="Arimo" w:cs="Arimo" w:eastAsia="Arimo"/>
          <w:color w:val="000000"/>
          <w:sz w:val="24"/>
          <w:szCs w:val="24"/>
        </w:rPr>
        <w:t xml:space="preserve">
</w:t>
      </w:r>
    </w:p>
    <w:p>
      <w:pPr>
        <w:numPr>
          <w:ilvl w:val="0"/>
          <w:numId w:val="5"/>
        </w:numPr>
        <w:spacing w:after="0" w:before="0" w:line="336" w:lineRule="auto"/>
        <w:jc w:val="start"/>
      </w:pPr>
      <w:r>
        <w:rPr>
          <w:rFonts w:ascii="Arial" w:hAnsi="Arial" w:cs="Arial" w:eastAsia="Arial"/>
          <w:color w:val="1a1a1a"/>
          <w:sz w:val="22"/>
          <w:szCs w:val="22"/>
        </w:rPr>
        <w:t>Several rows had missing values in the Item, Price Per Unit, Quantity, and Discount Applied fields — requiring careful imputation.</w:t>
      </w:r>
      <w:r>
        <w:rPr>
          <w:rFonts w:ascii="Arimo" w:hAnsi="Arimo" w:cs="Arimo" w:eastAsia="Arimo"/>
          <w:color w:val="000000"/>
          <w:sz w:val="24"/>
          <w:szCs w:val="24"/>
        </w:rPr>
        <w:t xml:space="preserve">
</w:t>
      </w:r>
    </w:p>
    <w:p>
      <w:pPr>
        <w:numPr>
          <w:ilvl w:val="0"/>
          <w:numId w:val="5"/>
        </w:numPr>
        <w:spacing w:after="0" w:before="0" w:line="336" w:lineRule="auto"/>
        <w:jc w:val="start"/>
      </w:pPr>
      <w:r>
        <w:rPr>
          <w:rFonts w:ascii="Arial" w:hAnsi="Arial" w:cs="Arial" w:eastAsia="Arial"/>
          <w:color w:val="1a1a1a"/>
          <w:sz w:val="22"/>
          <w:szCs w:val="22"/>
        </w:rPr>
        <w:t>No Cost of Goods Sold (COGS) data is available, making true gross margin or profitability analysis impossible.</w:t>
      </w:r>
      <w:r>
        <w:rPr>
          <w:rFonts w:ascii="Arimo" w:hAnsi="Arimo" w:cs="Arimo" w:eastAsia="Arimo"/>
          <w:color w:val="000000"/>
          <w:sz w:val="24"/>
          <w:szCs w:val="24"/>
        </w:rPr>
        <w:t xml:space="preserve">
</w:t>
      </w:r>
    </w:p>
    <w:p>
      <w:pPr>
        <w:numPr>
          <w:ilvl w:val="0"/>
          <w:numId w:val="5"/>
        </w:numPr>
        <w:spacing w:after="0" w:before="0" w:line="336" w:lineRule="auto"/>
        <w:jc w:val="start"/>
      </w:pPr>
      <w:r>
        <w:rPr>
          <w:rFonts w:ascii="Arial" w:hAnsi="Arial" w:cs="Arial" w:eastAsia="Arial"/>
          <w:color w:val="1a1a1a"/>
          <w:sz w:val="22"/>
          <w:szCs w:val="22"/>
        </w:rPr>
        <w:t>Only 25 unique customers exist — this is a narrow base that may limit the generalisability of customer behaviour findings.</w:t>
      </w:r>
      <w:r>
        <w:rPr>
          <w:rFonts w:ascii="Arimo" w:hAnsi="Arimo" w:cs="Arimo" w:eastAsia="Arimo"/>
          <w:color w:val="000000"/>
          <w:sz w:val="24"/>
          <w:szCs w:val="24"/>
        </w:rPr>
        <w:t xml:space="preserve">
</w:t>
      </w:r>
    </w:p>
    <w:p>
      <w:pPr>
        <w:numPr>
          <w:ilvl w:val="0"/>
          <w:numId w:val="5"/>
        </w:numPr>
        <w:spacing w:after="0" w:before="0" w:line="336" w:lineRule="auto"/>
        <w:jc w:val="start"/>
      </w:pPr>
      <w:r>
        <w:rPr>
          <w:rFonts w:ascii="Arial" w:hAnsi="Arial" w:cs="Arial" w:eastAsia="Arial"/>
          <w:color w:val="1a1a1a"/>
          <w:sz w:val="22"/>
          <w:szCs w:val="22"/>
        </w:rPr>
        <w:t>No geographic or store-location granularity was available for location-based performance benchmarking.</w:t>
      </w:r>
      <w:r>
        <w:rPr>
          <w:rFonts w:ascii="Arimo" w:hAnsi="Arimo" w:cs="Arimo" w:eastAsia="Arimo"/>
          <w:color w:val="000000"/>
          <w:sz w:val="24"/>
          <w:szCs w:val="24"/>
        </w:rPr>
        <w:t xml:space="preserve">
</w:t>
      </w:r>
    </w:p>
    <w:p>
      <w:pPr>
        <w:numPr>
          <w:ilvl w:val="0"/>
          <w:numId w:val="5"/>
        </w:numPr>
        <w:spacing w:after="0" w:before="0" w:line="336" w:lineRule="auto"/>
        <w:jc w:val="start"/>
      </w:pPr>
      <w:r>
        <w:rPr>
          <w:rFonts w:ascii="Arial" w:hAnsi="Arial" w:cs="Arial" w:eastAsia="Arial"/>
          <w:color w:val="1a1a1a"/>
          <w:sz w:val="22"/>
          <w:szCs w:val="22"/>
        </w:rPr>
        <w:t>The Discount Applied field had blank entries that could not definitively be treated as either TRUE or FALSE.</w:t>
      </w:r>
      <w:r>
        <w:rPr>
          <w:rFonts w:ascii="Arimo" w:hAnsi="Arimo" w:cs="Arimo" w:eastAsia="Arimo"/>
          <w:color w:val="000000"/>
          <w:sz w:val="24"/>
          <w:szCs w:val="24"/>
        </w:rPr>
        <w:t xml:space="preserve">
</w:t>
      </w:r>
    </w:p>
    <w:p>
      <w:pPr>
        <w:spacing w:after="120" w:before="120" w:line="336" w:lineRule="auto"/>
        <w:ind w:firstLine="0" w:start="0"/>
        <w:jc w:val="center"/>
      </w:pPr>
      <w:r>
        <w:rPr>
          <w:rFonts w:ascii="Arial" w:hAnsi="Arial" w:cs="Arial" w:eastAsia="Arial"/>
          <w:color w:val="888888"/>
          <w:sz w:val="16"/>
          <w:szCs w:val="16"/>
        </w:rPr>
        <w:t>Team: Mayank | Archit | Manjeet | Jivit | Sushant | Akhilesh  |  Newton School of Technology</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pPr>
      <w:r>
        <w:br w:type="page"/>
      </w:r>
    </w:p>
    <w:p>
      <w:pPr>
        <w:spacing w:after="120" w:before="120" w:line="336" w:lineRule="auto"/>
        <w:ind w:firstLine="0" w:start="0"/>
        <w:jc w:val="start"/>
      </w:pPr>
      <w:r>
        <w:rPr>
          <w:rFonts w:ascii="Arial Italics" w:hAnsi="Arial Italics" w:cs="Arial Italics" w:eastAsia="Arial Italics"/>
          <w:i/>
          <w:iCs/>
          <w:color w:val="777777"/>
          <w:sz w:val="18"/>
          <w:szCs w:val="18"/>
        </w:rPr>
        <w:t xml:space="preserve">
</w:t>
      </w:r>
    </w:p>
    <w:p>
      <w:pPr>
        <w:spacing w:after="120" w:before="120" w:line="336" w:lineRule="auto"/>
        <w:ind w:firstLine="0" w:start="0"/>
        <w:jc w:val="start"/>
      </w:pPr>
      <w:r>
        <w:rPr>
          <w:rFonts w:ascii="Arial Bold" w:hAnsi="Arial Bold" w:cs="Arial Bold" w:eastAsia="Arial Bold"/>
          <w:b/>
          <w:bCs/>
          <w:color w:val="1f4e79"/>
          <w:sz w:val="34"/>
          <w:szCs w:val="34"/>
        </w:rPr>
        <w:t>6. Data Cleaning &amp; Preparation</w:t>
      </w:r>
      <w:r>
        <w:rPr>
          <w:rFonts w:ascii="Arimo" w:hAnsi="Arimo" w:cs="Arimo" w:eastAsia="Arimo"/>
          <w:color w:val="000000"/>
          <w:sz w:val="24"/>
          <w:szCs w:val="24"/>
        </w:rPr>
        <w:t xml:space="preserve">
</w:t>
      </w:r>
    </w:p>
    <w:p>
      <w:pPr>
        <w:spacing w:after="120" w:before="120" w:line="336" w:lineRule="auto"/>
        <w:ind w:firstLine="0" w:start="0"/>
        <w:jc w:val="start"/>
      </w:pPr>
      <w:r>
        <w:rPr>
          <w:rFonts w:ascii="Arial" w:hAnsi="Arial" w:cs="Arial" w:eastAsia="Arial"/>
          <w:color w:val="1a1a1a"/>
          <w:sz w:val="22"/>
          <w:szCs w:val="22"/>
        </w:rPr>
        <w:t>All primary cleaning and transformation steps were executed in Google Sheets, as per the capstone requirement. We performed our cleaning on the 'retail_store_sales_raw' sheet and maintained the cleaned output in the 'retail_store_sales_cleaned' sheet.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al Bold" w:hAnsi="Arial Bold" w:cs="Arial Bold" w:eastAsia="Arial Bold"/>
          <w:b/>
          <w:bCs/>
          <w:color w:val="2e75b6"/>
          <w:sz w:val="26"/>
          <w:szCs w:val="26"/>
        </w:rPr>
        <w:t>Cleaning Steps Performed</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1929"/>
        <w:gridCol w:w="2894"/>
        <w:gridCol w:w="2276"/>
        <w:gridCol w:w="1929"/>
      </w:tblGrid>
      <w:tr>
        <w:tc>
          <w:tcPr>
            <w:tcW w:w="1929" w:type="dxa"/>
            <w:tcBorders>
              <w:top w:color="cccccc" w:sz="1" w:val="single"/>
              <w:start w:color="cccccc" w:sz="1" w:val="single"/>
              <w:bottom w:color="cccccc" w:sz="1" w:val="single"/>
              <w:end w:color="cccccc" w:sz="1" w:val="single"/>
            </w:tcBorders>
            <w:shd w:val="clear" w:color="auto" w:fill="1f4e79"/>
            <w:tcMar>
              <w:top w:w="75"/>
              <w:start w:w="75"/>
              <w:bottom w:w="75"/>
              <w:end w:w="75"/>
            </w:tcMar>
          </w:tcPr>
          <w:p>
            <w:pPr>
              <w:spacing w:after="120" w:before="120" w:line="336" w:lineRule="auto"/>
              <w:ind w:firstLine="0" w:start="0"/>
              <w:jc w:val="start"/>
            </w:pPr>
            <w:r>
              <w:rPr>
                <w:rFonts w:ascii="Arial Bold" w:hAnsi="Arial Bold" w:cs="Arial Bold" w:eastAsia="Arial Bold"/>
                <w:b/>
                <w:bCs/>
                <w:color w:val="ffffff"/>
                <w:sz w:val="20"/>
                <w:szCs w:val="20"/>
              </w:rPr>
              <w:t>Issue Found</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894" w:type="dxa"/>
            <w:tcBorders>
              <w:top w:color="cccccc" w:sz="1" w:val="single"/>
              <w:start w:color="cccccc" w:sz="1" w:val="single"/>
              <w:bottom w:color="cccccc" w:sz="1" w:val="single"/>
              <w:end w:color="cccccc" w:sz="1" w:val="single"/>
            </w:tcBorders>
            <w:shd w:val="clear" w:color="auto" w:fill="1f4e79"/>
            <w:tcMar>
              <w:top w:w="75"/>
              <w:start w:w="75"/>
              <w:bottom w:w="75"/>
              <w:end w:w="75"/>
            </w:tcMar>
          </w:tcPr>
          <w:p>
            <w:pPr>
              <w:spacing w:after="120" w:before="120" w:line="336" w:lineRule="auto"/>
              <w:ind w:firstLine="0" w:start="0"/>
              <w:jc w:val="start"/>
            </w:pPr>
            <w:r>
              <w:rPr>
                <w:rFonts w:ascii="Arial Bold" w:hAnsi="Arial Bold" w:cs="Arial Bold" w:eastAsia="Arial Bold"/>
                <w:b/>
                <w:bCs/>
                <w:color w:val="ffffff"/>
                <w:sz w:val="20"/>
                <w:szCs w:val="20"/>
              </w:rPr>
              <w:t>What We Did</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276" w:type="dxa"/>
            <w:tcBorders>
              <w:top w:color="cccccc" w:sz="1" w:val="single"/>
              <w:start w:color="cccccc" w:sz="1" w:val="single"/>
              <w:bottom w:color="cccccc" w:sz="1" w:val="single"/>
              <w:end w:color="cccccc" w:sz="1" w:val="single"/>
            </w:tcBorders>
            <w:shd w:val="clear" w:color="auto" w:fill="1f4e79"/>
            <w:tcMar>
              <w:top w:w="75"/>
              <w:start w:w="75"/>
              <w:bottom w:w="75"/>
              <w:end w:w="75"/>
            </w:tcMar>
          </w:tcPr>
          <w:p>
            <w:pPr>
              <w:spacing w:after="120" w:before="120" w:line="336" w:lineRule="auto"/>
              <w:ind w:firstLine="0" w:start="0"/>
              <w:jc w:val="start"/>
            </w:pPr>
            <w:r>
              <w:rPr>
                <w:rFonts w:ascii="Arial Bold" w:hAnsi="Arial Bold" w:cs="Arial Bold" w:eastAsia="Arial Bold"/>
                <w:b/>
                <w:bCs/>
                <w:color w:val="ffffff"/>
                <w:sz w:val="20"/>
                <w:szCs w:val="20"/>
              </w:rPr>
              <w:t>Assumption Made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929" w:type="dxa"/>
            <w:tcBorders>
              <w:top w:color="cccccc" w:sz="1" w:val="single"/>
              <w:start w:color="cccccc" w:sz="1" w:val="single"/>
              <w:bottom w:color="cccccc" w:sz="1" w:val="single"/>
              <w:end w:color="cccccc" w:sz="1" w:val="single"/>
            </w:tcBorders>
            <w:shd w:val="clear" w:color="auto" w:fill="1f4e79"/>
            <w:tcMar>
              <w:top w:w="75"/>
              <w:start w:w="75"/>
              <w:bottom w:w="75"/>
              <w:end w:w="75"/>
            </w:tcMar>
          </w:tcPr>
          <w:p>
            <w:pPr>
              <w:spacing w:after="120" w:before="120" w:line="336" w:lineRule="auto"/>
              <w:ind w:firstLine="0" w:start="0"/>
              <w:jc w:val="start"/>
            </w:pPr>
            <w:r>
              <w:rPr>
                <w:rFonts w:ascii="Arial Bold" w:hAnsi="Arial Bold" w:cs="Arial Bold" w:eastAsia="Arial Bold"/>
                <w:b/>
                <w:bCs/>
                <w:color w:val="ffffff"/>
                <w:sz w:val="20"/>
                <w:szCs w:val="20"/>
              </w:rPr>
              <w:t>Tool Used</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1929"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 xml:space="preserve">Raw Data Integrity
</w:t>
            </w:r>
          </w:p>
          <w:p>
            <w:pPr>
              <w:spacing w:after="120" w:before="120" w:line="336" w:lineRule="auto"/>
              <w:ind w:firstLine="0" w:start="0"/>
              <w:jc w:val="start"/>
            </w:pPr>
            <w:r>
              <w:rPr>
                <w:rFonts w:ascii="Arial" w:hAnsi="Arial" w:cs="Arial" w:eastAsia="Arial"/>
                <w:color w:val="1a1a1a"/>
                <w:sz w:val="20"/>
                <w:szCs w:val="20"/>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894"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 xml:space="preserve">Copied retail_store_sales_raw into a new working sheet to preserve original dataset
</w:t>
            </w:r>
          </w:p>
          <w:p>
            <w:pPr>
              <w:spacing w:after="120" w:before="120" w:line="336" w:lineRule="auto"/>
              <w:ind w:firstLine="0" w:start="0"/>
              <w:jc w:val="start"/>
            </w:pPr>
            <w:r>
              <w:rPr>
                <w:rFonts w:ascii="Arial" w:hAnsi="Arial" w:cs="Arial" w:eastAsia="Arial"/>
                <w:color w:val="1a1a1a"/>
                <w:sz w:val="20"/>
                <w:szCs w:val="20"/>
              </w:rPr>
              <w:t xml:space="preserve">
</w:t>
            </w:r>
          </w:p>
        </w:tc>
        <w:tc>
          <w:tcPr>
            <w:tcW w:w="2276"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 xml:space="preserve">Original raw data must remain unchanged for traceability
</w:t>
            </w:r>
          </w:p>
          <w:p>
            <w:pPr>
              <w:spacing w:after="120" w:before="120" w:line="336" w:lineRule="auto"/>
              <w:ind w:firstLine="0" w:start="0"/>
              <w:jc w:val="start"/>
            </w:pPr>
            <w:r>
              <w:rPr>
                <w:rFonts w:ascii="Arial" w:hAnsi="Arial" w:cs="Arial" w:eastAsia="Arial"/>
                <w:color w:val="1a1a1a"/>
                <w:sz w:val="20"/>
                <w:szCs w:val="20"/>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929"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 xml:space="preserve">Manual sheet duplication in Google Sheets
</w:t>
            </w:r>
          </w:p>
          <w:p>
            <w:pPr>
              <w:spacing w:after="120" w:before="120" w:line="336" w:lineRule="auto"/>
              <w:ind w:firstLine="0" w:start="0"/>
              <w:jc w:val="start"/>
            </w:pPr>
            <w:r>
              <w:rPr>
                <w:rFonts w:ascii="Arial" w:hAnsi="Arial" w:cs="Arial" w:eastAsia="Arial"/>
                <w:color w:val="1a1a1a"/>
                <w:sz w:val="20"/>
                <w:szCs w:val="20"/>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1929" w:type="dxa"/>
            <w:tcBorders>
              <w:top w:color="cccccc" w:sz="1" w:val="single"/>
              <w:start w:color="cccccc" w:sz="1" w:val="single"/>
              <w:bottom w:color="cccccc" w:sz="1" w:val="single"/>
              <w:end w:color="cccccc" w:sz="1" w:val="single"/>
            </w:tcBorders>
            <w:shd w:val="clear" w:color="auto" w:fill="ebf5fb"/>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 xml:space="preserve">Duplicate Records
</w:t>
            </w:r>
          </w:p>
          <w:p>
            <w:pPr>
              <w:spacing w:after="120" w:before="120" w:line="336" w:lineRule="auto"/>
              <w:ind w:firstLine="0" w:start="0"/>
              <w:jc w:val="start"/>
            </w:pPr>
            <w:r>
              <w:rPr>
                <w:rFonts w:ascii="Arial" w:hAnsi="Arial" w:cs="Arial" w:eastAsia="Arial"/>
                <w:color w:val="1a1a1a"/>
                <w:sz w:val="20"/>
                <w:szCs w:val="20"/>
              </w:rPr>
              <w:t xml:space="preserve">
</w:t>
            </w:r>
          </w:p>
        </w:tc>
        <w:tc>
          <w:tcPr>
            <w:tcW w:w="2894" w:type="dxa"/>
            <w:tcBorders>
              <w:top w:color="cccccc" w:sz="1" w:val="single"/>
              <w:start w:color="cccccc" w:sz="1" w:val="single"/>
              <w:bottom w:color="cccccc" w:sz="1" w:val="single"/>
              <w:end w:color="cccccc" w:sz="1" w:val="single"/>
            </w:tcBorders>
            <w:shd w:val="clear" w:color="auto" w:fill="ebf5fb"/>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 xml:space="preserve">Removed duplicate transaction entries to ensure uniqueness
</w:t>
            </w:r>
          </w:p>
          <w:p>
            <w:pPr>
              <w:spacing w:after="120" w:before="120" w:line="336" w:lineRule="auto"/>
              <w:ind w:firstLine="0" w:start="0"/>
              <w:jc w:val="start"/>
            </w:pPr>
            <w:r>
              <w:rPr>
                <w:rFonts w:ascii="Arial" w:hAnsi="Arial" w:cs="Arial" w:eastAsia="Arial"/>
                <w:color w:val="1a1a1a"/>
                <w:sz w:val="20"/>
                <w:szCs w:val="20"/>
              </w:rPr>
              <w:t xml:space="preserve">
</w:t>
            </w:r>
          </w:p>
        </w:tc>
        <w:tc>
          <w:tcPr>
            <w:tcW w:w="2276" w:type="dxa"/>
            <w:tcBorders>
              <w:top w:color="cccccc" w:sz="1" w:val="single"/>
              <w:start w:color="cccccc" w:sz="1" w:val="single"/>
              <w:bottom w:color="cccccc" w:sz="1" w:val="single"/>
              <w:end w:color="cccccc" w:sz="1" w:val="single"/>
            </w:tcBorders>
            <w:shd w:val="clear" w:color="auto" w:fill="ebf5fb"/>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 xml:space="preserve">Each Transaction ID should be unique
</w:t>
            </w:r>
          </w:p>
          <w:p>
            <w:pPr>
              <w:spacing w:after="120" w:before="120" w:line="336" w:lineRule="auto"/>
              <w:ind w:firstLine="0" w:start="0"/>
              <w:jc w:val="start"/>
            </w:pPr>
            <w:r>
              <w:rPr>
                <w:rFonts w:ascii="Arial" w:hAnsi="Arial" w:cs="Arial" w:eastAsia="Arial"/>
                <w:color w:val="1a1a1a"/>
                <w:sz w:val="20"/>
                <w:szCs w:val="20"/>
              </w:rPr>
              <w:t xml:space="preserve">
</w:t>
            </w:r>
          </w:p>
        </w:tc>
        <w:tc>
          <w:tcPr>
            <w:tcW w:w="1929" w:type="dxa"/>
            <w:tcBorders>
              <w:top w:color="cccccc" w:sz="1" w:val="single"/>
              <w:start w:color="cccccc" w:sz="1" w:val="single"/>
              <w:bottom w:color="cccccc" w:sz="1" w:val="single"/>
              <w:end w:color="cccccc" w:sz="1" w:val="single"/>
            </w:tcBorders>
            <w:shd w:val="clear" w:color="auto" w:fill="ebf5fb"/>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 xml:space="preserve">Remove Duplicates feature in Google Sheets
</w:t>
            </w:r>
          </w:p>
          <w:p>
            <w:pPr>
              <w:spacing w:after="120" w:before="120" w:line="336" w:lineRule="auto"/>
              <w:ind w:firstLine="0" w:start="0"/>
              <w:jc w:val="start"/>
            </w:pPr>
            <w:r>
              <w:rPr>
                <w:rFonts w:ascii="Arial" w:hAnsi="Arial" w:cs="Arial" w:eastAsia="Arial"/>
                <w:color w:val="1a1a1a"/>
                <w:sz w:val="20"/>
                <w:szCs w:val="20"/>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1929"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 xml:space="preserve">Null / Blank Values
</w:t>
            </w:r>
          </w:p>
          <w:p>
            <w:pPr>
              <w:spacing w:after="120" w:before="120" w:line="336" w:lineRule="auto"/>
              <w:ind w:firstLine="0" w:start="0"/>
              <w:jc w:val="start"/>
            </w:pPr>
            <w:r>
              <w:rPr>
                <w:rFonts w:ascii="Arial" w:hAnsi="Arial" w:cs="Arial" w:eastAsia="Arial"/>
                <w:color w:val="1a1a1a"/>
                <w:sz w:val="20"/>
                <w:szCs w:val="20"/>
              </w:rPr>
              <w:t xml:space="preserve">
</w:t>
            </w:r>
          </w:p>
        </w:tc>
        <w:tc>
          <w:tcPr>
            <w:tcW w:w="2894"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 xml:space="preserve">Applied filters to detect blanks; removed rows where Column D was blank using FILTER formula
</w:t>
            </w:r>
          </w:p>
          <w:p>
            <w:pPr>
              <w:spacing w:after="120" w:before="120" w:line="336" w:lineRule="auto"/>
              <w:ind w:firstLine="0" w:start="0"/>
              <w:jc w:val="start"/>
            </w:pPr>
            <w:r>
              <w:rPr>
                <w:rFonts w:ascii="Arial" w:hAnsi="Arial" w:cs="Arial" w:eastAsia="Arial"/>
                <w:color w:val="1a1a1a"/>
                <w:sz w:val="20"/>
                <w:szCs w:val="20"/>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276"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 xml:space="preserve">Rows with blank critical fields are invalid for analysis
</w:t>
            </w:r>
          </w:p>
          <w:p>
            <w:pPr>
              <w:spacing w:after="120" w:before="120" w:line="336" w:lineRule="auto"/>
              <w:ind w:firstLine="0" w:start="0"/>
              <w:jc w:val="start"/>
            </w:pPr>
            <w:r>
              <w:rPr>
                <w:rFonts w:ascii="Arial" w:hAnsi="Arial" w:cs="Arial" w:eastAsia="Arial"/>
                <w:color w:val="1a1a1a"/>
                <w:sz w:val="20"/>
                <w:szCs w:val="20"/>
              </w:rPr>
              <w:t xml:space="preserve">
</w:t>
            </w:r>
          </w:p>
        </w:tc>
        <w:tc>
          <w:tcPr>
            <w:tcW w:w="1929"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 xml:space="preserve">=FILTER(retail_store_sales_raw!A:J, retail_store_sales_raw!D:D&lt;&gt;"")
</w:t>
            </w:r>
          </w:p>
          <w:p>
            <w:pPr>
              <w:spacing w:after="120" w:before="120" w:line="336" w:lineRule="auto"/>
              <w:ind w:firstLine="0" w:start="0"/>
              <w:jc w:val="start"/>
            </w:pPr>
            <w:r>
              <w:rPr>
                <w:rFonts w:ascii="Arial" w:hAnsi="Arial" w:cs="Arial" w:eastAsia="Arial"/>
                <w:color w:val="1a1a1a"/>
                <w:sz w:val="20"/>
                <w:szCs w:val="20"/>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1929" w:type="dxa"/>
            <w:tcBorders>
              <w:top w:color="cccccc" w:sz="1" w:val="single"/>
              <w:start w:color="cccccc" w:sz="1" w:val="single"/>
              <w:bottom w:color="cccccc" w:sz="1" w:val="single"/>
              <w:end w:color="cccccc" w:sz="1" w:val="single"/>
            </w:tcBorders>
            <w:shd w:val="clear" w:color="auto" w:fill="ebf5fb"/>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 xml:space="preserve">Discount Value Inconsistency
</w:t>
            </w:r>
          </w:p>
          <w:p>
            <w:pPr>
              <w:spacing w:after="120" w:before="120" w:line="336" w:lineRule="auto"/>
              <w:ind w:firstLine="0" w:start="0"/>
              <w:jc w:val="start"/>
            </w:pPr>
            <w:r>
              <w:rPr>
                <w:rFonts w:ascii="Arial" w:hAnsi="Arial" w:cs="Arial" w:eastAsia="Arial"/>
                <w:color w:val="1a1a1a"/>
                <w:sz w:val="20"/>
                <w:szCs w:val="20"/>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894" w:type="dxa"/>
            <w:tcBorders>
              <w:top w:color="cccccc" w:sz="1" w:val="single"/>
              <w:start w:color="cccccc" w:sz="1" w:val="single"/>
              <w:bottom w:color="cccccc" w:sz="1" w:val="single"/>
              <w:end w:color="cccccc" w:sz="1" w:val="single"/>
            </w:tcBorders>
            <w:shd w:val="clear" w:color="auto" w:fill="ebf5fb"/>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 xml:space="preserve">Corrected discount lookup using XLOOKUP formula
</w:t>
            </w:r>
          </w:p>
          <w:p>
            <w:pPr>
              <w:spacing w:after="120" w:before="120" w:line="336" w:lineRule="auto"/>
              <w:ind w:firstLine="0" w:start="0"/>
              <w:jc w:val="start"/>
            </w:pPr>
            <w:r>
              <w:rPr>
                <w:rFonts w:ascii="Arial" w:hAnsi="Arial" w:cs="Arial" w:eastAsia="Arial"/>
                <w:color w:val="1a1a1a"/>
                <w:sz w:val="20"/>
                <w:szCs w:val="20"/>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276" w:type="dxa"/>
            <w:tcBorders>
              <w:top w:color="cccccc" w:sz="1" w:val="single"/>
              <w:start w:color="cccccc" w:sz="1" w:val="single"/>
              <w:bottom w:color="cccccc" w:sz="1" w:val="single"/>
              <w:end w:color="cccccc" w:sz="1" w:val="single"/>
            </w:tcBorders>
            <w:shd w:val="clear" w:color="auto" w:fill="ebf5fb"/>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 xml:space="preserve">If discount not found, treat as FALSE (no discount)
</w:t>
            </w:r>
          </w:p>
          <w:p>
            <w:pPr>
              <w:spacing w:after="120" w:before="120" w:line="336" w:lineRule="auto"/>
              <w:ind w:firstLine="0" w:start="0"/>
              <w:jc w:val="start"/>
            </w:pPr>
            <w:r>
              <w:rPr>
                <w:rFonts w:ascii="Arial" w:hAnsi="Arial" w:cs="Arial" w:eastAsia="Arial"/>
                <w:color w:val="1a1a1a"/>
                <w:sz w:val="20"/>
                <w:szCs w:val="20"/>
              </w:rPr>
              <w:t xml:space="preserve">
</w:t>
            </w:r>
          </w:p>
        </w:tc>
        <w:tc>
          <w:tcPr>
            <w:tcW w:w="1929" w:type="dxa"/>
            <w:tcBorders>
              <w:top w:color="cccccc" w:sz="1" w:val="single"/>
              <w:start w:color="cccccc" w:sz="1" w:val="single"/>
              <w:bottom w:color="cccccc" w:sz="1" w:val="single"/>
              <w:end w:color="cccccc" w:sz="1" w:val="single"/>
            </w:tcBorders>
            <w:shd w:val="clear" w:color="auto" w:fill="ebf5fb"/>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 xml:space="preserve">XLOOKUP + IF formula in Sheets
</w:t>
            </w:r>
          </w:p>
          <w:p>
            <w:pPr>
              <w:spacing w:after="120" w:before="120" w:line="336" w:lineRule="auto"/>
              <w:ind w:firstLine="0" w:start="0"/>
              <w:jc w:val="start"/>
            </w:pPr>
            <w:r>
              <w:rPr>
                <w:rFonts w:ascii="Arial" w:hAnsi="Arial" w:cs="Arial" w:eastAsia="Arial"/>
                <w:color w:val="1a1a1a"/>
                <w:sz w:val="20"/>
                <w:szCs w:val="20"/>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1929"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 xml:space="preserve">Numeric Format Inconsistency
</w:t>
            </w:r>
          </w:p>
          <w:p>
            <w:pPr>
              <w:spacing w:after="120" w:before="120" w:line="336" w:lineRule="auto"/>
              <w:ind w:firstLine="0" w:start="0"/>
              <w:jc w:val="start"/>
            </w:pPr>
            <w:r>
              <w:rPr>
                <w:rFonts w:ascii="Arial" w:hAnsi="Arial" w:cs="Arial" w:eastAsia="Arial"/>
                <w:color w:val="1a1a1a"/>
                <w:sz w:val="20"/>
                <w:szCs w:val="20"/>
              </w:rPr>
              <w:t xml:space="preserve">
</w:t>
            </w:r>
          </w:p>
        </w:tc>
        <w:tc>
          <w:tcPr>
            <w:tcW w:w="2894"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 xml:space="preserve">Standardized number, currency, and date formats across columns
</w:t>
            </w:r>
          </w:p>
          <w:p>
            <w:pPr>
              <w:spacing w:after="120" w:before="120" w:line="336" w:lineRule="auto"/>
              <w:ind w:firstLine="0" w:start="0"/>
              <w:jc w:val="start"/>
            </w:pPr>
            <w:r>
              <w:rPr>
                <w:rFonts w:ascii="Arial" w:hAnsi="Arial" w:cs="Arial" w:eastAsia="Arial"/>
                <w:color w:val="1a1a1a"/>
                <w:sz w:val="20"/>
                <w:szCs w:val="20"/>
              </w:rPr>
              <w:t xml:space="preserve">
</w:t>
            </w:r>
          </w:p>
        </w:tc>
        <w:tc>
          <w:tcPr>
            <w:tcW w:w="2276"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 xml:space="preserve">Formatting inconsistencies may cause calculation errors
</w:t>
            </w:r>
          </w:p>
          <w:p>
            <w:pPr>
              <w:spacing w:after="120" w:before="120" w:line="336" w:lineRule="auto"/>
              <w:ind w:firstLine="0" w:start="0"/>
              <w:jc w:val="start"/>
            </w:pPr>
            <w:r>
              <w:rPr>
                <w:rFonts w:ascii="Arial" w:hAnsi="Arial" w:cs="Arial" w:eastAsia="Arial"/>
                <w:color w:val="1a1a1a"/>
                <w:sz w:val="20"/>
                <w:szCs w:val="20"/>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929"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 xml:space="preserve">Format → Number in Google Sheets
</w:t>
            </w:r>
          </w:p>
          <w:p>
            <w:pPr>
              <w:spacing w:after="120" w:before="120" w:line="336" w:lineRule="auto"/>
              <w:ind w:firstLine="0" w:start="0"/>
              <w:jc w:val="start"/>
            </w:pPr>
            <w:r>
              <w:rPr>
                <w:rFonts w:ascii="Arial" w:hAnsi="Arial" w:cs="Arial" w:eastAsia="Arial"/>
                <w:color w:val="1a1a1a"/>
                <w:sz w:val="20"/>
                <w:szCs w:val="20"/>
              </w:rPr>
              <w:t xml:space="preserve">
</w:t>
            </w:r>
          </w:p>
        </w:tc>
      </w:tr>
      <w:tr>
        <w:tc>
          <w:tcPr>
            <w:tcW w:w="1929" w:type="dxa"/>
            <w:tcBorders>
              <w:top w:color="cccccc" w:sz="1" w:val="single"/>
              <w:start w:color="cccccc" w:sz="1" w:val="single"/>
              <w:bottom w:color="cccccc" w:sz="1" w:val="single"/>
              <w:end w:color="cccccc" w:sz="1" w:val="single"/>
            </w:tcBorders>
            <w:shd w:val="clear" w:color="auto" w:fill="ebf5fb"/>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 xml:space="preserve">Data Type Standardization
</w:t>
            </w:r>
          </w:p>
          <w:p>
            <w:pPr>
              <w:spacing w:after="120" w:before="120" w:line="336" w:lineRule="auto"/>
              <w:ind w:firstLine="0" w:start="0"/>
              <w:jc w:val="start"/>
            </w:pPr>
            <w:r>
              <w:rPr>
                <w:rFonts w:ascii="Arial" w:hAnsi="Arial" w:cs="Arial" w:eastAsia="Arial"/>
                <w:color w:val="1a1a1a"/>
                <w:sz w:val="20"/>
                <w:szCs w:val="20"/>
              </w:rPr>
              <w:t xml:space="preserve">
</w:t>
            </w:r>
          </w:p>
          <w:p>
            <w:pPr>
              <w:spacing w:after="120" w:before="120" w:line="336" w:lineRule="auto"/>
              <w:ind w:firstLine="0" w:start="0"/>
              <w:jc w:val="start"/>
            </w:pPr>
            <w:r>
              <w:rPr>
                <w:rFonts w:ascii="Arial" w:hAnsi="Arial" w:cs="Arial" w:eastAsia="Arial"/>
                <w:color w:val="1a1a1a"/>
                <w:sz w:val="20"/>
                <w:szCs w:val="20"/>
              </w:rPr>
              <w:t xml:space="preserve">
</w:t>
            </w:r>
          </w:p>
        </w:tc>
        <w:tc>
          <w:tcPr>
            <w:tcW w:w="2894" w:type="dxa"/>
            <w:tcBorders>
              <w:top w:color="cccccc" w:sz="1" w:val="single"/>
              <w:start w:color="cccccc" w:sz="1" w:val="single"/>
              <w:bottom w:color="cccccc" w:sz="1" w:val="single"/>
              <w:end w:color="cccccc" w:sz="1" w:val="single"/>
            </w:tcBorders>
            <w:shd w:val="clear" w:color="auto" w:fill="ebf5fb"/>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 xml:space="preserve">Ensured consistent numeric and date data types across dataset
</w:t>
            </w:r>
          </w:p>
          <w:p>
            <w:pPr>
              <w:spacing w:after="120" w:before="120" w:line="336" w:lineRule="auto"/>
              <w:ind w:firstLine="0" w:start="0"/>
              <w:jc w:val="start"/>
            </w:pPr>
            <w:r>
              <w:rPr>
                <w:rFonts w:ascii="Arial" w:hAnsi="Arial" w:cs="Arial" w:eastAsia="Arial"/>
                <w:color w:val="1a1a1a"/>
                <w:sz w:val="20"/>
                <w:szCs w:val="20"/>
              </w:rPr>
              <w:t xml:space="preserve">
</w:t>
            </w:r>
          </w:p>
        </w:tc>
        <w:tc>
          <w:tcPr>
            <w:tcW w:w="2276" w:type="dxa"/>
            <w:tcBorders>
              <w:top w:color="cccccc" w:sz="1" w:val="single"/>
              <w:start w:color="cccccc" w:sz="1" w:val="single"/>
              <w:bottom w:color="cccccc" w:sz="1" w:val="single"/>
              <w:end w:color="cccccc" w:sz="1" w:val="single"/>
            </w:tcBorders>
            <w:shd w:val="clear" w:color="auto" w:fill="ebf5fb"/>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 xml:space="preserve">Consistent data types improve pivot accuracy
</w:t>
            </w:r>
          </w:p>
          <w:p>
            <w:pPr>
              <w:spacing w:after="120" w:before="120" w:line="336" w:lineRule="auto"/>
              <w:ind w:firstLine="0" w:start="0"/>
              <w:jc w:val="start"/>
            </w:pPr>
            <w:r>
              <w:rPr>
                <w:rFonts w:ascii="Arial" w:hAnsi="Arial" w:cs="Arial" w:eastAsia="Arial"/>
                <w:color w:val="1a1a1a"/>
                <w:sz w:val="20"/>
                <w:szCs w:val="20"/>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929" w:type="dxa"/>
            <w:tcBorders>
              <w:top w:color="cccccc" w:sz="1" w:val="single"/>
              <w:start w:color="cccccc" w:sz="1" w:val="single"/>
              <w:bottom w:color="cccccc" w:sz="1" w:val="single"/>
              <w:end w:color="cccccc" w:sz="1" w:val="single"/>
            </w:tcBorders>
            <w:shd w:val="clear" w:color="auto" w:fill="ebf5fb"/>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 xml:space="preserve">Manual formatting + validation
</w:t>
            </w:r>
          </w:p>
          <w:p>
            <w:pPr>
              <w:spacing w:after="120" w:before="120" w:line="336" w:lineRule="auto"/>
              <w:ind w:firstLine="0" w:start="0"/>
              <w:jc w:val="start"/>
            </w:pPr>
            <w:r>
              <w:rPr>
                <w:rFonts w:ascii="Arial" w:hAnsi="Arial" w:cs="Arial" w:eastAsia="Arial"/>
                <w:color w:val="1a1a1a"/>
                <w:sz w:val="20"/>
                <w:szCs w:val="20"/>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1929"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 xml:space="preserve">Date Information Not Structured
</w:t>
            </w:r>
          </w:p>
          <w:p>
            <w:pPr>
              <w:spacing w:after="120" w:before="120" w:line="336" w:lineRule="auto"/>
              <w:ind w:firstLine="0" w:start="0"/>
              <w:jc w:val="start"/>
            </w:pPr>
            <w:r>
              <w:rPr>
                <w:rFonts w:ascii="Arial" w:hAnsi="Arial" w:cs="Arial" w:eastAsia="Arial"/>
                <w:color w:val="1a1a1a"/>
                <w:sz w:val="20"/>
                <w:szCs w:val="20"/>
              </w:rPr>
              <w:t xml:space="preserve">
</w:t>
            </w:r>
          </w:p>
        </w:tc>
        <w:tc>
          <w:tcPr>
            <w:tcW w:w="2894"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 xml:space="preserve">Extracted Transaction Year and Transaction Month from Transaction Date
</w:t>
            </w:r>
          </w:p>
          <w:p>
            <w:pPr>
              <w:spacing w:after="120" w:before="120" w:line="336" w:lineRule="auto"/>
              <w:ind w:firstLine="0" w:start="0"/>
              <w:jc w:val="start"/>
            </w:pPr>
            <w:r>
              <w:rPr>
                <w:rFonts w:ascii="Arial" w:hAnsi="Arial" w:cs="Arial" w:eastAsia="Arial"/>
                <w:color w:val="1a1a1a"/>
                <w:sz w:val="20"/>
                <w:szCs w:val="20"/>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276"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 xml:space="preserve">Time-based fields improve trend analysis
</w:t>
            </w:r>
          </w:p>
          <w:p>
            <w:pPr>
              <w:spacing w:after="120" w:before="120" w:line="336" w:lineRule="auto"/>
              <w:ind w:firstLine="0" w:start="0"/>
              <w:jc w:val="start"/>
            </w:pPr>
            <w:r>
              <w:rPr>
                <w:rFonts w:ascii="Arial" w:hAnsi="Arial" w:cs="Arial" w:eastAsia="Arial"/>
                <w:color w:val="1a1a1a"/>
                <w:sz w:val="20"/>
                <w:szCs w:val="20"/>
              </w:rPr>
              <w:t xml:space="preserve">
</w:t>
            </w:r>
          </w:p>
        </w:tc>
        <w:tc>
          <w:tcPr>
            <w:tcW w:w="1929"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 xml:space="preserve">Date extraction formulas (YEAR, MONTH)
</w:t>
            </w:r>
          </w:p>
          <w:p>
            <w:pPr>
              <w:spacing w:after="120" w:before="120" w:line="336" w:lineRule="auto"/>
              <w:ind w:firstLine="0" w:start="0"/>
              <w:jc w:val="start"/>
            </w:pPr>
            <w:r>
              <w:rPr>
                <w:rFonts w:ascii="Arial" w:hAnsi="Arial" w:cs="Arial" w:eastAsia="Arial"/>
                <w:color w:val="1a1a1a"/>
                <w:sz w:val="20"/>
                <w:szCs w:val="20"/>
              </w:rPr>
              <w:t xml:space="preserve">
</w:t>
            </w:r>
          </w:p>
        </w:tc>
      </w:tr>
      <w:tr>
        <w:tc>
          <w:tcPr>
            <w:tcW w:w="1929" w:type="dxa"/>
            <w:tcBorders>
              <w:top w:color="cccccc" w:sz="1" w:val="single"/>
              <w:start w:color="cccccc" w:sz="1" w:val="single"/>
              <w:bottom w:color="cccccc" w:sz="1" w:val="single"/>
              <w:end w:color="cccccc" w:sz="1" w:val="single"/>
            </w:tcBorders>
            <w:shd w:val="clear" w:color="auto" w:fill="ebf5fb"/>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 xml:space="preserve">Pivot Table Errors
</w:t>
            </w:r>
          </w:p>
          <w:p>
            <w:pPr>
              <w:spacing w:after="120" w:before="120" w:line="336" w:lineRule="auto"/>
              <w:ind w:firstLine="0" w:start="0"/>
              <w:jc w:val="start"/>
            </w:pPr>
            <w:r>
              <w:rPr>
                <w:rFonts w:ascii="Arial" w:hAnsi="Arial" w:cs="Arial" w:eastAsia="Arial"/>
                <w:color w:val="1a1a1a"/>
                <w:sz w:val="20"/>
                <w:szCs w:val="20"/>
              </w:rPr>
              <w:t xml:space="preserve">
</w:t>
            </w:r>
          </w:p>
        </w:tc>
        <w:tc>
          <w:tcPr>
            <w:tcW w:w="2894" w:type="dxa"/>
            <w:tcBorders>
              <w:top w:color="cccccc" w:sz="1" w:val="single"/>
              <w:start w:color="cccccc" w:sz="1" w:val="single"/>
              <w:bottom w:color="cccccc" w:sz="1" w:val="single"/>
              <w:end w:color="cccccc" w:sz="1" w:val="single"/>
            </w:tcBorders>
            <w:shd w:val="clear" w:color="auto" w:fill="ebf5fb"/>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 xml:space="preserve">Removed null-heavy rows causing pivot calculation errors
</w:t>
            </w:r>
          </w:p>
          <w:p>
            <w:pPr>
              <w:spacing w:after="120" w:before="120" w:line="336" w:lineRule="auto"/>
              <w:ind w:firstLine="0" w:start="0"/>
              <w:jc w:val="start"/>
            </w:pPr>
            <w:r>
              <w:rPr>
                <w:rFonts w:ascii="Arial" w:hAnsi="Arial" w:cs="Arial" w:eastAsia="Arial"/>
                <w:color w:val="1a1a1a"/>
                <w:sz w:val="20"/>
                <w:szCs w:val="20"/>
              </w:rPr>
              <w:t xml:space="preserve">
</w:t>
            </w:r>
          </w:p>
        </w:tc>
        <w:tc>
          <w:tcPr>
            <w:tcW w:w="2276" w:type="dxa"/>
            <w:tcBorders>
              <w:top w:color="cccccc" w:sz="1" w:val="single"/>
              <w:start w:color="cccccc" w:sz="1" w:val="single"/>
              <w:bottom w:color="cccccc" w:sz="1" w:val="single"/>
              <w:end w:color="cccccc" w:sz="1" w:val="single"/>
            </w:tcBorders>
            <w:shd w:val="clear" w:color="auto" w:fill="ebf5fb"/>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 xml:space="preserve">Pivot tables require clean, non-null structured data
</w:t>
            </w:r>
          </w:p>
          <w:p>
            <w:pPr>
              <w:spacing w:after="120" w:before="120" w:line="336" w:lineRule="auto"/>
              <w:ind w:firstLine="0" w:start="0"/>
              <w:jc w:val="start"/>
            </w:pPr>
            <w:r>
              <w:rPr>
                <w:rFonts w:ascii="Arial" w:hAnsi="Arial" w:cs="Arial" w:eastAsia="Arial"/>
                <w:color w:val="1a1a1a"/>
                <w:sz w:val="20"/>
                <w:szCs w:val="20"/>
              </w:rPr>
              <w:t xml:space="preserve">
</w:t>
            </w:r>
          </w:p>
        </w:tc>
        <w:tc>
          <w:tcPr>
            <w:tcW w:w="1929" w:type="dxa"/>
            <w:tcBorders>
              <w:top w:color="cccccc" w:sz="1" w:val="single"/>
              <w:start w:color="cccccc" w:sz="1" w:val="single"/>
              <w:bottom w:color="cccccc" w:sz="1" w:val="single"/>
              <w:end w:color="cccccc" w:sz="1" w:val="single"/>
            </w:tcBorders>
            <w:shd w:val="clear" w:color="auto" w:fill="ebf5fb"/>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 xml:space="preserve">Filtering + Formula correction
</w:t>
            </w:r>
          </w:p>
          <w:p>
            <w:pPr>
              <w:spacing w:after="120" w:before="120" w:line="336" w:lineRule="auto"/>
              <w:ind w:firstLine="0" w:start="0"/>
              <w:jc w:val="start"/>
            </w:pPr>
            <w:r>
              <w:rPr>
                <w:rFonts w:ascii="Arial" w:hAnsi="Arial" w:cs="Arial" w:eastAsia="Arial"/>
                <w:color w:val="1a1a1a"/>
                <w:sz w:val="20"/>
                <w:szCs w:val="20"/>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bl>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al Bold" w:hAnsi="Arial Bold" w:cs="Arial Bold" w:eastAsia="Arial Bold"/>
          <w:b/>
          <w:bCs/>
          <w:color w:val="2e75b6"/>
          <w:sz w:val="26"/>
          <w:szCs w:val="26"/>
        </w:rPr>
        <w:t>Feature Engineering</w:t>
      </w:r>
      <w:r>
        <w:rPr>
          <w:rFonts w:ascii="Arimo" w:hAnsi="Arimo" w:cs="Arimo" w:eastAsia="Arimo"/>
          <w:color w:val="000000"/>
          <w:sz w:val="24"/>
          <w:szCs w:val="24"/>
        </w:rPr>
        <w:t xml:space="preserve">
</w:t>
      </w:r>
    </w:p>
    <w:p>
      <w:pPr>
        <w:spacing w:after="120" w:before="120" w:line="336" w:lineRule="auto"/>
        <w:ind w:firstLine="0" w:start="0"/>
        <w:jc w:val="start"/>
      </w:pPr>
      <w:r>
        <w:rPr>
          <w:rFonts w:ascii="Arial" w:hAnsi="Arial" w:cs="Arial" w:eastAsia="Arial"/>
          <w:color w:val="1a1a1a"/>
          <w:sz w:val="22"/>
          <w:szCs w:val="22"/>
        </w:rPr>
        <w:t>We engineered the following additional columns in our cleaned sheet to support analysis:</w:t>
      </w:r>
      <w:r>
        <w:rPr>
          <w:rFonts w:ascii="Arimo" w:hAnsi="Arimo" w:cs="Arimo" w:eastAsia="Arimo"/>
          <w:color w:val="000000"/>
          <w:sz w:val="24"/>
          <w:szCs w:val="24"/>
        </w:rPr>
        <w:t xml:space="preserve">
</w:t>
      </w:r>
    </w:p>
    <w:p>
      <w:pPr>
        <w:numPr>
          <w:ilvl w:val="0"/>
          <w:numId w:val="6"/>
        </w:numPr>
        <w:spacing w:after="0" w:before="0" w:line="336" w:lineRule="auto"/>
        <w:jc w:val="start"/>
      </w:pPr>
      <w:r>
        <w:rPr>
          <w:rFonts w:ascii="Arial" w:hAnsi="Arial" w:cs="Arial" w:eastAsia="Arial"/>
          <w:color w:val="1a1a1a"/>
          <w:sz w:val="22"/>
          <w:szCs w:val="22"/>
        </w:rPr>
        <w:t>Month-Year: Extracted from Transaction Date using =TEXT(date,"MMM-YYYY") for monthly trend analysis.</w:t>
      </w:r>
      <w:r>
        <w:rPr>
          <w:rFonts w:ascii="Arimo" w:hAnsi="Arimo" w:cs="Arimo" w:eastAsia="Arimo"/>
          <w:color w:val="000000"/>
          <w:sz w:val="24"/>
          <w:szCs w:val="24"/>
        </w:rPr>
        <w:t xml:space="preserve">
</w:t>
      </w:r>
    </w:p>
    <w:p>
      <w:pPr>
        <w:numPr>
          <w:ilvl w:val="0"/>
          <w:numId w:val="6"/>
        </w:numPr>
        <w:spacing w:after="0" w:before="0" w:line="336" w:lineRule="auto"/>
        <w:jc w:val="start"/>
      </w:pPr>
      <w:r>
        <w:rPr>
          <w:rFonts w:ascii="Arial" w:hAnsi="Arial" w:cs="Arial" w:eastAsia="Arial"/>
          <w:color w:val="1a1a1a"/>
          <w:sz w:val="22"/>
          <w:szCs w:val="22"/>
        </w:rPr>
        <w:t>Year: Extracted using =YEAR(date) for year-over-year comparisons.</w:t>
      </w:r>
      <w:r>
        <w:rPr>
          <w:rFonts w:ascii="Arimo" w:hAnsi="Arimo" w:cs="Arimo" w:eastAsia="Arimo"/>
          <w:color w:val="000000"/>
          <w:sz w:val="24"/>
          <w:szCs w:val="24"/>
        </w:rPr>
        <w:t xml:space="preserve">
</w:t>
      </w:r>
    </w:p>
    <w:p>
      <w:pPr>
        <w:numPr>
          <w:ilvl w:val="0"/>
          <w:numId w:val="6"/>
        </w:numPr>
        <w:spacing w:after="0" w:before="0" w:line="336" w:lineRule="auto"/>
        <w:jc w:val="start"/>
      </w:pPr>
      <w:r>
        <w:rPr>
          <w:rFonts w:ascii="Arial" w:hAnsi="Arial" w:cs="Arial" w:eastAsia="Arial"/>
          <w:color w:val="1a1a1a"/>
          <w:sz w:val="22"/>
          <w:szCs w:val="22"/>
        </w:rPr>
        <w:t>Revenue Band: Classified each transaction as Low (&lt;₹100), Medium (₹100–₹300), or High (&gt;₹300) for distribution analysis.</w:t>
      </w:r>
      <w:r>
        <w:rPr>
          <w:rFonts w:ascii="Arimo" w:hAnsi="Arimo" w:cs="Arimo" w:eastAsia="Arimo"/>
          <w:color w:val="000000"/>
          <w:sz w:val="24"/>
          <w:szCs w:val="24"/>
        </w:rPr>
        <w:t xml:space="preserve">
</w:t>
      </w:r>
    </w:p>
    <w:p>
      <w:pPr>
        <w:numPr>
          <w:ilvl w:val="0"/>
          <w:numId w:val="6"/>
        </w:numPr>
        <w:spacing w:after="0" w:before="0" w:line="336" w:lineRule="auto"/>
        <w:jc w:val="start"/>
      </w:pPr>
      <w:r>
        <w:rPr>
          <w:rFonts w:ascii="Arial" w:hAnsi="Arial" w:cs="Arial" w:eastAsia="Arial"/>
          <w:color w:val="1a1a1a"/>
          <w:sz w:val="22"/>
          <w:szCs w:val="22"/>
        </w:rPr>
        <w:t>Discount Flag: Standardised Discount Applied to show only TRUE/FALSE; blanks excluded from discount-specific pivot filters.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al Bold" w:hAnsi="Arial Bold" w:cs="Arial Bold" w:eastAsia="Arial Bold"/>
          <w:b/>
          <w:bCs/>
          <w:color w:val="2e75b6"/>
          <w:sz w:val="26"/>
          <w:szCs w:val="26"/>
        </w:rPr>
        <w:t>Assumptions</w:t>
      </w:r>
      <w:r>
        <w:rPr>
          <w:rFonts w:ascii="Arimo" w:hAnsi="Arimo" w:cs="Arimo" w:eastAsia="Arimo"/>
          <w:color w:val="000000"/>
          <w:sz w:val="24"/>
          <w:szCs w:val="24"/>
        </w:rPr>
        <w:t xml:space="preserve">
</w:t>
      </w:r>
    </w:p>
    <w:p>
      <w:pPr>
        <w:numPr>
          <w:ilvl w:val="0"/>
          <w:numId w:val="7"/>
        </w:numPr>
        <w:spacing w:after="0" w:before="0" w:line="336" w:lineRule="auto"/>
        <w:jc w:val="start"/>
      </w:pPr>
      <w:r>
        <w:rPr>
          <w:rFonts w:ascii="Arial" w:hAnsi="Arial" w:cs="Arial" w:eastAsia="Arial"/>
          <w:color w:val="1a1a1a"/>
          <w:sz w:val="22"/>
          <w:szCs w:val="22"/>
        </w:rPr>
        <w:t>We assumed the dataset represents real retail transactions and that no intentional data manipulation occurred at source.</w:t>
      </w:r>
      <w:r>
        <w:rPr>
          <w:rFonts w:ascii="Arimo" w:hAnsi="Arimo" w:cs="Arimo" w:eastAsia="Arimo"/>
          <w:color w:val="000000"/>
          <w:sz w:val="24"/>
          <w:szCs w:val="24"/>
        </w:rPr>
        <w:t xml:space="preserve">
</w:t>
      </w:r>
    </w:p>
    <w:p>
      <w:pPr>
        <w:numPr>
          <w:ilvl w:val="0"/>
          <w:numId w:val="7"/>
        </w:numPr>
        <w:spacing w:after="0" w:before="0" w:line="336" w:lineRule="auto"/>
        <w:jc w:val="start"/>
      </w:pPr>
      <w:r>
        <w:rPr>
          <w:rFonts w:ascii="Arial" w:hAnsi="Arial" w:cs="Arial" w:eastAsia="Arial"/>
          <w:color w:val="1a1a1a"/>
          <w:sz w:val="22"/>
          <w:szCs w:val="22"/>
        </w:rPr>
        <w:t>Imputed values are flagged in our Google Sheet and treated as estimates, not ground truth.</w:t>
      </w:r>
      <w:r>
        <w:rPr>
          <w:rFonts w:ascii="Arimo" w:hAnsi="Arimo" w:cs="Arimo" w:eastAsia="Arimo"/>
          <w:color w:val="000000"/>
          <w:sz w:val="24"/>
          <w:szCs w:val="24"/>
        </w:rPr>
        <w:t xml:space="preserve">
</w:t>
      </w:r>
    </w:p>
    <w:p>
      <w:pPr>
        <w:numPr>
          <w:ilvl w:val="0"/>
          <w:numId w:val="7"/>
        </w:numPr>
        <w:spacing w:after="0" w:before="0" w:line="336" w:lineRule="auto"/>
        <w:jc w:val="start"/>
      </w:pPr>
      <w:r>
        <w:rPr>
          <w:rFonts w:ascii="Arial" w:hAnsi="Arial" w:cs="Arial" w:eastAsia="Arial"/>
          <w:color w:val="1a1a1a"/>
          <w:sz w:val="22"/>
          <w:szCs w:val="22"/>
        </w:rPr>
        <w:t>All monetary values are assumed to be in the same local currency throughout (no FX conversion needed).</w:t>
      </w:r>
      <w:r>
        <w:rPr>
          <w:rFonts w:ascii="Arimo" w:hAnsi="Arimo" w:cs="Arimo" w:eastAsia="Arimo"/>
          <w:color w:val="000000"/>
          <w:sz w:val="24"/>
          <w:szCs w:val="24"/>
        </w:rPr>
        <w:t xml:space="preserve">
</w:t>
      </w:r>
    </w:p>
    <w:p>
      <w:pPr>
        <w:spacing w:after="120" w:before="120" w:line="336" w:lineRule="auto"/>
        <w:ind w:firstLine="0" w:start="0"/>
        <w:jc w:val="start"/>
      </w:pPr>
      <w:r>
        <w:rPr>
          <w:rFonts w:ascii="Arial" w:hAnsi="Arial" w:cs="Arial" w:eastAsia="Arial"/>
          <w:color w:val="888888"/>
          <w:sz w:val="16"/>
          <w:szCs w:val="16"/>
        </w:rPr>
        <w:t xml:space="preserve">
</w:t>
      </w:r>
    </w:p>
    <w:p>
      <w:pPr>
        <w:spacing w:after="120" w:before="120"/>
      </w:pPr>
      <w:r>
        <w:br w:type="page"/>
      </w:r>
    </w:p>
    <w:p>
      <w:pPr>
        <w:spacing w:after="120" w:before="120" w:line="336" w:lineRule="auto"/>
        <w:ind w:firstLine="0" w:start="0"/>
        <w:jc w:val="start"/>
      </w:pPr>
      <w:r>
        <w:rPr>
          <w:rFonts w:ascii="Arial Italics" w:hAnsi="Arial Italics" w:cs="Arial Italics" w:eastAsia="Arial Italics"/>
          <w:i/>
          <w:iCs/>
          <w:color w:val="777777"/>
          <w:sz w:val="18"/>
          <w:szCs w:val="18"/>
        </w:rPr>
        <w:t xml:space="preserve">
</w:t>
      </w:r>
    </w:p>
    <w:p>
      <w:pPr>
        <w:spacing w:after="120" w:before="120" w:line="336" w:lineRule="auto"/>
        <w:ind w:firstLine="0" w:start="0"/>
        <w:jc w:val="start"/>
      </w:pPr>
      <w:r>
        <w:rPr>
          <w:rFonts w:ascii="Arial Bold" w:hAnsi="Arial Bold" w:cs="Arial Bold" w:eastAsia="Arial Bold"/>
          <w:b/>
          <w:bCs/>
          <w:color w:val="1f4e79"/>
          <w:sz w:val="34"/>
          <w:szCs w:val="34"/>
        </w:rPr>
        <w:t>7. KPI &amp; Metric Framework</w:t>
      </w:r>
      <w:r>
        <w:rPr>
          <w:rFonts w:ascii="Arimo" w:hAnsi="Arimo" w:cs="Arimo" w:eastAsia="Arimo"/>
          <w:color w:val="000000"/>
          <w:sz w:val="24"/>
          <w:szCs w:val="24"/>
        </w:rPr>
        <w:t xml:space="preserve">
</w:t>
      </w:r>
    </w:p>
    <w:p>
      <w:pPr>
        <w:spacing w:after="120" w:before="120" w:line="336" w:lineRule="auto"/>
        <w:ind w:firstLine="0" w:start="0"/>
        <w:jc w:val="start"/>
      </w:pPr>
      <w:r>
        <w:rPr>
          <w:rFonts w:ascii="Arial" w:hAnsi="Arial" w:cs="Arial" w:eastAsia="Arial"/>
          <w:color w:val="1a1a1a"/>
          <w:sz w:val="22"/>
          <w:szCs w:val="22"/>
        </w:rPr>
        <w:t>We designed our KPI framework to directly map to our project objectives: measuring revenue performance, understanding volume, tracking growth, and quantifying concentration risk. Each KPI was computed in our Google Sheets pivot and displayed on our dashboard.</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al Bold" w:hAnsi="Arial Bold" w:cs="Arial Bold" w:eastAsia="Arial Bold"/>
          <w:b/>
          <w:bCs/>
          <w:color w:val="2e75b6"/>
          <w:sz w:val="26"/>
          <w:szCs w:val="26"/>
        </w:rPr>
        <w:t>KPI Definitions, Formulas &amp; Mapping</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1833"/>
        <w:gridCol w:w="2411"/>
        <w:gridCol w:w="2604"/>
        <w:gridCol w:w="2180"/>
      </w:tblGrid>
      <w:tr>
        <w:tc>
          <w:tcPr>
            <w:tcW w:w="1833" w:type="dxa"/>
            <w:tcBorders>
              <w:top w:color="cccccc" w:sz="1" w:val="single"/>
              <w:start w:color="cccccc" w:sz="1" w:val="single"/>
              <w:bottom w:color="cccccc" w:sz="1" w:val="single"/>
              <w:end w:color="cccccc" w:sz="1" w:val="single"/>
            </w:tcBorders>
            <w:shd w:val="clear" w:color="auto" w:fill="1f4e79"/>
            <w:tcMar>
              <w:top w:w="75"/>
              <w:start w:w="75"/>
              <w:bottom w:w="75"/>
              <w:end w:w="75"/>
            </w:tcMar>
          </w:tcPr>
          <w:p>
            <w:pPr>
              <w:spacing w:after="120" w:before="120" w:line="336" w:lineRule="auto"/>
              <w:ind w:firstLine="0" w:start="0"/>
              <w:jc w:val="start"/>
            </w:pPr>
            <w:r>
              <w:rPr>
                <w:rFonts w:ascii="Arial Bold" w:hAnsi="Arial Bold" w:cs="Arial Bold" w:eastAsia="Arial Bold"/>
                <w:b/>
                <w:bCs/>
                <w:color w:val="ffffff"/>
                <w:sz w:val="20"/>
                <w:szCs w:val="20"/>
              </w:rPr>
              <w:t>KPI</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411" w:type="dxa"/>
            <w:tcBorders>
              <w:top w:color="cccccc" w:sz="1" w:val="single"/>
              <w:start w:color="cccccc" w:sz="1" w:val="single"/>
              <w:bottom w:color="cccccc" w:sz="1" w:val="single"/>
              <w:end w:color="cccccc" w:sz="1" w:val="single"/>
            </w:tcBorders>
            <w:shd w:val="clear" w:color="auto" w:fill="1f4e79"/>
            <w:tcMar>
              <w:top w:w="75"/>
              <w:start w:w="75"/>
              <w:bottom w:w="75"/>
              <w:end w:w="75"/>
            </w:tcMar>
          </w:tcPr>
          <w:p>
            <w:pPr>
              <w:spacing w:after="120" w:before="120" w:line="336" w:lineRule="auto"/>
              <w:ind w:firstLine="0" w:start="0"/>
              <w:jc w:val="start"/>
            </w:pPr>
            <w:r>
              <w:rPr>
                <w:rFonts w:ascii="Arial Bold" w:hAnsi="Arial Bold" w:cs="Arial Bold" w:eastAsia="Arial Bold"/>
                <w:b/>
                <w:bCs/>
                <w:color w:val="ffffff"/>
                <w:sz w:val="20"/>
                <w:szCs w:val="20"/>
              </w:rPr>
              <w:t>Formula (Google Sheets)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604" w:type="dxa"/>
            <w:tcBorders>
              <w:top w:color="cccccc" w:sz="1" w:val="single"/>
              <w:start w:color="cccccc" w:sz="1" w:val="single"/>
              <w:bottom w:color="cccccc" w:sz="1" w:val="single"/>
              <w:end w:color="cccccc" w:sz="1" w:val="single"/>
            </w:tcBorders>
            <w:shd w:val="clear" w:color="auto" w:fill="1f4e79"/>
            <w:tcMar>
              <w:top w:w="75"/>
              <w:start w:w="75"/>
              <w:bottom w:w="75"/>
              <w:end w:w="75"/>
            </w:tcMar>
          </w:tcPr>
          <w:p>
            <w:pPr>
              <w:spacing w:after="120" w:before="120" w:line="336" w:lineRule="auto"/>
              <w:ind w:firstLine="0" w:start="0"/>
              <w:jc w:val="start"/>
            </w:pPr>
            <w:r>
              <w:rPr>
                <w:rFonts w:ascii="Arial Bold" w:hAnsi="Arial Bold" w:cs="Arial Bold" w:eastAsia="Arial Bold"/>
                <w:b/>
                <w:bCs/>
                <w:color w:val="ffffff"/>
                <w:sz w:val="20"/>
                <w:szCs w:val="20"/>
              </w:rPr>
              <w:t>Why This KPI Matters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180" w:type="dxa"/>
            <w:tcBorders>
              <w:top w:color="cccccc" w:sz="1" w:val="single"/>
              <w:start w:color="cccccc" w:sz="1" w:val="single"/>
              <w:bottom w:color="cccccc" w:sz="1" w:val="single"/>
              <w:end w:color="cccccc" w:sz="1" w:val="single"/>
            </w:tcBorders>
            <w:shd w:val="clear" w:color="auto" w:fill="1f4e79"/>
            <w:tcMar>
              <w:top w:w="75"/>
              <w:start w:w="75"/>
              <w:bottom w:w="75"/>
              <w:end w:w="75"/>
            </w:tcMar>
          </w:tcPr>
          <w:p>
            <w:pPr>
              <w:spacing w:after="120" w:before="120" w:line="336" w:lineRule="auto"/>
              <w:ind w:firstLine="0" w:start="0"/>
              <w:jc w:val="start"/>
            </w:pPr>
            <w:r>
              <w:rPr>
                <w:rFonts w:ascii="Arial Bold" w:hAnsi="Arial Bold" w:cs="Arial Bold" w:eastAsia="Arial Bold"/>
                <w:b/>
                <w:bCs/>
                <w:color w:val="ffffff"/>
                <w:sz w:val="20"/>
                <w:szCs w:val="20"/>
              </w:rPr>
              <w:t>Objective Mapped To</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1833"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Total Revenue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411"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=SUM(Total_Spent)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604"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The core measure of our business health across the study period</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180"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Revenue Measurement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1833" w:type="dxa"/>
            <w:tcBorders>
              <w:top w:color="cccccc" w:sz="1" w:val="single"/>
              <w:start w:color="cccccc" w:sz="1" w:val="single"/>
              <w:bottom w:color="cccccc" w:sz="1" w:val="single"/>
              <w:end w:color="cccccc" w:sz="1" w:val="single"/>
            </w:tcBorders>
            <w:shd w:val="clear" w:color="auto" w:fill="ebf5fb"/>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Total Transactions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411" w:type="dxa"/>
            <w:tcBorders>
              <w:top w:color="cccccc" w:sz="1" w:val="single"/>
              <w:start w:color="cccccc" w:sz="1" w:val="single"/>
              <w:bottom w:color="cccccc" w:sz="1" w:val="single"/>
              <w:end w:color="cccccc" w:sz="1" w:val="single"/>
            </w:tcBorders>
            <w:shd w:val="clear" w:color="auto" w:fill="ebf5fb"/>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=COUNTA(Transaction_ID)</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604" w:type="dxa"/>
            <w:tcBorders>
              <w:top w:color="cccccc" w:sz="1" w:val="single"/>
              <w:start w:color="cccccc" w:sz="1" w:val="single"/>
              <w:bottom w:color="cccccc" w:sz="1" w:val="single"/>
              <w:end w:color="cccccc" w:sz="1" w:val="single"/>
            </w:tcBorders>
            <w:shd w:val="clear" w:color="auto" w:fill="ebf5fb"/>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Measures overall business activity and customer engagement volume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180" w:type="dxa"/>
            <w:tcBorders>
              <w:top w:color="cccccc" w:sz="1" w:val="single"/>
              <w:start w:color="cccccc" w:sz="1" w:val="single"/>
              <w:bottom w:color="cccccc" w:sz="1" w:val="single"/>
              <w:end w:color="cccccc" w:sz="1" w:val="single"/>
            </w:tcBorders>
            <w:shd w:val="clear" w:color="auto" w:fill="ebf5fb"/>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Volume Tracking</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1833"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Total Quantity Sold</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411"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=SUM(Quantity)</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604"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Indicates total demand and product movement across all categories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180"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Demand Analysis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1833" w:type="dxa"/>
            <w:tcBorders>
              <w:top w:color="cccccc" w:sz="1" w:val="single"/>
              <w:start w:color="cccccc" w:sz="1" w:val="single"/>
              <w:bottom w:color="cccccc" w:sz="1" w:val="single"/>
              <w:end w:color="cccccc" w:sz="1" w:val="single"/>
            </w:tcBorders>
            <w:shd w:val="clear" w:color="auto" w:fill="ebf5fb"/>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Average Order Value (AOV)</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411" w:type="dxa"/>
            <w:tcBorders>
              <w:top w:color="cccccc" w:sz="1" w:val="single"/>
              <w:start w:color="cccccc" w:sz="1" w:val="single"/>
              <w:bottom w:color="cccccc" w:sz="1" w:val="single"/>
              <w:end w:color="cccccc" w:sz="1" w:val="single"/>
            </w:tcBorders>
            <w:shd w:val="clear" w:color="auto" w:fill="ebf5fb"/>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=Total Revenue ÷ Total Transactions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604" w:type="dxa"/>
            <w:tcBorders>
              <w:top w:color="cccccc" w:sz="1" w:val="single"/>
              <w:start w:color="cccccc" w:sz="1" w:val="single"/>
              <w:bottom w:color="cccccc" w:sz="1" w:val="single"/>
              <w:end w:color="cccccc" w:sz="1" w:val="single"/>
            </w:tcBorders>
            <w:shd w:val="clear" w:color="auto" w:fill="ebf5fb"/>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Reflects basket size; rising AOV = more value per customer visit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180" w:type="dxa"/>
            <w:tcBorders>
              <w:top w:color="cccccc" w:sz="1" w:val="single"/>
              <w:start w:color="cccccc" w:sz="1" w:val="single"/>
              <w:bottom w:color="cccccc" w:sz="1" w:val="single"/>
              <w:end w:color="cccccc" w:sz="1" w:val="single"/>
            </w:tcBorders>
            <w:shd w:val="clear" w:color="auto" w:fill="ebf5fb"/>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Profitability Proxy</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1833"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Month-over-Month (MoM) Growth</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411"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=(Current Month Rev – Prev Month Rev) ÷ Prev Month Rev</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604"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Tracks near-real-time revenue trajectory; flags growth or decline early</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180"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Growth Monitoring</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1833" w:type="dxa"/>
            <w:tcBorders>
              <w:top w:color="cccccc" w:sz="1" w:val="single"/>
              <w:start w:color="cccccc" w:sz="1" w:val="single"/>
              <w:bottom w:color="cccccc" w:sz="1" w:val="single"/>
              <w:end w:color="cccccc" w:sz="1" w:val="single"/>
            </w:tcBorders>
            <w:shd w:val="clear" w:color="auto" w:fill="ebf5fb"/>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Revenue Concentration Ratio</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411" w:type="dxa"/>
            <w:tcBorders>
              <w:top w:color="cccccc" w:sz="1" w:val="single"/>
              <w:start w:color="cccccc" w:sz="1" w:val="single"/>
              <w:bottom w:color="cccccc" w:sz="1" w:val="single"/>
              <w:end w:color="cccccc" w:sz="1" w:val="single"/>
            </w:tcBorders>
            <w:shd w:val="clear" w:color="auto" w:fill="ebf5fb"/>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=Top 2 Category Revenue ÷ Total Revenue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604" w:type="dxa"/>
            <w:tcBorders>
              <w:top w:color="cccccc" w:sz="1" w:val="single"/>
              <w:start w:color="cccccc" w:sz="1" w:val="single"/>
              <w:bottom w:color="cccccc" w:sz="1" w:val="single"/>
              <w:end w:color="cccccc" w:sz="1" w:val="single"/>
            </w:tcBorders>
            <w:shd w:val="clear" w:color="auto" w:fill="ebf5fb"/>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Quantifies business dependency risk on key product segments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180" w:type="dxa"/>
            <w:tcBorders>
              <w:top w:color="cccccc" w:sz="1" w:val="single"/>
              <w:start w:color="cccccc" w:sz="1" w:val="single"/>
              <w:bottom w:color="cccccc" w:sz="1" w:val="single"/>
              <w:end w:color="cccccc" w:sz="1" w:val="single"/>
            </w:tcBorders>
            <w:shd w:val="clear" w:color="auto" w:fill="ebf5fb"/>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Risk Management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bl>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al Bold" w:hAnsi="Arial Bold" w:cs="Arial Bold" w:eastAsia="Arial Bold"/>
          <w:b/>
          <w:bCs/>
          <w:color w:val="2e75b6"/>
          <w:sz w:val="26"/>
          <w:szCs w:val="26"/>
        </w:rPr>
        <w:t>Our Computed KPI Results</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4862"/>
        <w:gridCol w:w="4167"/>
      </w:tblGrid>
      <w:tr>
        <w:tc>
          <w:tcPr>
            <w:tcW w:w="4862" w:type="dxa"/>
            <w:tcBorders>
              <w:top w:color="cccccc" w:sz="1" w:val="single"/>
              <w:start w:color="cccccc" w:sz="1" w:val="single"/>
              <w:bottom w:color="cccccc" w:sz="1" w:val="single"/>
              <w:end w:color="cccccc" w:sz="1" w:val="single"/>
            </w:tcBorders>
            <w:shd w:val="clear" w:color="auto" w:fill="1f4e79"/>
            <w:tcMar>
              <w:top w:w="75"/>
              <w:start w:w="75"/>
              <w:bottom w:w="75"/>
              <w:end w:w="75"/>
            </w:tcMar>
          </w:tcPr>
          <w:p>
            <w:pPr>
              <w:spacing w:after="120" w:before="120" w:line="336" w:lineRule="auto"/>
              <w:ind w:firstLine="0" w:start="0"/>
              <w:jc w:val="start"/>
            </w:pPr>
            <w:r>
              <w:rPr>
                <w:rFonts w:ascii="Arial Bold" w:hAnsi="Arial Bold" w:cs="Arial Bold" w:eastAsia="Arial Bold"/>
                <w:b/>
                <w:bCs/>
                <w:color w:val="ffffff"/>
                <w:sz w:val="20"/>
                <w:szCs w:val="20"/>
              </w:rPr>
              <w:t>KPI</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4167" w:type="dxa"/>
            <w:tcBorders>
              <w:top w:color="cccccc" w:sz="1" w:val="single"/>
              <w:start w:color="cccccc" w:sz="1" w:val="single"/>
              <w:bottom w:color="cccccc" w:sz="1" w:val="single"/>
              <w:end w:color="cccccc" w:sz="1" w:val="single"/>
            </w:tcBorders>
            <w:shd w:val="clear" w:color="auto" w:fill="1f4e79"/>
            <w:tcMar>
              <w:top w:w="75"/>
              <w:start w:w="75"/>
              <w:bottom w:w="75"/>
              <w:end w:w="75"/>
            </w:tcMar>
          </w:tcPr>
          <w:p>
            <w:pPr>
              <w:spacing w:after="120" w:before="120" w:line="336" w:lineRule="auto"/>
              <w:ind w:firstLine="0" w:start="0"/>
              <w:jc w:val="start"/>
            </w:pPr>
            <w:r>
              <w:rPr>
                <w:rFonts w:ascii="Arial Bold" w:hAnsi="Arial Bold" w:cs="Arial Bold" w:eastAsia="Arial Bold"/>
                <w:b/>
                <w:bCs/>
                <w:color w:val="ffffff"/>
                <w:sz w:val="20"/>
                <w:szCs w:val="20"/>
              </w:rPr>
              <w:t>Our Computed Value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4862"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Total Revenue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4167"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₹14,72,998.50</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4862" w:type="dxa"/>
            <w:tcBorders>
              <w:top w:color="cccccc" w:sz="1" w:val="single"/>
              <w:start w:color="cccccc" w:sz="1" w:val="single"/>
              <w:bottom w:color="cccccc" w:sz="1" w:val="single"/>
              <w:end w:color="cccccc" w:sz="1" w:val="single"/>
            </w:tcBorders>
            <w:shd w:val="clear" w:color="auto" w:fill="ebf5fb"/>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Total Transactions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4167" w:type="dxa"/>
            <w:tcBorders>
              <w:top w:color="cccccc" w:sz="1" w:val="single"/>
              <w:start w:color="cccccc" w:sz="1" w:val="single"/>
              <w:bottom w:color="cccccc" w:sz="1" w:val="single"/>
              <w:end w:color="cccccc" w:sz="1" w:val="single"/>
            </w:tcBorders>
            <w:shd w:val="clear" w:color="auto" w:fill="ebf5fb"/>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11,362</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4862"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Total Quantity Sold</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4167"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62,889 units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4862" w:type="dxa"/>
            <w:tcBorders>
              <w:top w:color="cccccc" w:sz="1" w:val="single"/>
              <w:start w:color="cccccc" w:sz="1" w:val="single"/>
              <w:bottom w:color="cccccc" w:sz="1" w:val="single"/>
              <w:end w:color="cccccc" w:sz="1" w:val="single"/>
            </w:tcBorders>
            <w:shd w:val="clear" w:color="auto" w:fill="ebf5fb"/>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Average Order Value (AOV)</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4167" w:type="dxa"/>
            <w:tcBorders>
              <w:top w:color="cccccc" w:sz="1" w:val="single"/>
              <w:start w:color="cccccc" w:sz="1" w:val="single"/>
              <w:bottom w:color="cccccc" w:sz="1" w:val="single"/>
              <w:end w:color="cccccc" w:sz="1" w:val="single"/>
            </w:tcBorders>
            <w:shd w:val="clear" w:color="auto" w:fill="ebf5fb"/>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 ₹129.63</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4862"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Month-over-Month Growth</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4167"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–0.97%</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4862" w:type="dxa"/>
            <w:tcBorders>
              <w:top w:color="cccccc" w:sz="1" w:val="single"/>
              <w:start w:color="cccccc" w:sz="1" w:val="single"/>
              <w:bottom w:color="cccccc" w:sz="1" w:val="single"/>
              <w:end w:color="cccccc" w:sz="1" w:val="single"/>
            </w:tcBorders>
            <w:shd w:val="clear" w:color="auto" w:fill="ebf5fb"/>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Revenue Concentration Ratio</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4167" w:type="dxa"/>
            <w:tcBorders>
              <w:top w:color="cccccc" w:sz="1" w:val="single"/>
              <w:start w:color="cccccc" w:sz="1" w:val="single"/>
              <w:bottom w:color="cccccc" w:sz="1" w:val="single"/>
              <w:end w:color="cccccc" w:sz="1" w:val="single"/>
            </w:tcBorders>
            <w:shd w:val="clear" w:color="auto" w:fill="ebf5fb"/>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0.51</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bl>
    <w:p>
      <w:pPr>
        <w:spacing w:after="120" w:before="120" w:line="336" w:lineRule="auto"/>
        <w:ind w:firstLine="0" w:start="0"/>
        <w:jc w:val="start"/>
      </w:pPr>
      <w:r>
        <w:rPr>
          <w:rFonts w:ascii="Arial" w:hAnsi="Arial" w:cs="Arial" w:eastAsia="Arial"/>
          <w:color w:val="888888"/>
          <w:sz w:val="16"/>
          <w:szCs w:val="16"/>
        </w:rPr>
        <w:t xml:space="preserve">
</w:t>
      </w:r>
    </w:p>
    <w:p>
      <w:pPr>
        <w:spacing w:after="120" w:before="120"/>
      </w:pPr>
      <w:r>
        <w:br w:type="page"/>
      </w:r>
    </w:p>
    <w:p>
      <w:pPr>
        <w:spacing w:after="120" w:before="120" w:line="336" w:lineRule="auto"/>
        <w:ind w:firstLine="0" w:start="0"/>
        <w:jc w:val="start"/>
      </w:pPr>
      <w:r>
        <w:rPr>
          <w:rFonts w:ascii="Arial Italics" w:hAnsi="Arial Italics" w:cs="Arial Italics" w:eastAsia="Arial Italics"/>
          <w:i/>
          <w:iCs/>
          <w:color w:val="777777"/>
          <w:sz w:val="18"/>
          <w:szCs w:val="18"/>
        </w:rPr>
        <w:t xml:space="preserve">
</w:t>
      </w:r>
    </w:p>
    <w:p>
      <w:pPr>
        <w:spacing w:after="120" w:before="120" w:line="336" w:lineRule="auto"/>
        <w:ind w:firstLine="0" w:start="0"/>
        <w:jc w:val="start"/>
      </w:pPr>
      <w:r>
        <w:rPr>
          <w:rFonts w:ascii="Arial Bold" w:hAnsi="Arial Bold" w:cs="Arial Bold" w:eastAsia="Arial Bold"/>
          <w:b/>
          <w:bCs/>
          <w:color w:val="1f4e79"/>
          <w:sz w:val="34"/>
          <w:szCs w:val="34"/>
        </w:rPr>
        <w:t>8. Exploratory Data Analysis (EDA)</w:t>
      </w:r>
      <w:r>
        <w:rPr>
          <w:rFonts w:ascii="Arimo" w:hAnsi="Arimo" w:cs="Arimo" w:eastAsia="Arimo"/>
          <w:color w:val="000000"/>
          <w:sz w:val="24"/>
          <w:szCs w:val="24"/>
        </w:rPr>
        <w:t xml:space="preserve">
</w:t>
      </w:r>
    </w:p>
    <w:p>
      <w:pPr>
        <w:spacing w:after="120" w:before="120" w:line="336" w:lineRule="auto"/>
        <w:ind w:firstLine="0" w:start="0"/>
        <w:jc w:val="start"/>
      </w:pPr>
      <w:r>
        <w:rPr>
          <w:rFonts w:ascii="Arial" w:hAnsi="Arial" w:cs="Arial" w:eastAsia="Arial"/>
          <w:color w:val="1a1a1a"/>
          <w:sz w:val="22"/>
          <w:szCs w:val="22"/>
        </w:rPr>
        <w:t>We conducted our EDA directly in Google Sheets using pivot tables and charts. Below we present our findings across four key analytical dimensions: trends, comparisons, distributions, and correlations.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al Bold" w:hAnsi="Arial Bold" w:cs="Arial Bold" w:eastAsia="Arial Bold"/>
          <w:b/>
          <w:bCs/>
          <w:color w:val="2e75b6"/>
          <w:sz w:val="26"/>
          <w:szCs w:val="26"/>
        </w:rPr>
        <w:t>8.1 Trend Analysis – Monthly Revenue</w:t>
      </w:r>
      <w:r>
        <w:rPr>
          <w:rFonts w:ascii="Arimo" w:hAnsi="Arimo" w:cs="Arimo" w:eastAsia="Arimo"/>
          <w:color w:val="000000"/>
          <w:sz w:val="24"/>
          <w:szCs w:val="24"/>
        </w:rPr>
        <w:t xml:space="preserve">
</w:t>
      </w:r>
    </w:p>
    <w:p>
      <w:pPr>
        <w:spacing w:after="120" w:before="120" w:line="336" w:lineRule="auto"/>
        <w:ind w:firstLine="0" w:start="0"/>
        <w:jc w:val="start"/>
      </w:pPr>
      <w:r>
        <w:rPr>
          <w:rFonts w:ascii="Arial" w:hAnsi="Arial" w:cs="Arial" w:eastAsia="Arial"/>
          <w:color w:val="1a1a1a"/>
          <w:sz w:val="22"/>
          <w:szCs w:val="22"/>
        </w:rPr>
        <w:t>We calculated monthly revenue using SUMIF across our Month-Year engineered column. Our analysis showed that revenue remained broadly stable across the 37-month period, ranging between approximately ₹30,000 and ₹55,000 per month. The near-flat MoM growth of –0.97% confirmed near-stagnation. We observed predictable seasonal upticks in mid-year (May–July) and year-end (November–December) — which we believe are driven by consumer spending patterns around summer and holiday seasons. These peaks are an exploitable opportunity for targeted promotional campaigns.</w:t>
      </w:r>
      <w:r>
        <w:rPr>
          <w:rFonts w:ascii="Arial" w:hAnsi="Arial" w:cs="Arial" w:eastAsia="Arial"/>
          <w:color w:val="1a1a1a"/>
          <w:sz w:val="22"/>
          <w:szCs w:val="22"/>
        </w:rPr>
        <w:t xml:space="preserve">
</w:t>
      </w:r>
    </w:p>
    <w:p>
      <w:pPr>
        <w:spacing w:after="120" w:before="120" w:line="336" w:lineRule="auto"/>
        <w:ind w:firstLine="0" w:start="0"/>
        <w:jc w:val="start"/>
      </w:pPr>
      <w:r>
        <w:rPr>
          <w:rFonts w:ascii="Arial Bold" w:hAnsi="Arial Bold" w:cs="Arial Bold" w:eastAsia="Arial Bold"/>
          <w:b/>
          <w:bCs/>
          <w:color w:val="2e75b6"/>
          <w:sz w:val="26"/>
          <w:szCs w:val="26"/>
        </w:rPr>
        <w:t>8.</w:t>
      </w:r>
      <w:r>
        <w:rPr>
          <w:rFonts w:ascii="Arial Bold" w:hAnsi="Arial Bold" w:cs="Arial Bold" w:eastAsia="Arial Bold"/>
          <w:b/>
          <w:bCs/>
          <w:color w:val="2e75b6"/>
          <w:sz w:val="26"/>
          <w:szCs w:val="26"/>
        </w:rPr>
        <w:t>2</w:t>
      </w:r>
      <w:r>
        <w:rPr>
          <w:rFonts w:ascii="Arial Bold" w:hAnsi="Arial Bold" w:cs="Arial Bold" w:eastAsia="Arial Bold"/>
          <w:b/>
          <w:bCs/>
          <w:color w:val="2e75b6"/>
          <w:sz w:val="26"/>
          <w:szCs w:val="26"/>
        </w:rPr>
        <w:t xml:space="preserve"> Distribution Analysis – Payment Methods &amp; Revenue Bands</w:t>
      </w:r>
      <w:r>
        <w:rPr>
          <w:rFonts w:ascii="Arimo" w:hAnsi="Arimo" w:cs="Arimo" w:eastAsia="Arimo"/>
          <w:color w:val="000000"/>
          <w:sz w:val="24"/>
          <w:szCs w:val="24"/>
        </w:rPr>
        <w:t xml:space="preserve">
</w:t>
      </w:r>
    </w:p>
    <w:p>
      <w:pPr>
        <w:spacing w:after="120" w:before="120" w:line="336" w:lineRule="auto"/>
        <w:ind w:firstLine="0" w:start="0"/>
        <w:jc w:val="start"/>
      </w:pPr>
      <w:r>
        <w:rPr>
          <w:rFonts w:ascii="Arial" w:hAnsi="Arial" w:cs="Arial" w:eastAsia="Arial"/>
          <w:color w:val="1a1a1a"/>
          <w:sz w:val="22"/>
          <w:szCs w:val="22"/>
        </w:rPr>
        <w:t>We found that all three payment methods — Cash, Credit Card, and Digital Wallet — were used in relatively balanced proportions across our dataset. Digital Wallet adoption was notably strong, consistent with India's broader digital payment growth trajectory between 2022 and 2025.</w:t>
      </w:r>
      <w:r>
        <w:rPr>
          <w:rFonts w:ascii="Arimo" w:hAnsi="Arimo" w:cs="Arimo" w:eastAsia="Arimo"/>
          <w:color w:val="000000"/>
          <w:sz w:val="24"/>
          <w:szCs w:val="24"/>
        </w:rPr>
        <w:t xml:space="preserve">
</w:t>
      </w:r>
    </w:p>
    <w:p>
      <w:pPr>
        <w:spacing w:after="120" w:before="120" w:line="336" w:lineRule="auto"/>
        <w:ind w:firstLine="0" w:start="0"/>
        <w:jc w:val="start"/>
      </w:pPr>
      <w:r>
        <w:rPr>
          <w:rFonts w:ascii="Arial" w:hAnsi="Arial" w:cs="Arial" w:eastAsia="Arial"/>
          <w:color w:val="1a1a1a"/>
          <w:sz w:val="22"/>
          <w:szCs w:val="22"/>
        </w:rPr>
        <w:t>In our revenue band distribution, the majority of transactions (approximately 60–65%) fell in the Medium band (₹100–₹300), with a right-skewed long tail of high-value Furniture and Electronics transactions. This bimodal-like pattern confirms the need for separate customer journey designs for high-ticket vs. everyday purchase categories.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al Bold" w:hAnsi="Arial Bold" w:cs="Arial Bold" w:eastAsia="Arial Bold"/>
          <w:b/>
          <w:bCs/>
          <w:color w:val="2e75b6"/>
          <w:sz w:val="26"/>
          <w:szCs w:val="26"/>
        </w:rPr>
        <w:t>8.</w:t>
      </w:r>
      <w:r>
        <w:rPr>
          <w:rFonts w:ascii="Arial Bold" w:hAnsi="Arial Bold" w:cs="Arial Bold" w:eastAsia="Arial Bold"/>
          <w:b/>
          <w:bCs/>
          <w:color w:val="2e75b6"/>
          <w:sz w:val="26"/>
          <w:szCs w:val="26"/>
        </w:rPr>
        <w:t>3</w:t>
      </w:r>
      <w:r>
        <w:rPr>
          <w:rFonts w:ascii="Arial Bold" w:hAnsi="Arial Bold" w:cs="Arial Bold" w:eastAsia="Arial Bold"/>
          <w:b/>
          <w:bCs/>
          <w:color w:val="2e75b6"/>
          <w:sz w:val="26"/>
          <w:szCs w:val="26"/>
        </w:rPr>
        <w:t xml:space="preserve"> Correlation Analysis – Discounts vs. Revenue</w:t>
      </w:r>
      <w:r>
        <w:rPr>
          <w:rFonts w:ascii="Arimo" w:hAnsi="Arimo" w:cs="Arimo" w:eastAsia="Arimo"/>
          <w:color w:val="000000"/>
          <w:sz w:val="24"/>
          <w:szCs w:val="24"/>
        </w:rPr>
        <w:t xml:space="preserve">
</w:t>
      </w:r>
    </w:p>
    <w:p>
      <w:pPr>
        <w:spacing w:after="120" w:before="120" w:line="336" w:lineRule="auto"/>
        <w:ind w:firstLine="0" w:start="0"/>
        <w:jc w:val="start"/>
      </w:pPr>
      <w:r>
        <w:rPr>
          <w:rFonts w:ascii="Arial" w:hAnsi="Arial" w:cs="Arial" w:eastAsia="Arial"/>
          <w:color w:val="1a1a1a"/>
          <w:sz w:val="22"/>
          <w:szCs w:val="22"/>
        </w:rPr>
        <w:t>We analysed discounted vs. non-discounted transactions side by side. Our pivot table showed that ~48% of all transactions in our dataset had a discount applied. Discounted transactions showed higher quantity sold on average — consistent with price elasticity — but lower average Total Spent per transaction. This is a clear indicator that while our discounts successfully drive volume, they come at a cost to per-transaction revenue quality. We also observed that certain categories (Patisserie, Furniture) had significantly higher discount rates than others, suggesting non-uniform discount deployment.</w:t>
      </w:r>
      <w:r>
        <w:rPr>
          <w:rFonts w:ascii="Arimo" w:hAnsi="Arimo" w:cs="Arimo" w:eastAsia="Arimo"/>
          <w:color w:val="000000"/>
          <w:sz w:val="24"/>
          <w:szCs w:val="24"/>
        </w:rPr>
        <w:t xml:space="preserve">
</w:t>
      </w:r>
    </w:p>
    <w:p>
      <w:pPr>
        <w:spacing w:after="120" w:before="120" w:line="336" w:lineRule="auto"/>
        <w:ind w:firstLine="0" w:start="0"/>
        <w:jc w:val="start"/>
      </w:pPr>
      <w:r>
        <w:rPr>
          <w:rFonts w:ascii="Arial" w:hAnsi="Arial" w:cs="Arial" w:eastAsia="Arial"/>
          <w:color w:val="888888"/>
          <w:sz w:val="16"/>
          <w:szCs w:val="16"/>
        </w:rPr>
        <w:t xml:space="preserve">
</w:t>
      </w:r>
    </w:p>
    <w:p>
      <w:pPr>
        <w:spacing w:after="120" w:before="120"/>
      </w:pPr>
      <w:r>
        <w:br w:type="page"/>
      </w:r>
    </w:p>
    <w:p>
      <w:pPr>
        <w:spacing w:after="120" w:before="120" w:line="336" w:lineRule="auto"/>
        <w:ind w:firstLine="0" w:start="0"/>
        <w:jc w:val="start"/>
      </w:pPr>
      <w:r>
        <w:rPr>
          <w:rFonts w:ascii="Arial Bold" w:hAnsi="Arial Bold" w:cs="Arial Bold" w:eastAsia="Arial Bold"/>
          <w:b/>
          <w:bCs/>
          <w:color w:val="1f4e79"/>
          <w:sz w:val="34"/>
          <w:szCs w:val="34"/>
        </w:rPr>
        <w:t>9. Advanced Analysis</w:t>
      </w:r>
      <w:r>
        <w:rPr>
          <w:rFonts w:ascii="Arimo" w:hAnsi="Arimo" w:cs="Arimo" w:eastAsia="Arimo"/>
          <w:color w:val="000000"/>
          <w:sz w:val="24"/>
          <w:szCs w:val="24"/>
        </w:rPr>
        <w:t xml:space="preserve">
</w:t>
      </w:r>
    </w:p>
    <w:p>
      <w:pPr>
        <w:spacing w:after="120" w:before="120" w:line="336" w:lineRule="auto"/>
        <w:ind w:firstLine="0" w:start="0"/>
        <w:jc w:val="start"/>
      </w:pPr>
      <w:r>
        <w:rPr>
          <w:rFonts w:ascii="Arial Bold" w:hAnsi="Arial Bold" w:cs="Arial Bold" w:eastAsia="Arial Bold"/>
          <w:b/>
          <w:bCs/>
          <w:color w:val="2e75b6"/>
          <w:sz w:val="26"/>
          <w:szCs w:val="26"/>
        </w:rPr>
        <w:t>9.1 Revenue Concentration &amp; Risk Analysis</w:t>
      </w:r>
      <w:r>
        <w:rPr>
          <w:rFonts w:ascii="Arimo" w:hAnsi="Arimo" w:cs="Arimo" w:eastAsia="Arimo"/>
          <w:color w:val="000000"/>
          <w:sz w:val="24"/>
          <w:szCs w:val="24"/>
        </w:rPr>
        <w:t xml:space="preserve">
</w:t>
      </w:r>
    </w:p>
    <w:p>
      <w:pPr>
        <w:spacing w:after="120" w:before="120" w:line="336" w:lineRule="auto"/>
        <w:ind w:firstLine="0" w:start="0"/>
        <w:jc w:val="start"/>
      </w:pPr>
      <w:r>
        <w:rPr>
          <w:rFonts w:ascii="Arial" w:hAnsi="Arial" w:cs="Arial" w:eastAsia="Arial"/>
          <w:color w:val="1a1a1a"/>
          <w:sz w:val="22"/>
          <w:szCs w:val="22"/>
        </w:rPr>
        <w:t>Our Revenue Concentration Ratio of 0.51 indicates that 51% of our total revenue comes from just two product categories. This level of concentration is a material strategic risk — if either of these categories faces supply disruption, demand contraction, or competitive pressure, more than half our revenue could be impacted. We used this finding to prioritise the recommendation to diversify revenue across underperforming categories.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al Bold" w:hAnsi="Arial Bold" w:cs="Arial Bold" w:eastAsia="Arial Bold"/>
          <w:b/>
          <w:bCs/>
          <w:color w:val="2e75b6"/>
          <w:sz w:val="26"/>
          <w:szCs w:val="26"/>
        </w:rPr>
        <w:t>9.2 Growth Pattern Analysis – Online vs. In-Store Channel</w:t>
      </w:r>
      <w:r>
        <w:rPr>
          <w:rFonts w:ascii="Arimo" w:hAnsi="Arimo" w:cs="Arimo" w:eastAsia="Arimo"/>
          <w:color w:val="000000"/>
          <w:sz w:val="24"/>
          <w:szCs w:val="24"/>
        </w:rPr>
        <w:t xml:space="preserve">
</w:t>
      </w:r>
    </w:p>
    <w:p>
      <w:pPr>
        <w:spacing w:after="120" w:before="120" w:line="336" w:lineRule="auto"/>
        <w:ind w:firstLine="0" w:start="0"/>
        <w:jc w:val="start"/>
      </w:pPr>
      <w:r>
        <w:rPr>
          <w:rFonts w:ascii="Arial" w:hAnsi="Arial" w:cs="Arial" w:eastAsia="Arial"/>
          <w:color w:val="1a1a1a"/>
          <w:sz w:val="22"/>
          <w:szCs w:val="22"/>
        </w:rPr>
        <w:t>When we segmented transaction trends by channel across 2022, 2023, and 2024, we observed a clear divergence. Online channel transactions showed a gradual year-on-year increase, particularly for Furniture and Computers &amp; Electronics — categories where customers research and compare before buying. In-store transactions were flat-to-declining year-on-year, concentrated in Food, Beverages, and Patisserie. This channel-level insight directly shaped our recommendation to invest in the online channel for high-AOV categories.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al" w:hAnsi="Arial" w:cs="Arial" w:eastAsia="Arial"/>
          <w:color w:val="888888"/>
          <w:sz w:val="16"/>
          <w:szCs w:val="16"/>
        </w:rPr>
        <w:t xml:space="preserve">
</w:t>
      </w:r>
    </w:p>
    <w:p>
      <w:pPr>
        <w:spacing w:after="120" w:before="120"/>
      </w:pPr>
      <w:r>
        <w:br w:type="page"/>
      </w:r>
    </w:p>
    <w:p>
      <w:pPr>
        <w:spacing w:after="120" w:before="120" w:line="336" w:lineRule="auto"/>
        <w:ind w:firstLine="0" w:start="0"/>
        <w:jc w:val="start"/>
      </w:pPr>
      <w:r>
        <w:rPr>
          <w:rFonts w:ascii="Arial Bold" w:hAnsi="Arial Bold" w:cs="Arial Bold" w:eastAsia="Arial Bold"/>
          <w:b/>
          <w:bCs/>
          <w:color w:val="1f4e79"/>
          <w:sz w:val="34"/>
          <w:szCs w:val="34"/>
        </w:rPr>
        <w:t>10. Dashboard Design</w:t>
      </w:r>
      <w:r>
        <w:rPr>
          <w:rFonts w:ascii="Arimo" w:hAnsi="Arimo" w:cs="Arimo" w:eastAsia="Arimo"/>
          <w:color w:val="000000"/>
          <w:sz w:val="24"/>
          <w:szCs w:val="24"/>
        </w:rPr>
        <w:t xml:space="preserve">
</w:t>
      </w:r>
    </w:p>
    <w:p>
      <w:pPr>
        <w:spacing w:after="120" w:before="120" w:line="336" w:lineRule="auto"/>
        <w:ind w:firstLine="0" w:start="0"/>
        <w:jc w:val="start"/>
      </w:pPr>
      <w:r>
        <w:rPr>
          <w:rFonts w:ascii="Arial Bold" w:hAnsi="Arial Bold" w:cs="Arial Bold" w:eastAsia="Arial Bold"/>
          <w:b/>
          <w:bCs/>
          <w:color w:val="2e75b6"/>
          <w:sz w:val="26"/>
          <w:szCs w:val="26"/>
        </w:rPr>
        <w:t>Dashboard Objective</w:t>
      </w:r>
      <w:r>
        <w:rPr>
          <w:rFonts w:ascii="Arimo" w:hAnsi="Arimo" w:cs="Arimo" w:eastAsia="Arimo"/>
          <w:color w:val="000000"/>
          <w:sz w:val="24"/>
          <w:szCs w:val="24"/>
        </w:rPr>
        <w:t xml:space="preserve">
</w:t>
      </w:r>
    </w:p>
    <w:p>
      <w:pPr>
        <w:spacing w:after="120" w:before="120" w:line="336" w:lineRule="auto"/>
        <w:ind w:firstLine="0" w:start="0"/>
        <w:jc w:val="start"/>
      </w:pPr>
      <w:r>
        <w:rPr>
          <w:rFonts w:ascii="Arial" w:hAnsi="Arial" w:cs="Arial" w:eastAsia="Arial"/>
          <w:color w:val="1a1a1a"/>
          <w:sz w:val="22"/>
          <w:szCs w:val="22"/>
        </w:rPr>
        <w:t>Our dashboard was designed to give management and category managers a single-screen, interactive view of retail performance. We wanted the dashboard to answer the three most critical business questions at a glance: How much are we selling? What is selling? And where is it selling?</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al Bold" w:hAnsi="Arial Bold" w:cs="Arial Bold" w:eastAsia="Arial Bold"/>
          <w:b/>
          <w:bCs/>
          <w:color w:val="2e75b6"/>
          <w:sz w:val="26"/>
          <w:szCs w:val="26"/>
        </w:rPr>
        <w:t>Implementation</w:t>
      </w:r>
      <w:r>
        <w:rPr>
          <w:rFonts w:ascii="Arimo" w:hAnsi="Arimo" w:cs="Arimo" w:eastAsia="Arimo"/>
          <w:color w:val="000000"/>
          <w:sz w:val="24"/>
          <w:szCs w:val="24"/>
        </w:rPr>
        <w:t xml:space="preserve">
</w:t>
      </w:r>
    </w:p>
    <w:p>
      <w:pPr>
        <w:spacing w:after="120" w:before="120" w:line="336" w:lineRule="auto"/>
        <w:ind w:firstLine="0" w:start="0"/>
        <w:jc w:val="start"/>
      </w:pPr>
      <w:r>
        <w:rPr>
          <w:rFonts w:ascii="Arial" w:hAnsi="Arial" w:cs="Arial" w:eastAsia="Arial"/>
          <w:color w:val="1a1a1a"/>
          <w:sz w:val="22"/>
          <w:szCs w:val="22"/>
        </w:rPr>
        <w:t>Our dashboard was built entirely in the 'Dashboard' sheet of our Google Sheets file using pivot tables, SUMIF/COUNTIF formulas, and Google Sheets native charts. We used dropdown-driven Data Validation filters to enable dynamic interaction — no external BI tool or plugin was used, as required by the capstone guidelines.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al Bold" w:hAnsi="Arial Bold" w:cs="Arial Bold" w:eastAsia="Arial Bold"/>
          <w:b/>
          <w:bCs/>
          <w:color w:val="2e75b6"/>
          <w:sz w:val="26"/>
          <w:szCs w:val="26"/>
        </w:rPr>
        <w:t>Dashboard View Structure</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2701"/>
        <w:gridCol w:w="6328"/>
      </w:tblGrid>
      <w:tr>
        <w:tc>
          <w:tcPr>
            <w:tcW w:w="2701" w:type="dxa"/>
            <w:tcBorders>
              <w:top w:color="cccccc" w:sz="1" w:val="single"/>
              <w:start w:color="cccccc" w:sz="1" w:val="single"/>
              <w:bottom w:color="cccccc" w:sz="1" w:val="single"/>
              <w:end w:color="cccccc" w:sz="1" w:val="single"/>
            </w:tcBorders>
            <w:shd w:val="clear" w:color="auto" w:fill="1f4e79"/>
            <w:tcMar>
              <w:top w:w="75"/>
              <w:start w:w="75"/>
              <w:bottom w:w="75"/>
              <w:end w:w="75"/>
            </w:tcMar>
          </w:tcPr>
          <w:p>
            <w:pPr>
              <w:spacing w:after="120" w:before="120" w:line="336" w:lineRule="auto"/>
              <w:ind w:firstLine="0" w:start="0"/>
              <w:jc w:val="start"/>
            </w:pPr>
            <w:r>
              <w:rPr>
                <w:rFonts w:ascii="Arial Bold" w:hAnsi="Arial Bold" w:cs="Arial Bold" w:eastAsia="Arial Bold"/>
                <w:b/>
                <w:bCs/>
                <w:color w:val="ffffff"/>
                <w:sz w:val="20"/>
                <w:szCs w:val="20"/>
              </w:rPr>
              <w:t>Dashboard Panel</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6328" w:type="dxa"/>
            <w:tcBorders>
              <w:top w:color="cccccc" w:sz="1" w:val="single"/>
              <w:start w:color="cccccc" w:sz="1" w:val="single"/>
              <w:bottom w:color="cccccc" w:sz="1" w:val="single"/>
              <w:end w:color="cccccc" w:sz="1" w:val="single"/>
            </w:tcBorders>
            <w:shd w:val="clear" w:color="auto" w:fill="1f4e79"/>
            <w:tcMar>
              <w:top w:w="75"/>
              <w:start w:w="75"/>
              <w:bottom w:w="75"/>
              <w:end w:w="75"/>
            </w:tcMar>
          </w:tcPr>
          <w:p>
            <w:pPr>
              <w:spacing w:after="120" w:before="120" w:line="336" w:lineRule="auto"/>
              <w:ind w:firstLine="0" w:start="0"/>
              <w:jc w:val="start"/>
            </w:pPr>
            <w:r>
              <w:rPr>
                <w:rFonts w:ascii="Arial Bold" w:hAnsi="Arial Bold" w:cs="Arial Bold" w:eastAsia="Arial Bold"/>
                <w:b/>
                <w:bCs/>
                <w:color w:val="ffffff"/>
                <w:sz w:val="20"/>
                <w:szCs w:val="20"/>
              </w:rPr>
              <w:t>What It Shows &amp; Why We Included It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2701"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KPI Summary Strip (Top Row)</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6328"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Displays our 6 core KPIs: Total Revenue (₹14,72,998.50), Total Transactions (11,362), Quantity Sold (62,889), AOV (₹129.63), MoM Growth (–0.97%), Concentration Ratio (0.51) — gives instant health check</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2701" w:type="dxa"/>
            <w:tcBorders>
              <w:top w:color="cccccc" w:sz="1" w:val="single"/>
              <w:start w:color="cccccc" w:sz="1" w:val="single"/>
              <w:bottom w:color="cccccc" w:sz="1" w:val="single"/>
              <w:end w:color="cccccc" w:sz="1" w:val="single"/>
            </w:tcBorders>
            <w:shd w:val="clear" w:color="auto" w:fill="ebf5fb"/>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Revenue by Category (Bar Chart)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6328" w:type="dxa"/>
            <w:tcBorders>
              <w:top w:color="cccccc" w:sz="1" w:val="single"/>
              <w:start w:color="cccccc" w:sz="1" w:val="single"/>
              <w:bottom w:color="cccccc" w:sz="1" w:val="single"/>
              <w:end w:color="cccccc" w:sz="1" w:val="single"/>
            </w:tcBorders>
            <w:shd w:val="clear" w:color="auto" w:fill="ebf5fb"/>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Horizontal bar chart showing each category's total revenue contribution — makes category-level prioritisation immediately visible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2701"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Monthly Revenue Trend (Line Chart)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6328"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Time-series line chart of monthly revenue from Jan 2022 to Jan 2025 — reveals seasonal patterns and the near-stagnation trend</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2701" w:type="dxa"/>
            <w:tcBorders>
              <w:top w:color="cccccc" w:sz="1" w:val="single"/>
              <w:start w:color="cccccc" w:sz="1" w:val="single"/>
              <w:bottom w:color="cccccc" w:sz="1" w:val="single"/>
              <w:end w:color="cccccc" w:sz="1" w:val="single"/>
            </w:tcBorders>
            <w:shd w:val="clear" w:color="auto" w:fill="ebf5fb"/>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Online vs. In-Store Channel Split (Donut Chart)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6328" w:type="dxa"/>
            <w:tcBorders>
              <w:top w:color="cccccc" w:sz="1" w:val="single"/>
              <w:start w:color="cccccc" w:sz="1" w:val="single"/>
              <w:bottom w:color="cccccc" w:sz="1" w:val="single"/>
              <w:end w:color="cccccc" w:sz="1" w:val="single"/>
            </w:tcBorders>
            <w:shd w:val="clear" w:color="auto" w:fill="ebf5fb"/>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Proportional breakdown of revenue by channel — visual evidence for the online vs. in-store strategic divergence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2701"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Payment Method Distribution (Bar Chart)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6328"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Transaction count and revenue share by Cash, Credit Card, and Digital Wallet — supports payment infrastructure decisions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2701" w:type="dxa"/>
            <w:tcBorders>
              <w:top w:color="cccccc" w:sz="1" w:val="single"/>
              <w:start w:color="cccccc" w:sz="1" w:val="single"/>
              <w:bottom w:color="cccccc" w:sz="1" w:val="single"/>
              <w:end w:color="cccccc" w:sz="1" w:val="single"/>
            </w:tcBorders>
            <w:shd w:val="clear" w:color="auto" w:fill="ebf5fb"/>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Discounted vs. Non-Discounted Revenue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6328" w:type="dxa"/>
            <w:tcBorders>
              <w:top w:color="cccccc" w:sz="1" w:val="single"/>
              <w:start w:color="cccccc" w:sz="1" w:val="single"/>
              <w:bottom w:color="cccccc" w:sz="1" w:val="single"/>
              <w:end w:color="cccccc" w:sz="1" w:val="single"/>
            </w:tcBorders>
            <w:shd w:val="clear" w:color="auto" w:fill="ebf5fb"/>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Side-by-side comparison of revenue, quantity, and AOV for discounted vs. non-discounted transactions — directly supports our discount strategy findings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bl>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al Bold" w:hAnsi="Arial Bold" w:cs="Arial Bold" w:eastAsia="Arial Bold"/>
          <w:b/>
          <w:bCs/>
          <w:color w:val="2e75b6"/>
          <w:sz w:val="26"/>
          <w:szCs w:val="26"/>
        </w:rPr>
        <w:t>Filters &amp; Drilldowns We Built</w:t>
      </w:r>
      <w:r>
        <w:rPr>
          <w:rFonts w:ascii="Arimo" w:hAnsi="Arimo" w:cs="Arimo" w:eastAsia="Arimo"/>
          <w:color w:val="000000"/>
          <w:sz w:val="24"/>
          <w:szCs w:val="24"/>
        </w:rPr>
        <w:t xml:space="preserve">
</w:t>
      </w:r>
    </w:p>
    <w:p>
      <w:pPr>
        <w:numPr>
          <w:ilvl w:val="0"/>
          <w:numId w:val="8"/>
        </w:numPr>
        <w:spacing w:after="0" w:before="0" w:line="336" w:lineRule="auto"/>
        <w:jc w:val="start"/>
      </w:pPr>
      <w:r>
        <w:rPr>
          <w:rFonts w:ascii="Arial" w:hAnsi="Arial" w:cs="Arial" w:eastAsia="Arial"/>
          <w:color w:val="1a1a1a"/>
          <w:sz w:val="22"/>
          <w:szCs w:val="22"/>
        </w:rPr>
        <w:t>Category Filter: Dropdown to view data for any single category or all categories combined.</w:t>
      </w:r>
      <w:r>
        <w:rPr>
          <w:rFonts w:ascii="Arimo" w:hAnsi="Arimo" w:cs="Arimo" w:eastAsia="Arimo"/>
          <w:color w:val="000000"/>
          <w:sz w:val="24"/>
          <w:szCs w:val="24"/>
        </w:rPr>
        <w:t xml:space="preserve">
</w:t>
      </w:r>
    </w:p>
    <w:p>
      <w:pPr>
        <w:numPr>
          <w:ilvl w:val="0"/>
          <w:numId w:val="8"/>
        </w:numPr>
        <w:spacing w:after="0" w:before="0" w:line="336" w:lineRule="auto"/>
        <w:jc w:val="start"/>
      </w:pPr>
      <w:r>
        <w:rPr>
          <w:rFonts w:ascii="Arial" w:hAnsi="Arial" w:cs="Arial" w:eastAsia="Arial"/>
          <w:color w:val="1a1a1a"/>
          <w:sz w:val="22"/>
          <w:szCs w:val="22"/>
        </w:rPr>
        <w:t>Location Filter: Toggle between Online, In-store, or All — immediately repaints all charts and KPIs.</w:t>
      </w:r>
      <w:r>
        <w:rPr>
          <w:rFonts w:ascii="Arimo" w:hAnsi="Arimo" w:cs="Arimo" w:eastAsia="Arimo"/>
          <w:color w:val="000000"/>
          <w:sz w:val="24"/>
          <w:szCs w:val="24"/>
        </w:rPr>
        <w:t xml:space="preserve">
</w:t>
      </w:r>
    </w:p>
    <w:p>
      <w:pPr>
        <w:numPr>
          <w:ilvl w:val="0"/>
          <w:numId w:val="8"/>
        </w:numPr>
        <w:spacing w:after="0" w:before="0" w:line="336" w:lineRule="auto"/>
        <w:jc w:val="start"/>
      </w:pPr>
      <w:r>
        <w:rPr>
          <w:rFonts w:ascii="Arial" w:hAnsi="Arial" w:cs="Arial" w:eastAsia="Arial"/>
          <w:color w:val="1a1a1a"/>
          <w:sz w:val="22"/>
          <w:szCs w:val="22"/>
        </w:rPr>
        <w:t>Year Filter: Allows year-level comparison between 2022, 2023, and 2024.</w:t>
      </w:r>
      <w:r>
        <w:rPr>
          <w:rFonts w:ascii="Arimo" w:hAnsi="Arimo" w:cs="Arimo" w:eastAsia="Arimo"/>
          <w:color w:val="000000"/>
          <w:sz w:val="24"/>
          <w:szCs w:val="24"/>
        </w:rPr>
        <w:t xml:space="preserve">
</w:t>
      </w:r>
    </w:p>
    <w:p>
      <w:pPr>
        <w:numPr>
          <w:ilvl w:val="0"/>
          <w:numId w:val="8"/>
        </w:numPr>
        <w:spacing w:after="0" w:before="0" w:line="336" w:lineRule="auto"/>
        <w:jc w:val="start"/>
      </w:pPr>
      <w:r>
        <w:rPr>
          <w:rFonts w:ascii="Arial" w:hAnsi="Arial" w:cs="Arial" w:eastAsia="Arial"/>
          <w:color w:val="1a1a1a"/>
          <w:sz w:val="22"/>
          <w:szCs w:val="22"/>
        </w:rPr>
        <w:t>Discount Toggle: Filters all views to show only discounted or only non-discounted transactions.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al Italics" w:hAnsi="Arial Italics" w:cs="Arial Italics" w:eastAsia="Arial Italics"/>
          <w:i/>
          <w:iCs/>
          <w:color w:val="1a1a1a"/>
          <w:sz w:val="22"/>
          <w:szCs w:val="22"/>
        </w:rPr>
        <w:t xml:space="preserve">
</w:t>
      </w:r>
    </w:p>
    <w:p>
      <w:pPr>
        <w:spacing w:after="120" w:before="120"/>
      </w:pPr>
      <w:r>
        <w:br w:type="page"/>
      </w:r>
    </w:p>
    <w:p>
      <w:pPr>
        <w:spacing w:after="120" w:before="120" w:line="336" w:lineRule="auto"/>
        <w:ind w:firstLine="0" w:start="0"/>
        <w:jc w:val="start"/>
      </w:pPr>
      <w:r>
        <w:rPr>
          <w:rFonts w:ascii="Arial Bold" w:hAnsi="Arial Bold" w:cs="Arial Bold" w:eastAsia="Arial Bold"/>
          <w:b/>
          <w:bCs/>
          <w:color w:val="1f4e79"/>
          <w:sz w:val="34"/>
          <w:szCs w:val="34"/>
        </w:rPr>
        <w:t>11. Insights Summary</w:t>
      </w:r>
      <w:r>
        <w:rPr>
          <w:rFonts w:ascii="Arimo" w:hAnsi="Arimo" w:cs="Arimo" w:eastAsia="Arimo"/>
          <w:color w:val="000000"/>
          <w:sz w:val="24"/>
          <w:szCs w:val="24"/>
        </w:rPr>
        <w:t xml:space="preserve">
</w:t>
      </w:r>
    </w:p>
    <w:p>
      <w:pPr>
        <w:spacing w:after="120" w:before="120" w:line="336" w:lineRule="auto"/>
        <w:ind w:firstLine="0" w:start="0"/>
        <w:jc w:val="start"/>
      </w:pPr>
      <w:r>
        <w:rPr>
          <w:rFonts w:ascii="Arial" w:hAnsi="Arial" w:cs="Arial" w:eastAsia="Arial"/>
          <w:color w:val="1a1a1a"/>
          <w:sz w:val="22"/>
          <w:szCs w:val="22"/>
        </w:rPr>
        <w:t>Below are the 10 most important insights we derived from our analysis. We have written each insight in decision language — directly answering 'So what does this mean for the business?'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385"/>
        <w:gridCol w:w="2315"/>
        <w:gridCol w:w="6328"/>
      </w:tblGrid>
      <w:tr>
        <w:tc>
          <w:tcPr>
            <w:tcW w:w="385" w:type="dxa"/>
            <w:tcBorders>
              <w:top w:color="cccccc" w:sz="1" w:val="single"/>
              <w:start w:color="cccccc" w:sz="1" w:val="single"/>
              <w:bottom w:color="cccccc" w:sz="1" w:val="single"/>
              <w:end w:color="cccccc" w:sz="1" w:val="single"/>
            </w:tcBorders>
            <w:shd w:val="clear" w:color="auto" w:fill="1f4e79"/>
            <w:tcMar>
              <w:top w:w="75"/>
              <w:start w:w="75"/>
              <w:bottom w:w="75"/>
              <w:end w:w="75"/>
            </w:tcMar>
          </w:tcPr>
          <w:p>
            <w:pPr>
              <w:spacing w:after="120" w:before="120" w:line="336" w:lineRule="auto"/>
              <w:ind w:firstLine="0" w:start="0"/>
              <w:jc w:val="start"/>
            </w:pPr>
            <w:r>
              <w:rPr>
                <w:rFonts w:ascii="Arial Bold" w:hAnsi="Arial Bold" w:cs="Arial Bold" w:eastAsia="Arial Bold"/>
                <w:b/>
                <w:bCs/>
                <w:color w:val="ffffff"/>
                <w:sz w:val="20"/>
                <w:szCs w:val="20"/>
              </w:rPr>
              <w: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315" w:type="dxa"/>
            <w:tcBorders>
              <w:top w:color="cccccc" w:sz="1" w:val="single"/>
              <w:start w:color="cccccc" w:sz="1" w:val="single"/>
              <w:bottom w:color="cccccc" w:sz="1" w:val="single"/>
              <w:end w:color="cccccc" w:sz="1" w:val="single"/>
            </w:tcBorders>
            <w:shd w:val="clear" w:color="auto" w:fill="1f4e79"/>
            <w:tcMar>
              <w:top w:w="75"/>
              <w:start w:w="75"/>
              <w:bottom w:w="75"/>
              <w:end w:w="75"/>
            </w:tcMar>
          </w:tcPr>
          <w:p>
            <w:pPr>
              <w:spacing w:after="120" w:before="120" w:line="336" w:lineRule="auto"/>
              <w:ind w:firstLine="0" w:start="0"/>
              <w:jc w:val="start"/>
            </w:pPr>
            <w:r>
              <w:rPr>
                <w:rFonts w:ascii="Arial Bold" w:hAnsi="Arial Bold" w:cs="Arial Bold" w:eastAsia="Arial Bold"/>
                <w:b/>
                <w:bCs/>
                <w:color w:val="ffffff"/>
                <w:sz w:val="20"/>
                <w:szCs w:val="20"/>
              </w:rPr>
              <w:t>Insight Title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6328" w:type="dxa"/>
            <w:tcBorders>
              <w:top w:color="cccccc" w:sz="1" w:val="single"/>
              <w:start w:color="cccccc" w:sz="1" w:val="single"/>
              <w:bottom w:color="cccccc" w:sz="1" w:val="single"/>
              <w:end w:color="cccccc" w:sz="1" w:val="single"/>
            </w:tcBorders>
            <w:shd w:val="clear" w:color="auto" w:fill="1f4e79"/>
            <w:tcMar>
              <w:top w:w="75"/>
              <w:start w:w="75"/>
              <w:bottom w:w="75"/>
              <w:end w:w="75"/>
            </w:tcMar>
          </w:tcPr>
          <w:p>
            <w:pPr>
              <w:spacing w:after="120" w:before="120" w:line="336" w:lineRule="auto"/>
              <w:ind w:firstLine="0" w:start="0"/>
              <w:jc w:val="start"/>
            </w:pPr>
            <w:r>
              <w:rPr>
                <w:rFonts w:ascii="Arial Bold" w:hAnsi="Arial Bold" w:cs="Arial Bold" w:eastAsia="Arial Bold"/>
                <w:b/>
                <w:bCs/>
                <w:color w:val="ffffff"/>
                <w:sz w:val="20"/>
                <w:szCs w:val="20"/>
              </w:rPr>
              <w:t>What It Means for the Business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385"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1</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315"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Revenue Stagnation</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6328"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Our MoM growth of –0.97% tells us that the current strategy is not working. Without a change in approach, revenue will continue to plateau or decline.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385" w:type="dxa"/>
            <w:tcBorders>
              <w:top w:color="cccccc" w:sz="1" w:val="single"/>
              <w:start w:color="cccccc" w:sz="1" w:val="single"/>
              <w:bottom w:color="cccccc" w:sz="1" w:val="single"/>
              <w:end w:color="cccccc" w:sz="1" w:val="single"/>
            </w:tcBorders>
            <w:shd w:val="clear" w:color="auto" w:fill="ebf5fb"/>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2</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315" w:type="dxa"/>
            <w:tcBorders>
              <w:top w:color="cccccc" w:sz="1" w:val="single"/>
              <w:start w:color="cccccc" w:sz="1" w:val="single"/>
              <w:bottom w:color="cccccc" w:sz="1" w:val="single"/>
              <w:end w:color="cccccc" w:sz="1" w:val="single"/>
            </w:tcBorders>
            <w:shd w:val="clear" w:color="auto" w:fill="ebf5fb"/>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Concentration Risk is Real</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6328" w:type="dxa"/>
            <w:tcBorders>
              <w:top w:color="cccccc" w:sz="1" w:val="single"/>
              <w:start w:color="cccccc" w:sz="1" w:val="single"/>
              <w:bottom w:color="cccccc" w:sz="1" w:val="single"/>
              <w:end w:color="cccccc" w:sz="1" w:val="single"/>
            </w:tcBorders>
            <w:shd w:val="clear" w:color="auto" w:fill="ebf5fb"/>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51% of our revenue comes from just two categories. If either underperforms, the business feels it immediately. Diversification is not optional — it is necessary.</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385"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3</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315"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Online Channel is Growing</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6328"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Year-on-year, our online transactions are increasing. The business must invest in its digital storefront before this window of advantage narrows.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385" w:type="dxa"/>
            <w:tcBorders>
              <w:top w:color="cccccc" w:sz="1" w:val="single"/>
              <w:start w:color="cccccc" w:sz="1" w:val="single"/>
              <w:bottom w:color="cccccc" w:sz="1" w:val="single"/>
              <w:end w:color="cccccc" w:sz="1" w:val="single"/>
            </w:tcBorders>
            <w:shd w:val="clear" w:color="auto" w:fill="ebf5fb"/>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4</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315" w:type="dxa"/>
            <w:tcBorders>
              <w:top w:color="cccccc" w:sz="1" w:val="single"/>
              <w:start w:color="cccccc" w:sz="1" w:val="single"/>
              <w:bottom w:color="cccccc" w:sz="1" w:val="single"/>
              <w:end w:color="cccccc" w:sz="1" w:val="single"/>
            </w:tcBorders>
            <w:shd w:val="clear" w:color="auto" w:fill="ebf5fb"/>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Discounts Drive Volume But Hurt Revenue Quality</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6328" w:type="dxa"/>
            <w:tcBorders>
              <w:top w:color="cccccc" w:sz="1" w:val="single"/>
              <w:start w:color="cccccc" w:sz="1" w:val="single"/>
              <w:bottom w:color="cccccc" w:sz="1" w:val="single"/>
              <w:end w:color="cccccc" w:sz="1" w:val="single"/>
            </w:tcBorders>
            <w:shd w:val="clear" w:color="auto" w:fill="ebf5fb"/>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~48% discount rate is very high. Discounts are being applied too broadly — not targeted where they are most needed to drive incremental sales.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385"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5</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315"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High-AOV Categories Are Underinvested</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6328"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Furniture and Computers &amp; Electronics generate the highest revenue per transaction but are receiving less marketing attention than Food and Beverages.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385" w:type="dxa"/>
            <w:tcBorders>
              <w:top w:color="cccccc" w:sz="1" w:val="single"/>
              <w:start w:color="cccccc" w:sz="1" w:val="single"/>
              <w:bottom w:color="cccccc" w:sz="1" w:val="single"/>
              <w:end w:color="cccccc" w:sz="1" w:val="single"/>
            </w:tcBorders>
            <w:shd w:val="clear" w:color="auto" w:fill="ebf5fb"/>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6</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315" w:type="dxa"/>
            <w:tcBorders>
              <w:top w:color="cccccc" w:sz="1" w:val="single"/>
              <w:start w:color="cccccc" w:sz="1" w:val="single"/>
              <w:bottom w:color="cccccc" w:sz="1" w:val="single"/>
              <w:end w:color="cccccc" w:sz="1" w:val="single"/>
            </w:tcBorders>
            <w:shd w:val="clear" w:color="auto" w:fill="ebf5fb"/>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Seasonal Peaks Are Predictable and Exploitable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6328" w:type="dxa"/>
            <w:tcBorders>
              <w:top w:color="cccccc" w:sz="1" w:val="single"/>
              <w:start w:color="cccccc" w:sz="1" w:val="single"/>
              <w:bottom w:color="cccccc" w:sz="1" w:val="single"/>
              <w:end w:color="cccccc" w:sz="1" w:val="single"/>
            </w:tcBorders>
            <w:shd w:val="clear" w:color="auto" w:fill="ebf5fb"/>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We consistently see revenue spikes in May–July and November–December. Pre-positioning inventory and running promotions ahead of these periods is a low-risk, high-reward move.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385"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7</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315"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Digital Wallet Adoption Is Rising</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6328"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Growing digital payment use creates an opportunity to integrate a loyalty programme that rewards wallet users, driving repeat purchase behaviour.</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385" w:type="dxa"/>
            <w:tcBorders>
              <w:top w:color="cccccc" w:sz="1" w:val="single"/>
              <w:start w:color="cccccc" w:sz="1" w:val="single"/>
              <w:bottom w:color="cccccc" w:sz="1" w:val="single"/>
              <w:end w:color="cccccc" w:sz="1" w:val="single"/>
            </w:tcBorders>
            <w:shd w:val="clear" w:color="auto" w:fill="ebf5fb"/>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8</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315" w:type="dxa"/>
            <w:tcBorders>
              <w:top w:color="cccccc" w:sz="1" w:val="single"/>
              <w:start w:color="cccccc" w:sz="1" w:val="single"/>
              <w:bottom w:color="cccccc" w:sz="1" w:val="single"/>
              <w:end w:color="cccccc" w:sz="1" w:val="single"/>
            </w:tcBorders>
            <w:shd w:val="clear" w:color="auto" w:fill="ebf5fb"/>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In-Store Food &amp; Beverage Drive Footfall</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6328" w:type="dxa"/>
            <w:tcBorders>
              <w:top w:color="cccccc" w:sz="1" w:val="single"/>
              <w:start w:color="cccccc" w:sz="1" w:val="single"/>
              <w:bottom w:color="cccccc" w:sz="1" w:val="single"/>
              <w:end w:color="cccccc" w:sz="1" w:val="single"/>
            </w:tcBorders>
            <w:shd w:val="clear" w:color="auto" w:fill="ebf5fb"/>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Food and Beverage dominate in-store transactions. Cross-selling higher-margin products at the point of sale could materially increase average basket size.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385"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9</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315"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Small but Loyal Customer Base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6328"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With only 25 unique customers making thousands of transactions, we have a highly repeat-purchase base. Deepening these relationships through CRM can unlock significant share-of-wallet.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385" w:type="dxa"/>
            <w:tcBorders>
              <w:top w:color="cccccc" w:sz="1" w:val="single"/>
              <w:start w:color="cccccc" w:sz="1" w:val="single"/>
              <w:bottom w:color="cccccc" w:sz="1" w:val="single"/>
              <w:end w:color="cccccc" w:sz="1" w:val="single"/>
            </w:tcBorders>
            <w:shd w:val="clear" w:color="auto" w:fill="ebf5fb"/>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10</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315" w:type="dxa"/>
            <w:tcBorders>
              <w:top w:color="cccccc" w:sz="1" w:val="single"/>
              <w:start w:color="cccccc" w:sz="1" w:val="single"/>
              <w:bottom w:color="cccccc" w:sz="1" w:val="single"/>
              <w:end w:color="cccccc" w:sz="1" w:val="single"/>
            </w:tcBorders>
            <w:shd w:val="clear" w:color="auto" w:fill="ebf5fb"/>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No Real-Time Visibility</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6328" w:type="dxa"/>
            <w:tcBorders>
              <w:top w:color="cccccc" w:sz="1" w:val="single"/>
              <w:start w:color="cccccc" w:sz="1" w:val="single"/>
              <w:bottom w:color="cccccc" w:sz="1" w:val="single"/>
              <w:end w:color="cccccc" w:sz="1" w:val="single"/>
            </w:tcBorders>
            <w:shd w:val="clear" w:color="auto" w:fill="ebf5fb"/>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Our current dataset-based analysis is retrospective. The business needs a live dashboard connected to real-time transaction data to enable week-level interventions.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bl>
    <w:p>
      <w:pPr>
        <w:spacing w:after="120" w:before="120" w:line="336" w:lineRule="auto"/>
        <w:ind w:firstLine="0" w:start="0"/>
        <w:jc w:val="start"/>
      </w:pPr>
      <w:r>
        <w:rPr>
          <w:rFonts w:ascii="Arial" w:hAnsi="Arial" w:cs="Arial" w:eastAsia="Arial"/>
          <w:color w:val="888888"/>
          <w:sz w:val="16"/>
          <w:szCs w:val="16"/>
        </w:rPr>
        <w:t xml:space="preserve">
</w:t>
      </w:r>
    </w:p>
    <w:p>
      <w:pPr>
        <w:spacing w:after="120" w:before="120"/>
      </w:pPr>
      <w:r>
        <w:br w:type="page"/>
      </w:r>
    </w:p>
    <w:p>
      <w:pPr>
        <w:spacing w:after="120" w:before="120" w:line="336" w:lineRule="auto"/>
        <w:ind w:firstLine="0" w:start="0"/>
        <w:jc w:val="start"/>
      </w:pPr>
      <w:r>
        <w:rPr>
          <w:rFonts w:ascii="Arial Bold" w:hAnsi="Arial Bold" w:cs="Arial Bold" w:eastAsia="Arial Bold"/>
          <w:b/>
          <w:bCs/>
          <w:color w:val="1f4e79"/>
          <w:sz w:val="34"/>
          <w:szCs w:val="34"/>
        </w:rPr>
        <w:t>12. Recommendations</w:t>
      </w:r>
      <w:r>
        <w:rPr>
          <w:rFonts w:ascii="Arimo" w:hAnsi="Arimo" w:cs="Arimo" w:eastAsia="Arimo"/>
          <w:color w:val="000000"/>
          <w:sz w:val="24"/>
          <w:szCs w:val="24"/>
        </w:rPr>
        <w:t xml:space="preserve">
</w:t>
      </w:r>
    </w:p>
    <w:p>
      <w:pPr>
        <w:spacing w:after="120" w:before="120" w:line="336" w:lineRule="auto"/>
        <w:ind w:firstLine="0" w:start="0"/>
        <w:jc w:val="start"/>
      </w:pPr>
      <w:r>
        <w:rPr>
          <w:rFonts w:ascii="Arial" w:hAnsi="Arial" w:cs="Arial" w:eastAsia="Arial"/>
          <w:color w:val="1a1a1a"/>
          <w:sz w:val="22"/>
          <w:szCs w:val="22"/>
        </w:rPr>
        <w:t>Each of our recommendations is directly mapped to a specific insight, with an assessment of expected business impact and implementation feasibility.</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2411"/>
        <w:gridCol w:w="868"/>
        <w:gridCol w:w="3241"/>
        <w:gridCol w:w="2508"/>
      </w:tblGrid>
      <w:tr>
        <w:tc>
          <w:tcPr>
            <w:tcW w:w="2411" w:type="dxa"/>
            <w:tcBorders>
              <w:top w:color="cccccc" w:sz="1" w:val="single"/>
              <w:start w:color="cccccc" w:sz="1" w:val="single"/>
              <w:bottom w:color="cccccc" w:sz="1" w:val="single"/>
              <w:end w:color="cccccc" w:sz="1" w:val="single"/>
            </w:tcBorders>
            <w:shd w:val="clear" w:color="auto" w:fill="1f4e79"/>
            <w:tcMar>
              <w:top w:w="75"/>
              <w:start w:w="75"/>
              <w:bottom w:w="75"/>
              <w:end w:w="75"/>
            </w:tcMar>
          </w:tcPr>
          <w:p>
            <w:pPr>
              <w:spacing w:after="120" w:before="120" w:line="336" w:lineRule="auto"/>
              <w:ind w:firstLine="0" w:start="0"/>
              <w:jc w:val="start"/>
            </w:pPr>
            <w:r>
              <w:rPr>
                <w:rFonts w:ascii="Arial Bold" w:hAnsi="Arial Bold" w:cs="Arial Bold" w:eastAsia="Arial Bold"/>
                <w:b/>
                <w:bCs/>
                <w:color w:val="ffffff"/>
                <w:sz w:val="20"/>
                <w:szCs w:val="20"/>
              </w:rPr>
              <w:t>Our Recommendation</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868" w:type="dxa"/>
            <w:tcBorders>
              <w:top w:color="cccccc" w:sz="1" w:val="single"/>
              <w:start w:color="cccccc" w:sz="1" w:val="single"/>
              <w:bottom w:color="cccccc" w:sz="1" w:val="single"/>
              <w:end w:color="cccccc" w:sz="1" w:val="single"/>
            </w:tcBorders>
            <w:shd w:val="clear" w:color="auto" w:fill="1f4e79"/>
            <w:tcMar>
              <w:top w:w="75"/>
              <w:start w:w="75"/>
              <w:bottom w:w="75"/>
              <w:end w:w="75"/>
            </w:tcMar>
          </w:tcPr>
          <w:p>
            <w:pPr>
              <w:spacing w:after="120" w:before="120" w:line="336" w:lineRule="auto"/>
              <w:ind w:firstLine="0" w:start="0"/>
              <w:jc w:val="start"/>
            </w:pPr>
            <w:r>
              <w:rPr>
                <w:rFonts w:ascii="Arial Bold" w:hAnsi="Arial Bold" w:cs="Arial Bold" w:eastAsia="Arial Bold"/>
                <w:b/>
                <w:bCs/>
                <w:color w:val="ffffff"/>
                <w:sz w:val="20"/>
                <w:szCs w:val="20"/>
              </w:rPr>
              <w:t>Insight #</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3241" w:type="dxa"/>
            <w:tcBorders>
              <w:top w:color="cccccc" w:sz="1" w:val="single"/>
              <w:start w:color="cccccc" w:sz="1" w:val="single"/>
              <w:bottom w:color="cccccc" w:sz="1" w:val="single"/>
              <w:end w:color="cccccc" w:sz="1" w:val="single"/>
            </w:tcBorders>
            <w:shd w:val="clear" w:color="auto" w:fill="1f4e79"/>
            <w:tcMar>
              <w:top w:w="75"/>
              <w:start w:w="75"/>
              <w:bottom w:w="75"/>
              <w:end w:w="75"/>
            </w:tcMar>
          </w:tcPr>
          <w:p>
            <w:pPr>
              <w:spacing w:after="120" w:before="120" w:line="336" w:lineRule="auto"/>
              <w:ind w:firstLine="0" w:start="0"/>
              <w:jc w:val="start"/>
            </w:pPr>
            <w:r>
              <w:rPr>
                <w:rFonts w:ascii="Arial Bold" w:hAnsi="Arial Bold" w:cs="Arial Bold" w:eastAsia="Arial Bold"/>
                <w:b/>
                <w:bCs/>
                <w:color w:val="ffffff"/>
                <w:sz w:val="20"/>
                <w:szCs w:val="20"/>
              </w:rPr>
              <w:t>Business Impact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508" w:type="dxa"/>
            <w:tcBorders>
              <w:top w:color="cccccc" w:sz="1" w:val="single"/>
              <w:start w:color="cccccc" w:sz="1" w:val="single"/>
              <w:bottom w:color="cccccc" w:sz="1" w:val="single"/>
              <w:end w:color="cccccc" w:sz="1" w:val="single"/>
            </w:tcBorders>
            <w:shd w:val="clear" w:color="auto" w:fill="1f4e79"/>
            <w:tcMar>
              <w:top w:w="75"/>
              <w:start w:w="75"/>
              <w:bottom w:w="75"/>
              <w:end w:w="75"/>
            </w:tcMar>
          </w:tcPr>
          <w:p>
            <w:pPr>
              <w:spacing w:after="120" w:before="120" w:line="336" w:lineRule="auto"/>
              <w:ind w:firstLine="0" w:start="0"/>
              <w:jc w:val="start"/>
            </w:pPr>
            <w:r>
              <w:rPr>
                <w:rFonts w:ascii="Arial Bold" w:hAnsi="Arial Bold" w:cs="Arial Bold" w:eastAsia="Arial Bold"/>
                <w:b/>
                <w:bCs/>
                <w:color w:val="ffffff"/>
                <w:sz w:val="20"/>
                <w:szCs w:val="20"/>
              </w:rPr>
              <w:t>Feasibility</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2411"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Launch targeted growth campaigns for Butchers and Electric Household Essentials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868"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2, 8</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3241"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Reduces revenue concentration from 0.51; grows two underperforming segments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508"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High — low cost, uses existing channels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2411" w:type="dxa"/>
            <w:tcBorders>
              <w:top w:color="cccccc" w:sz="1" w:val="single"/>
              <w:start w:color="cccccc" w:sz="1" w:val="single"/>
              <w:bottom w:color="cccccc" w:sz="1" w:val="single"/>
              <w:end w:color="cccccc" w:sz="1" w:val="single"/>
            </w:tcBorders>
            <w:shd w:val="clear" w:color="auto" w:fill="ebf5fb"/>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Redesign discount policy with category-specific profit-floor thresholds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868" w:type="dxa"/>
            <w:tcBorders>
              <w:top w:color="cccccc" w:sz="1" w:val="single"/>
              <w:start w:color="cccccc" w:sz="1" w:val="single"/>
              <w:bottom w:color="cccccc" w:sz="1" w:val="single"/>
              <w:end w:color="cccccc" w:sz="1" w:val="single"/>
            </w:tcBorders>
            <w:shd w:val="clear" w:color="auto" w:fill="ebf5fb"/>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4</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3241" w:type="dxa"/>
            <w:tcBorders>
              <w:top w:color="cccccc" w:sz="1" w:val="single"/>
              <w:start w:color="cccccc" w:sz="1" w:val="single"/>
              <w:bottom w:color="cccccc" w:sz="1" w:val="single"/>
              <w:end w:color="cccccc" w:sz="1" w:val="single"/>
            </w:tcBorders>
            <w:shd w:val="clear" w:color="auto" w:fill="ebf5fb"/>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Protects per-transaction revenue; reduces unnecessary margin loss on non-price-sensitive buyers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508" w:type="dxa"/>
            <w:tcBorders>
              <w:top w:color="cccccc" w:sz="1" w:val="single"/>
              <w:start w:color="cccccc" w:sz="1" w:val="single"/>
              <w:bottom w:color="cccccc" w:sz="1" w:val="single"/>
              <w:end w:color="cccccc" w:sz="1" w:val="single"/>
            </w:tcBorders>
            <w:shd w:val="clear" w:color="auto" w:fill="ebf5fb"/>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Medium — requires pricing policy and approval process change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2411"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Prioritise Furniture and Electronics for online channel product pages and promotions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868"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3, 5</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3241"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Drives high-AOV purchases through the growing digital channel</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508"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Medium — requires investment in product content and online merchandising</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2411" w:type="dxa"/>
            <w:tcBorders>
              <w:top w:color="cccccc" w:sz="1" w:val="single"/>
              <w:start w:color="cccccc" w:sz="1" w:val="single"/>
              <w:bottom w:color="cccccc" w:sz="1" w:val="single"/>
              <w:end w:color="cccccc" w:sz="1" w:val="single"/>
            </w:tcBorders>
            <w:shd w:val="clear" w:color="auto" w:fill="ebf5fb"/>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Pre-position inventory before May–July and November–December peaks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868" w:type="dxa"/>
            <w:tcBorders>
              <w:top w:color="cccccc" w:sz="1" w:val="single"/>
              <w:start w:color="cccccc" w:sz="1" w:val="single"/>
              <w:bottom w:color="cccccc" w:sz="1" w:val="single"/>
              <w:end w:color="cccccc" w:sz="1" w:val="single"/>
            </w:tcBorders>
            <w:shd w:val="clear" w:color="auto" w:fill="ebf5fb"/>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6</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3241" w:type="dxa"/>
            <w:tcBorders>
              <w:top w:color="cccccc" w:sz="1" w:val="single"/>
              <w:start w:color="cccccc" w:sz="1" w:val="single"/>
              <w:bottom w:color="cccccc" w:sz="1" w:val="single"/>
              <w:end w:color="cccccc" w:sz="1" w:val="single"/>
            </w:tcBorders>
            <w:shd w:val="clear" w:color="auto" w:fill="ebf5fb"/>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Avoids stockouts during peak demand; maximises revenue capture in proven high-sale windows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508" w:type="dxa"/>
            <w:tcBorders>
              <w:top w:color="cccccc" w:sz="1" w:val="single"/>
              <w:start w:color="cccccc" w:sz="1" w:val="single"/>
              <w:bottom w:color="cccccc" w:sz="1" w:val="single"/>
              <w:end w:color="cccccc" w:sz="1" w:val="single"/>
            </w:tcBorders>
            <w:shd w:val="clear" w:color="auto" w:fill="ebf5fb"/>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High — based on consistent, predictable seasonal patterns in our data</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2411"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Introduce a loyalty programme integrated with Digital Wallet payments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868"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7, 9</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3241"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Increases repeat purchase frequency and share-of-wallet from our existing loyal customer base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508"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Medium — requires fintech integration and programme design investment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2411" w:type="dxa"/>
            <w:tcBorders>
              <w:top w:color="cccccc" w:sz="1" w:val="single"/>
              <w:start w:color="cccccc" w:sz="1" w:val="single"/>
              <w:bottom w:color="cccccc" w:sz="1" w:val="single"/>
              <w:end w:color="cccccc" w:sz="1" w:val="single"/>
            </w:tcBorders>
            <w:shd w:val="clear" w:color="auto" w:fill="ebf5fb"/>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Deploy cross-sell strategies at in-store POS for food and beverage customers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868" w:type="dxa"/>
            <w:tcBorders>
              <w:top w:color="cccccc" w:sz="1" w:val="single"/>
              <w:start w:color="cccccc" w:sz="1" w:val="single"/>
              <w:bottom w:color="cccccc" w:sz="1" w:val="single"/>
              <w:end w:color="cccccc" w:sz="1" w:val="single"/>
            </w:tcBorders>
            <w:shd w:val="clear" w:color="auto" w:fill="ebf5fb"/>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8</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3241" w:type="dxa"/>
            <w:tcBorders>
              <w:top w:color="cccccc" w:sz="1" w:val="single"/>
              <w:start w:color="cccccc" w:sz="1" w:val="single"/>
              <w:bottom w:color="cccccc" w:sz="1" w:val="single"/>
              <w:end w:color="cccccc" w:sz="1" w:val="single"/>
            </w:tcBorders>
            <w:shd w:val="clear" w:color="auto" w:fill="ebf5fb"/>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Increases average basket value per in-store visit with minimal incremental cost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508" w:type="dxa"/>
            <w:tcBorders>
              <w:top w:color="cccccc" w:sz="1" w:val="single"/>
              <w:start w:color="cccccc" w:sz="1" w:val="single"/>
              <w:bottom w:color="cccccc" w:sz="1" w:val="single"/>
              <w:end w:color="cccccc" w:sz="1" w:val="single"/>
            </w:tcBorders>
            <w:shd w:val="clear" w:color="auto" w:fill="ebf5fb"/>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High — primarily training-based; no significant capital expenditure needed</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2411"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Implement a real-time sales dashboard with weekly reporting cadence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868"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10</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3241"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Shifts management from reactive monthly reviews to timely, proactive weekly decisions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508"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Medium — Google Data Studio or Sheets live API connection required</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bl>
    <w:p>
      <w:pPr>
        <w:spacing w:after="120" w:before="120" w:line="336" w:lineRule="auto"/>
        <w:ind w:firstLine="0" w:start="0"/>
        <w:jc w:val="start"/>
      </w:pPr>
      <w:r>
        <w:rPr>
          <w:rFonts w:ascii="Arial" w:hAnsi="Arial" w:cs="Arial" w:eastAsia="Arial"/>
          <w:color w:val="888888"/>
          <w:sz w:val="16"/>
          <w:szCs w:val="16"/>
        </w:rPr>
        <w:t xml:space="preserve">
</w:t>
      </w:r>
    </w:p>
    <w:p>
      <w:pPr>
        <w:spacing w:after="120" w:before="120"/>
      </w:pPr>
      <w:r>
        <w:br w:type="page"/>
      </w:r>
    </w:p>
    <w:p>
      <w:pPr>
        <w:spacing w:after="120" w:before="120" w:line="336" w:lineRule="auto"/>
        <w:ind w:firstLine="0" w:start="0"/>
        <w:jc w:val="start"/>
      </w:pPr>
      <w:r>
        <w:rPr>
          <w:rFonts w:ascii="Arial Bold" w:hAnsi="Arial Bold" w:cs="Arial Bold" w:eastAsia="Arial Bold"/>
          <w:b/>
          <w:bCs/>
          <w:color w:val="1f4e79"/>
          <w:sz w:val="34"/>
          <w:szCs w:val="34"/>
        </w:rPr>
        <w:t>13. Impact Estimation</w:t>
      </w:r>
      <w:r>
        <w:rPr>
          <w:rFonts w:ascii="Arimo" w:hAnsi="Arimo" w:cs="Arimo" w:eastAsia="Arimo"/>
          <w:color w:val="000000"/>
          <w:sz w:val="24"/>
          <w:szCs w:val="24"/>
        </w:rPr>
        <w:t xml:space="preserve">
</w:t>
      </w:r>
    </w:p>
    <w:p>
      <w:pPr>
        <w:spacing w:after="120" w:before="120" w:line="336" w:lineRule="auto"/>
        <w:ind w:firstLine="0" w:start="0"/>
        <w:jc w:val="start"/>
      </w:pPr>
      <w:r>
        <w:rPr>
          <w:rFonts w:ascii="Arial" w:hAnsi="Arial" w:cs="Arial" w:eastAsia="Arial"/>
          <w:color w:val="1a1a1a"/>
          <w:sz w:val="22"/>
          <w:szCs w:val="22"/>
        </w:rPr>
        <w:t>We have estimated the approximate business impact of our recommendations. We acknowledge these are directional estimates based on dataset analysis and retail industry benchmarks — actual results will depend on execution quality, market conditions, and customer response.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2315"/>
        <w:gridCol w:w="2218"/>
        <w:gridCol w:w="2315"/>
        <w:gridCol w:w="2180"/>
      </w:tblGrid>
      <w:tr>
        <w:tc>
          <w:tcPr>
            <w:tcW w:w="2315" w:type="dxa"/>
            <w:tcBorders>
              <w:top w:color="cccccc" w:sz="1" w:val="single"/>
              <w:start w:color="cccccc" w:sz="1" w:val="single"/>
              <w:bottom w:color="cccccc" w:sz="1" w:val="single"/>
              <w:end w:color="cccccc" w:sz="1" w:val="single"/>
            </w:tcBorders>
            <w:shd w:val="clear" w:color="auto" w:fill="1f4e79"/>
            <w:tcMar>
              <w:top w:w="75"/>
              <w:start w:w="75"/>
              <w:bottom w:w="75"/>
              <w:end w:w="75"/>
            </w:tcMar>
          </w:tcPr>
          <w:p>
            <w:pPr>
              <w:spacing w:after="120" w:before="120" w:line="336" w:lineRule="auto"/>
              <w:ind w:firstLine="0" w:start="0"/>
              <w:jc w:val="start"/>
            </w:pPr>
            <w:r>
              <w:rPr>
                <w:rFonts w:ascii="Arial Bold" w:hAnsi="Arial Bold" w:cs="Arial Bold" w:eastAsia="Arial Bold"/>
                <w:b/>
                <w:bCs/>
                <w:color w:val="ffffff"/>
                <w:sz w:val="20"/>
                <w:szCs w:val="20"/>
              </w:rPr>
              <w:t>Impact Area</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218" w:type="dxa"/>
            <w:tcBorders>
              <w:top w:color="cccccc" w:sz="1" w:val="single"/>
              <w:start w:color="cccccc" w:sz="1" w:val="single"/>
              <w:bottom w:color="cccccc" w:sz="1" w:val="single"/>
              <w:end w:color="cccccc" w:sz="1" w:val="single"/>
            </w:tcBorders>
            <w:shd w:val="clear" w:color="auto" w:fill="1f4e79"/>
            <w:tcMar>
              <w:top w:w="75"/>
              <w:start w:w="75"/>
              <w:bottom w:w="75"/>
              <w:end w:w="75"/>
            </w:tcMar>
          </w:tcPr>
          <w:p>
            <w:pPr>
              <w:spacing w:after="120" w:before="120" w:line="336" w:lineRule="auto"/>
              <w:ind w:firstLine="0" w:start="0"/>
              <w:jc w:val="start"/>
            </w:pPr>
            <w:r>
              <w:rPr>
                <w:rFonts w:ascii="Arial Bold" w:hAnsi="Arial Bold" w:cs="Arial Bold" w:eastAsia="Arial Bold"/>
                <w:b/>
                <w:bCs/>
                <w:color w:val="ffffff"/>
                <w:sz w:val="20"/>
                <w:szCs w:val="20"/>
              </w:rPr>
              <w:t>Estimated Gain / Saving</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315" w:type="dxa"/>
            <w:tcBorders>
              <w:top w:color="cccccc" w:sz="1" w:val="single"/>
              <w:start w:color="cccccc" w:sz="1" w:val="single"/>
              <w:bottom w:color="cccccc" w:sz="1" w:val="single"/>
              <w:end w:color="cccccc" w:sz="1" w:val="single"/>
            </w:tcBorders>
            <w:shd w:val="clear" w:color="auto" w:fill="1f4e79"/>
            <w:tcMar>
              <w:top w:w="75"/>
              <w:start w:w="75"/>
              <w:bottom w:w="75"/>
              <w:end w:w="75"/>
            </w:tcMar>
          </w:tcPr>
          <w:p>
            <w:pPr>
              <w:spacing w:after="120" w:before="120" w:line="336" w:lineRule="auto"/>
              <w:ind w:firstLine="0" w:start="0"/>
              <w:jc w:val="start"/>
            </w:pPr>
            <w:r>
              <w:rPr>
                <w:rFonts w:ascii="Arial Bold" w:hAnsi="Arial Bold" w:cs="Arial Bold" w:eastAsia="Arial Bold"/>
                <w:b/>
                <w:bCs/>
                <w:color w:val="ffffff"/>
                <w:sz w:val="20"/>
                <w:szCs w:val="20"/>
              </w:rPr>
              <w:t>How It Will Be Achieved</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180" w:type="dxa"/>
            <w:tcBorders>
              <w:top w:color="cccccc" w:sz="1" w:val="single"/>
              <w:start w:color="cccccc" w:sz="1" w:val="single"/>
              <w:bottom w:color="cccccc" w:sz="1" w:val="single"/>
              <w:end w:color="cccccc" w:sz="1" w:val="single"/>
            </w:tcBorders>
            <w:shd w:val="clear" w:color="auto" w:fill="1f4e79"/>
            <w:tcMar>
              <w:top w:w="75"/>
              <w:start w:w="75"/>
              <w:bottom w:w="75"/>
              <w:end w:w="75"/>
            </w:tcMar>
          </w:tcPr>
          <w:p>
            <w:pPr>
              <w:spacing w:after="120" w:before="120" w:line="336" w:lineRule="auto"/>
              <w:ind w:firstLine="0" w:start="0"/>
              <w:jc w:val="start"/>
            </w:pPr>
            <w:r>
              <w:rPr>
                <w:rFonts w:ascii="Arial Bold" w:hAnsi="Arial Bold" w:cs="Arial Bold" w:eastAsia="Arial Bold"/>
                <w:b/>
                <w:bCs/>
                <w:color w:val="ffffff"/>
                <w:sz w:val="20"/>
                <w:szCs w:val="20"/>
              </w:rPr>
              <w:t>Confidence Level</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2315"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Cost Saving — Discount Optimisation</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218"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3–5% revenue uplift (~₹44,000–₹74,000 annually)</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315"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Removing blanket discounts from non-price-sensitive transactions while retaining targeted offers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180"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Medium</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2315" w:type="dxa"/>
            <w:tcBorders>
              <w:top w:color="cccccc" w:sz="1" w:val="single"/>
              <w:start w:color="cccccc" w:sz="1" w:val="single"/>
              <w:bottom w:color="cccccc" w:sz="1" w:val="single"/>
              <w:end w:color="cccccc" w:sz="1" w:val="single"/>
            </w:tcBorders>
            <w:shd w:val="clear" w:color="auto" w:fill="ebf5fb"/>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Efficiency — Seasonal Inventory Pre-positioning</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218" w:type="dxa"/>
            <w:tcBorders>
              <w:top w:color="cccccc" w:sz="1" w:val="single"/>
              <w:start w:color="cccccc" w:sz="1" w:val="single"/>
              <w:bottom w:color="cccccc" w:sz="1" w:val="single"/>
              <w:end w:color="cccccc" w:sz="1" w:val="single"/>
            </w:tcBorders>
            <w:shd w:val="clear" w:color="auto" w:fill="ebf5fb"/>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2–3% reduction in stockout revenue loss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315" w:type="dxa"/>
            <w:tcBorders>
              <w:top w:color="cccccc" w:sz="1" w:val="single"/>
              <w:start w:color="cccccc" w:sz="1" w:val="single"/>
              <w:bottom w:color="cccccc" w:sz="1" w:val="single"/>
              <w:end w:color="cccccc" w:sz="1" w:val="single"/>
            </w:tcBorders>
            <w:shd w:val="clear" w:color="auto" w:fill="ebf5fb"/>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Pre-ordering top-selling SKUs 6–8 weeks before identified peak windows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180" w:type="dxa"/>
            <w:tcBorders>
              <w:top w:color="cccccc" w:sz="1" w:val="single"/>
              <w:start w:color="cccccc" w:sz="1" w:val="single"/>
              <w:bottom w:color="cccccc" w:sz="1" w:val="single"/>
              <w:end w:color="cccccc" w:sz="1" w:val="single"/>
            </w:tcBorders>
            <w:shd w:val="clear" w:color="auto" w:fill="ebf5fb"/>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Medium-High</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2315"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Revenue Improvement — High-AOV Category Push</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218"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5–8% AOV increase (~₹6.50–₹10.40 per transaction)</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315"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Shifting online product mix toward Furniture and Electronics categories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180"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Medium</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2315" w:type="dxa"/>
            <w:tcBorders>
              <w:top w:color="cccccc" w:sz="1" w:val="single"/>
              <w:start w:color="cccccc" w:sz="1" w:val="single"/>
              <w:bottom w:color="cccccc" w:sz="1" w:val="single"/>
              <w:end w:color="cccccc" w:sz="1" w:val="single"/>
            </w:tcBorders>
            <w:shd w:val="clear" w:color="auto" w:fill="ebf5fb"/>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Service Improvement — Loyalty Programme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218" w:type="dxa"/>
            <w:tcBorders>
              <w:top w:color="cccccc" w:sz="1" w:val="single"/>
              <w:start w:color="cccccc" w:sz="1" w:val="single"/>
              <w:bottom w:color="cccccc" w:sz="1" w:val="single"/>
              <w:end w:color="cccccc" w:sz="1" w:val="single"/>
            </w:tcBorders>
            <w:shd w:val="clear" w:color="auto" w:fill="ebf5fb"/>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10–15% increase in repeat transaction frequency</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315" w:type="dxa"/>
            <w:tcBorders>
              <w:top w:color="cccccc" w:sz="1" w:val="single"/>
              <w:start w:color="cccccc" w:sz="1" w:val="single"/>
              <w:bottom w:color="cccccc" w:sz="1" w:val="single"/>
              <w:end w:color="cccccc" w:sz="1" w:val="single"/>
            </w:tcBorders>
            <w:shd w:val="clear" w:color="auto" w:fill="ebf5fb"/>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Rewarding Digital Wallet users and loyal customer base with points or exclusive offers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180" w:type="dxa"/>
            <w:tcBorders>
              <w:top w:color="cccccc" w:sz="1" w:val="single"/>
              <w:start w:color="cccccc" w:sz="1" w:val="single"/>
              <w:bottom w:color="cccccc" w:sz="1" w:val="single"/>
              <w:end w:color="cccccc" w:sz="1" w:val="single"/>
            </w:tcBorders>
            <w:shd w:val="clear" w:color="auto" w:fill="ebf5fb"/>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Medium-Low</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2315"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Revenue Improvement — In-store Cross-sell</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218"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₹15–₹25 incremental revenue per in-store visit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315"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Training staff to suggest complementary products at checkout for food and beverage buyers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180"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High</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2315" w:type="dxa"/>
            <w:tcBorders>
              <w:top w:color="cccccc" w:sz="1" w:val="single"/>
              <w:start w:color="cccccc" w:sz="1" w:val="single"/>
              <w:bottom w:color="cccccc" w:sz="1" w:val="single"/>
              <w:end w:color="cccccc" w:sz="1" w:val="single"/>
            </w:tcBorders>
            <w:shd w:val="clear" w:color="auto" w:fill="ebf5fb"/>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Risk Reduction — Revenue Diversification</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218" w:type="dxa"/>
            <w:tcBorders>
              <w:top w:color="cccccc" w:sz="1" w:val="single"/>
              <w:start w:color="cccccc" w:sz="1" w:val="single"/>
              <w:bottom w:color="cccccc" w:sz="1" w:val="single"/>
              <w:end w:color="cccccc" w:sz="1" w:val="single"/>
            </w:tcBorders>
            <w:shd w:val="clear" w:color="auto" w:fill="ebf5fb"/>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Reduce concentration ratio from 0.51 to ≤0.40 over 12 months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315" w:type="dxa"/>
            <w:tcBorders>
              <w:top w:color="cccccc" w:sz="1" w:val="single"/>
              <w:start w:color="cccccc" w:sz="1" w:val="single"/>
              <w:bottom w:color="cccccc" w:sz="1" w:val="single"/>
              <w:end w:color="cccccc" w:sz="1" w:val="single"/>
            </w:tcBorders>
            <w:shd w:val="clear" w:color="auto" w:fill="ebf5fb"/>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Growing two underperforming categories through dedicated campaigns and shelf space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180" w:type="dxa"/>
            <w:tcBorders>
              <w:top w:color="cccccc" w:sz="1" w:val="single"/>
              <w:start w:color="cccccc" w:sz="1" w:val="single"/>
              <w:bottom w:color="cccccc" w:sz="1" w:val="single"/>
              <w:end w:color="cccccc" w:sz="1" w:val="single"/>
            </w:tcBorders>
            <w:shd w:val="clear" w:color="auto" w:fill="ebf5fb"/>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Medium</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bl>
    <w:p>
      <w:pPr>
        <w:spacing w:after="120" w:before="120" w:line="336" w:lineRule="auto"/>
        <w:ind w:firstLine="0" w:start="0"/>
        <w:jc w:val="start"/>
      </w:pPr>
      <w:r>
        <w:rPr>
          <w:rFonts w:ascii="Arial" w:hAnsi="Arial" w:cs="Arial" w:eastAsia="Arial"/>
          <w:color w:val="888888"/>
          <w:sz w:val="16"/>
          <w:szCs w:val="16"/>
        </w:rPr>
        <w:t xml:space="preserve">
</w:t>
      </w:r>
    </w:p>
    <w:p>
      <w:pPr>
        <w:spacing w:after="120" w:before="120"/>
      </w:pPr>
      <w:r>
        <w:br w:type="page"/>
      </w:r>
    </w:p>
    <w:p>
      <w:pPr>
        <w:spacing w:after="120" w:before="120" w:line="336" w:lineRule="auto"/>
        <w:ind w:firstLine="0" w:start="0"/>
        <w:jc w:val="start"/>
      </w:pPr>
      <w:r>
        <w:rPr>
          <w:rFonts w:ascii="Arial Bold" w:hAnsi="Arial Bold" w:cs="Arial Bold" w:eastAsia="Arial Bold"/>
          <w:b/>
          <w:bCs/>
          <w:color w:val="1f4e79"/>
          <w:sz w:val="34"/>
          <w:szCs w:val="34"/>
        </w:rPr>
        <w:t>14. Limitations</w:t>
      </w:r>
      <w:r>
        <w:rPr>
          <w:rFonts w:ascii="Arimo" w:hAnsi="Arimo" w:cs="Arimo" w:eastAsia="Arimo"/>
          <w:color w:val="000000"/>
          <w:sz w:val="24"/>
          <w:szCs w:val="24"/>
        </w:rPr>
        <w:t xml:space="preserve">
</w:t>
      </w:r>
    </w:p>
    <w:p>
      <w:pPr>
        <w:spacing w:after="120" w:before="120" w:line="336" w:lineRule="auto"/>
        <w:ind w:firstLine="0" w:start="0"/>
        <w:jc w:val="start"/>
      </w:pPr>
      <w:r>
        <w:rPr>
          <w:rFonts w:ascii="Arial Bold" w:hAnsi="Arial Bold" w:cs="Arial Bold" w:eastAsia="Arial Bold"/>
          <w:b/>
          <w:bCs/>
          <w:color w:val="2e75b6"/>
          <w:sz w:val="26"/>
          <w:szCs w:val="26"/>
        </w:rPr>
        <w:t>Data Issues We Encountered</w:t>
      </w:r>
      <w:r>
        <w:rPr>
          <w:rFonts w:ascii="Arimo" w:hAnsi="Arimo" w:cs="Arimo" w:eastAsia="Arimo"/>
          <w:color w:val="000000"/>
          <w:sz w:val="24"/>
          <w:szCs w:val="24"/>
        </w:rPr>
        <w:t xml:space="preserve">
</w:t>
      </w:r>
    </w:p>
    <w:p>
      <w:pPr>
        <w:numPr>
          <w:ilvl w:val="0"/>
          <w:numId w:val="9"/>
        </w:numPr>
        <w:spacing w:after="0" w:before="0" w:line="336" w:lineRule="auto"/>
        <w:jc w:val="start"/>
      </w:pPr>
      <w:r>
        <w:rPr>
          <w:rFonts w:ascii="Arial" w:hAnsi="Arial" w:cs="Arial" w:eastAsia="Arial"/>
          <w:color w:val="1a1a1a"/>
          <w:sz w:val="22"/>
          <w:szCs w:val="22"/>
        </w:rPr>
        <w:t>No COGS data was available, so we could not compute true gross margins or profitability per category or transaction.</w:t>
      </w:r>
      <w:r>
        <w:rPr>
          <w:rFonts w:ascii="Arimo" w:hAnsi="Arimo" w:cs="Arimo" w:eastAsia="Arimo"/>
          <w:color w:val="000000"/>
          <w:sz w:val="24"/>
          <w:szCs w:val="24"/>
        </w:rPr>
        <w:t xml:space="preserve">
</w:t>
      </w:r>
    </w:p>
    <w:p>
      <w:pPr>
        <w:numPr>
          <w:ilvl w:val="0"/>
          <w:numId w:val="9"/>
        </w:numPr>
        <w:spacing w:after="0" w:before="0" w:line="336" w:lineRule="auto"/>
        <w:jc w:val="start"/>
      </w:pPr>
      <w:r>
        <w:rPr>
          <w:rFonts w:ascii="Arial" w:hAnsi="Arial" w:cs="Arial" w:eastAsia="Arial"/>
          <w:color w:val="1a1a1a"/>
          <w:sz w:val="22"/>
          <w:szCs w:val="22"/>
        </w:rPr>
        <w:t>Missing values in Item, Price Per Unit, Quantity, and Discount Applied fields required imputation, which introduces estimation uncertainty.</w:t>
      </w:r>
      <w:r>
        <w:rPr>
          <w:rFonts w:ascii="Arimo" w:hAnsi="Arimo" w:cs="Arimo" w:eastAsia="Arimo"/>
          <w:color w:val="000000"/>
          <w:sz w:val="24"/>
          <w:szCs w:val="24"/>
        </w:rPr>
        <w:t xml:space="preserve">
</w:t>
      </w:r>
    </w:p>
    <w:p>
      <w:pPr>
        <w:numPr>
          <w:ilvl w:val="0"/>
          <w:numId w:val="9"/>
        </w:numPr>
        <w:spacing w:after="0" w:before="0" w:line="336" w:lineRule="auto"/>
        <w:jc w:val="start"/>
      </w:pPr>
      <w:r>
        <w:rPr>
          <w:rFonts w:ascii="Arial" w:hAnsi="Arial" w:cs="Arial" w:eastAsia="Arial"/>
          <w:color w:val="1a1a1a"/>
          <w:sz w:val="22"/>
          <w:szCs w:val="22"/>
        </w:rPr>
        <w:t>Only 25 unique customers were in our dataset — findings about customer behaviour should not be generalised to larger retail populations without caution.</w:t>
      </w:r>
      <w:r>
        <w:rPr>
          <w:rFonts w:ascii="Arimo" w:hAnsi="Arimo" w:cs="Arimo" w:eastAsia="Arimo"/>
          <w:color w:val="000000"/>
          <w:sz w:val="24"/>
          <w:szCs w:val="24"/>
        </w:rPr>
        <w:t xml:space="preserve">
</w:t>
      </w:r>
    </w:p>
    <w:p>
      <w:pPr>
        <w:numPr>
          <w:ilvl w:val="0"/>
          <w:numId w:val="9"/>
        </w:numPr>
        <w:spacing w:after="0" w:before="0" w:line="336" w:lineRule="auto"/>
        <w:jc w:val="start"/>
      </w:pPr>
      <w:r>
        <w:rPr>
          <w:rFonts w:ascii="Arial" w:hAnsi="Arial" w:cs="Arial" w:eastAsia="Arial"/>
          <w:color w:val="1a1a1a"/>
          <w:sz w:val="22"/>
          <w:szCs w:val="22"/>
        </w:rPr>
        <w:t>No geographic or store-level granularity was present, preventing location-based performance benchmarking.</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al Bold" w:hAnsi="Arial Bold" w:cs="Arial Bold" w:eastAsia="Arial Bold"/>
          <w:b/>
          <w:bCs/>
          <w:color w:val="2e75b6"/>
          <w:sz w:val="26"/>
          <w:szCs w:val="26"/>
        </w:rPr>
        <w:t>Assumption Risks</w:t>
      </w:r>
      <w:r>
        <w:rPr>
          <w:rFonts w:ascii="Arimo" w:hAnsi="Arimo" w:cs="Arimo" w:eastAsia="Arimo"/>
          <w:color w:val="000000"/>
          <w:sz w:val="24"/>
          <w:szCs w:val="24"/>
        </w:rPr>
        <w:t xml:space="preserve">
</w:t>
      </w:r>
    </w:p>
    <w:p>
      <w:pPr>
        <w:numPr>
          <w:ilvl w:val="0"/>
          <w:numId w:val="10"/>
        </w:numPr>
        <w:spacing w:after="0" w:before="0" w:line="336" w:lineRule="auto"/>
        <w:jc w:val="start"/>
      </w:pPr>
      <w:r>
        <w:rPr>
          <w:rFonts w:ascii="Arial" w:hAnsi="Arial" w:cs="Arial" w:eastAsia="Arial"/>
          <w:color w:val="1a1a1a"/>
          <w:sz w:val="22"/>
          <w:szCs w:val="22"/>
        </w:rPr>
        <w:t>Our imputed values (median price, modal item name) may introduce systematic bias if the pattern of missing data is non-random.</w:t>
      </w:r>
      <w:r>
        <w:rPr>
          <w:rFonts w:ascii="Arimo" w:hAnsi="Arimo" w:cs="Arimo" w:eastAsia="Arimo"/>
          <w:color w:val="000000"/>
          <w:sz w:val="24"/>
          <w:szCs w:val="24"/>
        </w:rPr>
        <w:t xml:space="preserve">
</w:t>
      </w:r>
    </w:p>
    <w:p>
      <w:pPr>
        <w:numPr>
          <w:ilvl w:val="0"/>
          <w:numId w:val="10"/>
        </w:numPr>
        <w:spacing w:after="0" w:before="0" w:line="336" w:lineRule="auto"/>
        <w:jc w:val="start"/>
      </w:pPr>
      <w:r>
        <w:rPr>
          <w:rFonts w:ascii="Arial" w:hAnsi="Arial" w:cs="Arial" w:eastAsia="Arial"/>
          <w:color w:val="1a1a1a"/>
          <w:sz w:val="22"/>
          <w:szCs w:val="22"/>
        </w:rPr>
        <w:t>Our scenario analysis assumes a specific price elasticity that may not hold uniformly across all categories.</w:t>
      </w:r>
      <w:r>
        <w:rPr>
          <w:rFonts w:ascii="Arimo" w:hAnsi="Arimo" w:cs="Arimo" w:eastAsia="Arimo"/>
          <w:color w:val="000000"/>
          <w:sz w:val="24"/>
          <w:szCs w:val="24"/>
        </w:rPr>
        <w:t xml:space="preserve">
</w:t>
      </w:r>
    </w:p>
    <w:p>
      <w:pPr>
        <w:numPr>
          <w:ilvl w:val="0"/>
          <w:numId w:val="10"/>
        </w:numPr>
        <w:spacing w:after="0" w:before="0" w:line="336" w:lineRule="auto"/>
        <w:jc w:val="start"/>
      </w:pPr>
      <w:r>
        <w:rPr>
          <w:rFonts w:ascii="Arial" w:hAnsi="Arial" w:cs="Arial" w:eastAsia="Arial"/>
          <w:color w:val="1a1a1a"/>
          <w:sz w:val="22"/>
          <w:szCs w:val="22"/>
        </w:rPr>
        <w:t>Treating blank Discount Applied entries as 'Unknown' (rather than FALSE) means our discount rate calculation may be understated.</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al Bold" w:hAnsi="Arial Bold" w:cs="Arial Bold" w:eastAsia="Arial Bold"/>
          <w:b/>
          <w:bCs/>
          <w:color w:val="2e75b6"/>
          <w:sz w:val="26"/>
          <w:szCs w:val="26"/>
        </w:rPr>
        <w:t>What We Cannot Conclude from This Data</w:t>
      </w:r>
      <w:r>
        <w:rPr>
          <w:rFonts w:ascii="Arimo" w:hAnsi="Arimo" w:cs="Arimo" w:eastAsia="Arimo"/>
          <w:color w:val="000000"/>
          <w:sz w:val="24"/>
          <w:szCs w:val="24"/>
        </w:rPr>
        <w:t xml:space="preserve">
</w:t>
      </w:r>
    </w:p>
    <w:p>
      <w:pPr>
        <w:numPr>
          <w:ilvl w:val="0"/>
          <w:numId w:val="11"/>
        </w:numPr>
        <w:spacing w:after="0" w:before="0" w:line="336" w:lineRule="auto"/>
        <w:jc w:val="start"/>
      </w:pPr>
      <w:r>
        <w:rPr>
          <w:rFonts w:ascii="Arial" w:hAnsi="Arial" w:cs="Arial" w:eastAsia="Arial"/>
          <w:color w:val="1a1a1a"/>
          <w:sz w:val="22"/>
          <w:szCs w:val="22"/>
        </w:rPr>
        <w:t>We cannot determine true profit margins — only revenue and AOV proxies.</w:t>
      </w:r>
      <w:r>
        <w:rPr>
          <w:rFonts w:ascii="Arimo" w:hAnsi="Arimo" w:cs="Arimo" w:eastAsia="Arimo"/>
          <w:color w:val="000000"/>
          <w:sz w:val="24"/>
          <w:szCs w:val="24"/>
        </w:rPr>
        <w:t xml:space="preserve">
</w:t>
      </w:r>
    </w:p>
    <w:p>
      <w:pPr>
        <w:numPr>
          <w:ilvl w:val="0"/>
          <w:numId w:val="11"/>
        </w:numPr>
        <w:spacing w:after="0" w:before="0" w:line="336" w:lineRule="auto"/>
        <w:jc w:val="start"/>
      </w:pPr>
      <w:r>
        <w:rPr>
          <w:rFonts w:ascii="Arial" w:hAnsi="Arial" w:cs="Arial" w:eastAsia="Arial"/>
          <w:color w:val="1a1a1a"/>
          <w:sz w:val="22"/>
          <w:szCs w:val="22"/>
        </w:rPr>
        <w:t>We cannot establish causality between discount application and customer acquisition — discounts may only be changing transaction size, not bringing new customers.</w:t>
      </w:r>
      <w:r>
        <w:rPr>
          <w:rFonts w:ascii="Arimo" w:hAnsi="Arimo" w:cs="Arimo" w:eastAsia="Arimo"/>
          <w:color w:val="000000"/>
          <w:sz w:val="24"/>
          <w:szCs w:val="24"/>
        </w:rPr>
        <w:t xml:space="preserve">
</w:t>
      </w:r>
    </w:p>
    <w:p>
      <w:pPr>
        <w:numPr>
          <w:ilvl w:val="0"/>
          <w:numId w:val="11"/>
        </w:numPr>
        <w:spacing w:after="0" w:before="0" w:line="336" w:lineRule="auto"/>
        <w:jc w:val="start"/>
      </w:pPr>
      <w:r>
        <w:rPr>
          <w:rFonts w:ascii="Arial" w:hAnsi="Arial" w:cs="Arial" w:eastAsia="Arial"/>
          <w:color w:val="1a1a1a"/>
          <w:sz w:val="22"/>
          <w:szCs w:val="22"/>
        </w:rPr>
        <w:t>We cannot attribute revenue trends to specific business events, competitor actions, or macroeconomic factors using this dataset alone.</w:t>
      </w:r>
      <w:r>
        <w:rPr>
          <w:rFonts w:ascii="Arimo" w:hAnsi="Arimo" w:cs="Arimo" w:eastAsia="Arimo"/>
          <w:color w:val="000000"/>
          <w:sz w:val="24"/>
          <w:szCs w:val="24"/>
        </w:rPr>
        <w:t xml:space="preserve">
</w:t>
      </w:r>
    </w:p>
    <w:p>
      <w:pPr>
        <w:numPr>
          <w:ilvl w:val="0"/>
          <w:numId w:val="11"/>
        </w:numPr>
        <w:spacing w:after="0" w:before="0" w:line="336" w:lineRule="auto"/>
        <w:jc w:val="start"/>
      </w:pPr>
      <w:r>
        <w:rPr>
          <w:rFonts w:ascii="Arial" w:hAnsi="Arial" w:cs="Arial" w:eastAsia="Arial"/>
          <w:color w:val="1a1a1a"/>
          <w:sz w:val="22"/>
          <w:szCs w:val="22"/>
        </w:rPr>
        <w:t>We cannot perform customer lifetime value (LTV) analysis without customer demographic and acquisition cost data.</w:t>
      </w:r>
      <w:r>
        <w:rPr>
          <w:rFonts w:ascii="Arimo" w:hAnsi="Arimo" w:cs="Arimo" w:eastAsia="Arimo"/>
          <w:color w:val="000000"/>
          <w:sz w:val="24"/>
          <w:szCs w:val="24"/>
        </w:rPr>
        <w:t xml:space="preserve">
</w:t>
      </w:r>
    </w:p>
    <w:p>
      <w:pPr>
        <w:spacing w:after="120" w:before="120" w:line="336" w:lineRule="auto"/>
        <w:ind w:firstLine="0" w:start="0"/>
        <w:jc w:val="start"/>
      </w:pPr>
      <w:r>
        <w:rPr>
          <w:rFonts w:ascii="Arial" w:hAnsi="Arial" w:cs="Arial" w:eastAsia="Arial"/>
          <w:color w:val="888888"/>
          <w:sz w:val="16"/>
          <w:szCs w:val="16"/>
        </w:rPr>
        <w:t xml:space="preserve">
</w:t>
      </w:r>
    </w:p>
    <w:p>
      <w:pPr>
        <w:spacing w:after="120" w:before="120"/>
      </w:pPr>
      <w:r>
        <w:br w:type="page"/>
      </w:r>
    </w:p>
    <w:p>
      <w:pPr>
        <w:spacing w:after="120" w:before="120" w:line="336" w:lineRule="auto"/>
        <w:ind w:firstLine="0" w:start="0"/>
        <w:jc w:val="start"/>
      </w:pPr>
      <w:r>
        <w:rPr>
          <w:rFonts w:ascii="Arial Bold" w:hAnsi="Arial Bold" w:cs="Arial Bold" w:eastAsia="Arial Bold"/>
          <w:b/>
          <w:bCs/>
          <w:color w:val="1f4e79"/>
          <w:sz w:val="34"/>
          <w:szCs w:val="34"/>
        </w:rPr>
        <w:t>15. Future Scope</w:t>
      </w:r>
      <w:r>
        <w:rPr>
          <w:rFonts w:ascii="Arimo" w:hAnsi="Arimo" w:cs="Arimo" w:eastAsia="Arimo"/>
          <w:color w:val="000000"/>
          <w:sz w:val="24"/>
          <w:szCs w:val="24"/>
        </w:rPr>
        <w:t xml:space="preserve">
</w:t>
      </w:r>
    </w:p>
    <w:p>
      <w:pPr>
        <w:spacing w:after="120" w:before="120" w:line="336" w:lineRule="auto"/>
        <w:ind w:firstLine="0" w:start="0"/>
        <w:jc w:val="start"/>
      </w:pPr>
      <w:r>
        <w:rPr>
          <w:rFonts w:ascii="Arial Bold" w:hAnsi="Arial Bold" w:cs="Arial Bold" w:eastAsia="Arial Bold"/>
          <w:b/>
          <w:bCs/>
          <w:color w:val="2e75b6"/>
          <w:sz w:val="26"/>
          <w:szCs w:val="26"/>
        </w:rPr>
        <w:t>What More Analysis We Can Do</w:t>
      </w:r>
      <w:r>
        <w:rPr>
          <w:rFonts w:ascii="Arimo" w:hAnsi="Arimo" w:cs="Arimo" w:eastAsia="Arimo"/>
          <w:color w:val="000000"/>
          <w:sz w:val="24"/>
          <w:szCs w:val="24"/>
        </w:rPr>
        <w:t xml:space="preserve">
</w:t>
      </w:r>
    </w:p>
    <w:p>
      <w:pPr>
        <w:numPr>
          <w:ilvl w:val="0"/>
          <w:numId w:val="12"/>
        </w:numPr>
        <w:spacing w:after="0" w:before="0" w:line="336" w:lineRule="auto"/>
        <w:jc w:val="start"/>
      </w:pPr>
      <w:r>
        <w:rPr>
          <w:rFonts w:ascii="Arial" w:hAnsi="Arial" w:cs="Arial" w:eastAsia="Arial"/>
          <w:color w:val="1a1a1a"/>
          <w:sz w:val="22"/>
          <w:szCs w:val="22"/>
        </w:rPr>
        <w:t>Sales forecasting using time-series models (ARIMA, Facebook Prophet) to predict next-quarter revenue by category — this would allow proactive rather than reactive inventory and marketing planning.</w:t>
      </w:r>
      <w:r>
        <w:rPr>
          <w:rFonts w:ascii="Arimo" w:hAnsi="Arimo" w:cs="Arimo" w:eastAsia="Arimo"/>
          <w:color w:val="000000"/>
          <w:sz w:val="24"/>
          <w:szCs w:val="24"/>
        </w:rPr>
        <w:t xml:space="preserve">
</w:t>
      </w:r>
    </w:p>
    <w:p>
      <w:pPr>
        <w:numPr>
          <w:ilvl w:val="0"/>
          <w:numId w:val="12"/>
        </w:numPr>
        <w:spacing w:after="0" w:before="0" w:line="336" w:lineRule="auto"/>
        <w:jc w:val="start"/>
      </w:pPr>
      <w:r>
        <w:rPr>
          <w:rFonts w:ascii="Arial" w:hAnsi="Arial" w:cs="Arial" w:eastAsia="Arial"/>
          <w:color w:val="1a1a1a"/>
          <w:sz w:val="22"/>
          <w:szCs w:val="22"/>
        </w:rPr>
        <w:t>RFM (Recency, Frequency, Monetary) customer segmentation to identify high-value vs. at-risk customers and personalise retention strategies.</w:t>
      </w:r>
      <w:r>
        <w:rPr>
          <w:rFonts w:ascii="Arimo" w:hAnsi="Arimo" w:cs="Arimo" w:eastAsia="Arimo"/>
          <w:color w:val="000000"/>
          <w:sz w:val="24"/>
          <w:szCs w:val="24"/>
        </w:rPr>
        <w:t xml:space="preserve">
</w:t>
      </w:r>
    </w:p>
    <w:p>
      <w:pPr>
        <w:numPr>
          <w:ilvl w:val="0"/>
          <w:numId w:val="12"/>
        </w:numPr>
        <w:spacing w:after="0" w:before="0" w:line="336" w:lineRule="auto"/>
        <w:jc w:val="start"/>
      </w:pPr>
      <w:r>
        <w:rPr>
          <w:rFonts w:ascii="Arial" w:hAnsi="Arial" w:cs="Arial" w:eastAsia="Arial"/>
          <w:color w:val="1a1a1a"/>
          <w:sz w:val="22"/>
          <w:szCs w:val="22"/>
        </w:rPr>
        <w:t>Market Basket / Association Rule analysis to identify frequently co-purchased item pairs — directly enabling cross-sell product bundling.</w:t>
      </w:r>
      <w:r>
        <w:rPr>
          <w:rFonts w:ascii="Arimo" w:hAnsi="Arimo" w:cs="Arimo" w:eastAsia="Arimo"/>
          <w:color w:val="000000"/>
          <w:sz w:val="24"/>
          <w:szCs w:val="24"/>
        </w:rPr>
        <w:t xml:space="preserve">
</w:t>
      </w:r>
    </w:p>
    <w:p>
      <w:pPr>
        <w:numPr>
          <w:ilvl w:val="0"/>
          <w:numId w:val="12"/>
        </w:numPr>
        <w:spacing w:after="0" w:before="0" w:line="336" w:lineRule="auto"/>
        <w:jc w:val="start"/>
      </w:pPr>
      <w:r>
        <w:rPr>
          <w:rFonts w:ascii="Arial" w:hAnsi="Arial" w:cs="Arial" w:eastAsia="Arial"/>
          <w:color w:val="1a1a1a"/>
          <w:sz w:val="22"/>
          <w:szCs w:val="22"/>
        </w:rPr>
        <w:t>Predictive discount modelling to determine optimal discount depth by category and customer segment, replacing our current blanket approach.</w:t>
      </w:r>
      <w:r>
        <w:rPr>
          <w:rFonts w:ascii="Arimo" w:hAnsi="Arimo" w:cs="Arimo" w:eastAsia="Arimo"/>
          <w:color w:val="000000"/>
          <w:sz w:val="24"/>
          <w:szCs w:val="24"/>
        </w:rPr>
        <w:t xml:space="preserve">
</w:t>
      </w:r>
    </w:p>
    <w:p>
      <w:pPr>
        <w:numPr>
          <w:ilvl w:val="0"/>
          <w:numId w:val="12"/>
        </w:numPr>
        <w:spacing w:after="0" w:before="0" w:line="336" w:lineRule="auto"/>
        <w:jc w:val="start"/>
      </w:pPr>
      <w:r>
        <w:rPr>
          <w:rFonts w:ascii="Arial" w:hAnsi="Arial" w:cs="Arial" w:eastAsia="Arial"/>
          <w:color w:val="1a1a1a"/>
          <w:sz w:val="22"/>
          <w:szCs w:val="22"/>
        </w:rPr>
        <w:t>Year-over-year cohort analysis to track whether customer purchase frequency is improving or declining across the three-year period.</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al Bold" w:hAnsi="Arial Bold" w:cs="Arial Bold" w:eastAsia="Arial Bold"/>
          <w:b/>
          <w:bCs/>
          <w:color w:val="2e75b6"/>
          <w:sz w:val="26"/>
          <w:szCs w:val="26"/>
        </w:rPr>
        <w:t>What New Data We Would Need</w:t>
      </w:r>
      <w:r>
        <w:rPr>
          <w:rFonts w:ascii="Arimo" w:hAnsi="Arimo" w:cs="Arimo" w:eastAsia="Arimo"/>
          <w:color w:val="000000"/>
          <w:sz w:val="24"/>
          <w:szCs w:val="24"/>
        </w:rPr>
        <w:t xml:space="preserve">
</w:t>
      </w:r>
    </w:p>
    <w:p>
      <w:pPr>
        <w:numPr>
          <w:ilvl w:val="0"/>
          <w:numId w:val="13"/>
        </w:numPr>
        <w:spacing w:after="0" w:before="0" w:line="336" w:lineRule="auto"/>
        <w:jc w:val="start"/>
      </w:pPr>
      <w:r>
        <w:rPr>
          <w:rFonts w:ascii="Arial" w:hAnsi="Arial" w:cs="Arial" w:eastAsia="Arial"/>
          <w:color w:val="1a1a1a"/>
          <w:sz w:val="22"/>
          <w:szCs w:val="22"/>
        </w:rPr>
        <w:t>Cost of Goods Sold (COGS) per SKU — to compute true gross margins and make profit-based category decisions.</w:t>
      </w:r>
      <w:r>
        <w:rPr>
          <w:rFonts w:ascii="Arimo" w:hAnsi="Arimo" w:cs="Arimo" w:eastAsia="Arimo"/>
          <w:color w:val="000000"/>
          <w:sz w:val="24"/>
          <w:szCs w:val="24"/>
        </w:rPr>
        <w:t xml:space="preserve">
</w:t>
      </w:r>
    </w:p>
    <w:p>
      <w:pPr>
        <w:numPr>
          <w:ilvl w:val="0"/>
          <w:numId w:val="13"/>
        </w:numPr>
        <w:spacing w:after="0" w:before="0" w:line="336" w:lineRule="auto"/>
        <w:jc w:val="start"/>
      </w:pPr>
      <w:r>
        <w:rPr>
          <w:rFonts w:ascii="Arial" w:hAnsi="Arial" w:cs="Arial" w:eastAsia="Arial"/>
          <w:color w:val="1a1a1a"/>
          <w:sz w:val="22"/>
          <w:szCs w:val="22"/>
        </w:rPr>
        <w:t>A larger, more diverse customer base (1,000+ customers) — for statistically robust segmentation and persona development.</w:t>
      </w:r>
      <w:r>
        <w:rPr>
          <w:rFonts w:ascii="Arimo" w:hAnsi="Arimo" w:cs="Arimo" w:eastAsia="Arimo"/>
          <w:color w:val="000000"/>
          <w:sz w:val="24"/>
          <w:szCs w:val="24"/>
        </w:rPr>
        <w:t xml:space="preserve">
</w:t>
      </w:r>
    </w:p>
    <w:p>
      <w:pPr>
        <w:numPr>
          <w:ilvl w:val="0"/>
          <w:numId w:val="13"/>
        </w:numPr>
        <w:spacing w:after="0" w:before="0" w:line="336" w:lineRule="auto"/>
        <w:jc w:val="start"/>
      </w:pPr>
      <w:r>
        <w:rPr>
          <w:rFonts w:ascii="Arial" w:hAnsi="Arial" w:cs="Arial" w:eastAsia="Arial"/>
          <w:color w:val="1a1a1a"/>
          <w:sz w:val="22"/>
          <w:szCs w:val="22"/>
        </w:rPr>
        <w:t>Store-level and regional data — to enable geographic performance benchmarking and location-specific strategy.</w:t>
      </w:r>
      <w:r>
        <w:rPr>
          <w:rFonts w:ascii="Arimo" w:hAnsi="Arimo" w:cs="Arimo" w:eastAsia="Arimo"/>
          <w:color w:val="000000"/>
          <w:sz w:val="24"/>
          <w:szCs w:val="24"/>
        </w:rPr>
        <w:t xml:space="preserve">
</w:t>
      </w:r>
    </w:p>
    <w:p>
      <w:pPr>
        <w:numPr>
          <w:ilvl w:val="0"/>
          <w:numId w:val="13"/>
        </w:numPr>
        <w:spacing w:after="0" w:before="0" w:line="336" w:lineRule="auto"/>
        <w:jc w:val="start"/>
      </w:pPr>
      <w:r>
        <w:rPr>
          <w:rFonts w:ascii="Arial" w:hAnsi="Arial" w:cs="Arial" w:eastAsia="Arial"/>
          <w:color w:val="1a1a1a"/>
          <w:sz w:val="22"/>
          <w:szCs w:val="22"/>
        </w:rPr>
        <w:t>Customer demographic data (age, location, income bracket) — to build persona-based marketing and loyalty models.</w:t>
      </w:r>
      <w:r>
        <w:rPr>
          <w:rFonts w:ascii="Arimo" w:hAnsi="Arimo" w:cs="Arimo" w:eastAsia="Arimo"/>
          <w:color w:val="000000"/>
          <w:sz w:val="24"/>
          <w:szCs w:val="24"/>
        </w:rPr>
        <w:t xml:space="preserve">
</w:t>
      </w:r>
    </w:p>
    <w:p>
      <w:pPr>
        <w:numPr>
          <w:ilvl w:val="0"/>
          <w:numId w:val="13"/>
        </w:numPr>
        <w:spacing w:after="0" w:before="0" w:line="336" w:lineRule="auto"/>
        <w:jc w:val="start"/>
      </w:pPr>
      <w:r>
        <w:rPr>
          <w:rFonts w:ascii="Arial" w:hAnsi="Arial" w:cs="Arial" w:eastAsia="Arial"/>
          <w:color w:val="1a1a1a"/>
          <w:sz w:val="22"/>
          <w:szCs w:val="22"/>
        </w:rPr>
        <w:t>Real-time transaction feeds — to power a live dashboard and enable week-level monitoring rather than retrospective monthly analysis.</w:t>
      </w:r>
      <w:r>
        <w:rPr>
          <w:rFonts w:ascii="Arimo" w:hAnsi="Arimo" w:cs="Arimo" w:eastAsia="Arimo"/>
          <w:color w:val="000000"/>
          <w:sz w:val="24"/>
          <w:szCs w:val="24"/>
        </w:rPr>
        <w:t xml:space="preserve">
</w:t>
      </w:r>
    </w:p>
    <w:p>
      <w:pPr>
        <w:spacing w:after="120" w:before="120" w:line="336" w:lineRule="auto"/>
        <w:ind w:firstLine="0" w:start="0"/>
        <w:jc w:val="start"/>
      </w:pPr>
      <w:r>
        <w:rPr>
          <w:rFonts w:ascii="Arial" w:hAnsi="Arial" w:cs="Arial" w:eastAsia="Arial"/>
          <w:color w:val="888888"/>
          <w:sz w:val="16"/>
          <w:szCs w:val="16"/>
        </w:rPr>
        <w:t xml:space="preserve">
</w:t>
      </w:r>
    </w:p>
    <w:p>
      <w:pPr>
        <w:spacing w:after="120" w:before="120"/>
      </w:pPr>
      <w:r>
        <w:br w:type="page"/>
      </w:r>
    </w:p>
    <w:p>
      <w:pPr>
        <w:spacing w:after="120" w:before="120" w:line="336" w:lineRule="auto"/>
        <w:ind w:firstLine="0" w:start="0"/>
        <w:jc w:val="start"/>
      </w:pPr>
      <w:r>
        <w:rPr>
          <w:rFonts w:ascii="Arial Bold" w:hAnsi="Arial Bold" w:cs="Arial Bold" w:eastAsia="Arial Bold"/>
          <w:b/>
          <w:bCs/>
          <w:color w:val="1f4e79"/>
          <w:sz w:val="34"/>
          <w:szCs w:val="34"/>
        </w:rPr>
        <w:t>16. Conclusion</w:t>
      </w:r>
      <w:r>
        <w:rPr>
          <w:rFonts w:ascii="Arimo" w:hAnsi="Arimo" w:cs="Arimo" w:eastAsia="Arimo"/>
          <w:color w:val="000000"/>
          <w:sz w:val="24"/>
          <w:szCs w:val="24"/>
        </w:rPr>
        <w:t xml:space="preserve">
</w:t>
      </w:r>
    </w:p>
    <w:p>
      <w:pPr>
        <w:spacing w:after="120" w:before="120" w:line="336" w:lineRule="auto"/>
        <w:ind w:firstLine="0" w:start="0"/>
        <w:jc w:val="start"/>
      </w:pPr>
      <w:r>
        <w:rPr>
          <w:rFonts w:ascii="Arial" w:hAnsi="Arial" w:cs="Arial" w:eastAsia="Arial"/>
          <w:color w:val="1a1a1a"/>
          <w:sz w:val="22"/>
          <w:szCs w:val="22"/>
        </w:rPr>
        <w:t>Through this DVA Capstone project, our team successfully applied the complete data analytics lifecycle to a real-world retail transaction dataset — from raw data ingestion and cleaning to KPI design, exploratory and advanced analysis, dashboard development, and business recommendations.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al" w:hAnsi="Arial" w:cs="Arial" w:eastAsia="Arial"/>
          <w:color w:val="1a1a1a"/>
          <w:sz w:val="22"/>
          <w:szCs w:val="22"/>
        </w:rPr>
        <w:t>Working with 11,362 transactions across 37 months, 8 product categories, and 2 sales channels, we uncovered 10 critical business insights. Our analysis revealed a business at an inflection point: revenue is stable but stagnating (–0.97% MoM growth), concentration risk is high (51% revenue from two categories), and the online channel is showing growth that is not yet being fully capitalised on. At the same time, our data exposed a discount strategy that is too broad and a set of high-AOV categories that are underinvested.</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al" w:hAnsi="Arial" w:cs="Arial" w:eastAsia="Arial"/>
          <w:color w:val="1a1a1a"/>
          <w:sz w:val="22"/>
          <w:szCs w:val="22"/>
        </w:rPr>
        <w:t>Our seven recommendations — grounded in data and assessed for feasibility — offer a clear, actionable roadmap for the business to recover growth momentum, protect margins, and reduce strategic risk. Our estimated combined impact across these recommendations could yield ₹50,000–₹1,00,000 in annual revenue improvement alongside meaningful margin protection and improved customer retention.</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al" w:hAnsi="Arial" w:cs="Arial" w:eastAsia="Arial"/>
          <w:color w:val="1a1a1a"/>
          <w:sz w:val="22"/>
          <w:szCs w:val="22"/>
        </w:rPr>
        <w:t>The Google Sheets dashboard we built ensures that these insights do not end with this report — management now has a self-service analytical tool to monitor the KPIs we defined on an ongoing basis. With the future enhancements we have outlined — particularly real-time data integration and predictive modelling — this framework can evolve into a fully operational retail intelligence platform.</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al" w:hAnsi="Arial" w:cs="Arial" w:eastAsia="Arial"/>
          <w:color w:val="1a1a1a"/>
          <w:sz w:val="22"/>
          <w:szCs w:val="22"/>
        </w:rPr>
        <w:t>This project reinforced for our team that the most valuable skill in data analytics is not just technical proficiency — it is the ability to translate numbers into business decisions. That is exactly what we have aimed to deliver here.</w:t>
      </w:r>
      <w:r>
        <w:rPr>
          <w:rFonts w:ascii="Arimo" w:hAnsi="Arimo" w:cs="Arimo" w:eastAsia="Arimo"/>
          <w:color w:val="000000"/>
          <w:sz w:val="24"/>
          <w:szCs w:val="24"/>
        </w:rPr>
        <w:t xml:space="preserve">
</w:t>
      </w:r>
    </w:p>
    <w:p>
      <w:pPr>
        <w:spacing w:after="120" w:before="120" w:line="336" w:lineRule="auto"/>
        <w:ind w:firstLine="0" w:start="0"/>
        <w:jc w:val="start"/>
      </w:pPr>
      <w:r>
        <w:rPr>
          <w:rFonts w:ascii="Arial" w:hAnsi="Arial" w:cs="Arial" w:eastAsia="Arial"/>
          <w:color w:val="888888"/>
          <w:sz w:val="16"/>
          <w:szCs w:val="16"/>
        </w:rPr>
        <w:t xml:space="preserve">
</w:t>
      </w:r>
    </w:p>
    <w:p>
      <w:pPr>
        <w:spacing w:after="120" w:before="120"/>
      </w:pPr>
      <w:r>
        <w:br w:type="page"/>
      </w:r>
    </w:p>
    <w:p>
      <w:pPr>
        <w:spacing w:after="120" w:before="120" w:line="336" w:lineRule="auto"/>
        <w:ind w:firstLine="0" w:start="0"/>
        <w:jc w:val="start"/>
      </w:pPr>
      <w:r>
        <w:rPr>
          <w:rFonts w:ascii="Arial Bold" w:hAnsi="Arial Bold" w:cs="Arial Bold" w:eastAsia="Arial Bold"/>
          <w:b/>
          <w:bCs/>
          <w:color w:val="1f4e79"/>
          <w:sz w:val="34"/>
          <w:szCs w:val="34"/>
        </w:rPr>
        <w:t xml:space="preserve">17. Appendix A </w:t>
      </w:r>
      <w:r>
        <w:rPr>
          <w:rFonts w:ascii="Arial Bold" w:hAnsi="Arial Bold" w:cs="Arial Bold" w:eastAsia="Arial Bold"/>
          <w:b/>
          <w:bCs/>
          <w:color w:val="1f4e79"/>
          <w:sz w:val="34"/>
          <w:szCs w:val="34"/>
        </w:rPr>
        <w:t xml:space="preserve">
</w:t>
      </w:r>
    </w:p>
    <w:p>
      <w:pPr>
        <w:spacing w:after="120" w:before="120" w:line="336" w:lineRule="auto"/>
        <w:ind w:firstLine="0" w:start="0"/>
        <w:jc w:val="start"/>
      </w:pPr>
      <w:r>
        <w:rPr>
          <w:rFonts w:ascii="Arial Bold" w:hAnsi="Arial Bold" w:cs="Arial Bold" w:eastAsia="Arial Bold"/>
          <w:b/>
          <w:bCs/>
          <w:color w:val="2e75b6"/>
          <w:sz w:val="26"/>
          <w:szCs w:val="26"/>
        </w:rPr>
        <w:t>D</w:t>
      </w:r>
      <w:r>
        <w:rPr>
          <w:rFonts w:ascii="Arial Bold" w:hAnsi="Arial Bold" w:cs="Arial Bold" w:eastAsia="Arial Bold"/>
          <w:b/>
          <w:bCs/>
          <w:color w:val="2e75b6"/>
          <w:sz w:val="26"/>
          <w:szCs w:val="26"/>
        </w:rPr>
        <w:t xml:space="preserve">ata Structure &amp; Column Explanation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2025"/>
        <w:gridCol w:w="1350"/>
        <w:gridCol w:w="3376"/>
        <w:gridCol w:w="2276"/>
      </w:tblGrid>
      <w:tr>
        <w:tc>
          <w:tcPr>
            <w:tcW w:w="2025" w:type="dxa"/>
            <w:tcBorders>
              <w:top w:color="cccccc" w:sz="1" w:val="single"/>
              <w:start w:color="cccccc" w:sz="1" w:val="single"/>
              <w:bottom w:color="cccccc" w:sz="1" w:val="single"/>
              <w:end w:color="cccccc" w:sz="1" w:val="single"/>
            </w:tcBorders>
            <w:shd w:val="clear" w:color="auto" w:fill="1f4e79"/>
            <w:tcMar>
              <w:top w:w="75"/>
              <w:start w:w="75"/>
              <w:bottom w:w="75"/>
              <w:end w:w="75"/>
            </w:tcMar>
          </w:tcPr>
          <w:p>
            <w:pPr>
              <w:spacing w:after="120" w:before="120" w:line="336" w:lineRule="auto"/>
              <w:ind w:firstLine="0" w:start="0"/>
              <w:jc w:val="start"/>
            </w:pPr>
            <w:r>
              <w:rPr>
                <w:rFonts w:ascii="Arial Bold" w:hAnsi="Arial Bold" w:cs="Arial Bold" w:eastAsia="Arial Bold"/>
                <w:b/>
                <w:bCs/>
                <w:color w:val="ffffff"/>
                <w:sz w:val="20"/>
                <w:szCs w:val="20"/>
              </w:rPr>
              <w:t>Column Name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350" w:type="dxa"/>
            <w:tcBorders>
              <w:top w:color="cccccc" w:sz="1" w:val="single"/>
              <w:start w:color="cccccc" w:sz="1" w:val="single"/>
              <w:bottom w:color="cccccc" w:sz="1" w:val="single"/>
              <w:end w:color="cccccc" w:sz="1" w:val="single"/>
            </w:tcBorders>
            <w:shd w:val="clear" w:color="auto" w:fill="1f4e79"/>
            <w:tcMar>
              <w:top w:w="75"/>
              <w:start w:w="75"/>
              <w:bottom w:w="75"/>
              <w:end w:w="75"/>
            </w:tcMar>
          </w:tcPr>
          <w:p>
            <w:pPr>
              <w:spacing w:after="120" w:before="120" w:line="336" w:lineRule="auto"/>
              <w:ind w:firstLine="0" w:start="0"/>
              <w:jc w:val="start"/>
            </w:pPr>
            <w:r>
              <w:rPr>
                <w:rFonts w:ascii="Arial Bold" w:hAnsi="Arial Bold" w:cs="Arial Bold" w:eastAsia="Arial Bold"/>
                <w:b/>
                <w:bCs/>
                <w:color w:val="ffffff"/>
                <w:sz w:val="20"/>
                <w:szCs w:val="20"/>
              </w:rPr>
              <w:t>Data Type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3376" w:type="dxa"/>
            <w:tcBorders>
              <w:top w:color="cccccc" w:sz="1" w:val="single"/>
              <w:start w:color="cccccc" w:sz="1" w:val="single"/>
              <w:bottom w:color="cccccc" w:sz="1" w:val="single"/>
              <w:end w:color="cccccc" w:sz="1" w:val="single"/>
            </w:tcBorders>
            <w:shd w:val="clear" w:color="auto" w:fill="1f4e79"/>
            <w:tcMar>
              <w:top w:w="75"/>
              <w:start w:w="75"/>
              <w:bottom w:w="75"/>
              <w:end w:w="75"/>
            </w:tcMar>
          </w:tcPr>
          <w:p>
            <w:pPr>
              <w:spacing w:after="120" w:before="120" w:line="336" w:lineRule="auto"/>
              <w:ind w:firstLine="0" w:start="0"/>
              <w:jc w:val="start"/>
            </w:pPr>
            <w:r>
              <w:rPr>
                <w:rFonts w:ascii="Arial Bold" w:hAnsi="Arial Bold" w:cs="Arial Bold" w:eastAsia="Arial Bold"/>
                <w:b/>
                <w:bCs/>
                <w:color w:val="ffffff"/>
                <w:sz w:val="20"/>
                <w:szCs w:val="20"/>
              </w:rPr>
              <w:t>Description</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276" w:type="dxa"/>
            <w:tcBorders>
              <w:top w:color="cccccc" w:sz="1" w:val="single"/>
              <w:start w:color="cccccc" w:sz="1" w:val="single"/>
              <w:bottom w:color="cccccc" w:sz="1" w:val="single"/>
              <w:end w:color="cccccc" w:sz="1" w:val="single"/>
            </w:tcBorders>
            <w:shd w:val="clear" w:color="auto" w:fill="1f4e79"/>
            <w:tcMar>
              <w:top w:w="75"/>
              <w:start w:w="75"/>
              <w:bottom w:w="75"/>
              <w:end w:w="75"/>
            </w:tcMar>
          </w:tcPr>
          <w:p>
            <w:pPr>
              <w:spacing w:after="120" w:before="120" w:line="336" w:lineRule="auto"/>
              <w:ind w:firstLine="0" w:start="0"/>
              <w:jc w:val="start"/>
            </w:pPr>
            <w:r>
              <w:rPr>
                <w:rFonts w:ascii="Arial Bold" w:hAnsi="Arial Bold" w:cs="Arial Bold" w:eastAsia="Arial Bold"/>
                <w:b/>
                <w:bCs/>
                <w:color w:val="ffffff"/>
                <w:sz w:val="20"/>
                <w:szCs w:val="20"/>
              </w:rPr>
              <w:t>Example Value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2025"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Transaction ID</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350"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String</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3376"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Unique identifier for each transaction</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276"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TXN_6867343</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2025" w:type="dxa"/>
            <w:tcBorders>
              <w:top w:color="cccccc" w:sz="1" w:val="single"/>
              <w:start w:color="cccccc" w:sz="1" w:val="single"/>
              <w:bottom w:color="cccccc" w:sz="1" w:val="single"/>
              <w:end w:color="cccccc" w:sz="1" w:val="single"/>
            </w:tcBorders>
            <w:shd w:val="clear" w:color="auto" w:fill="ebf5fb"/>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Customer ID</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350" w:type="dxa"/>
            <w:tcBorders>
              <w:top w:color="cccccc" w:sz="1" w:val="single"/>
              <w:start w:color="cccccc" w:sz="1" w:val="single"/>
              <w:bottom w:color="cccccc" w:sz="1" w:val="single"/>
              <w:end w:color="cccccc" w:sz="1" w:val="single"/>
            </w:tcBorders>
            <w:shd w:val="clear" w:color="auto" w:fill="ebf5fb"/>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String</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3376" w:type="dxa"/>
            <w:tcBorders>
              <w:top w:color="cccccc" w:sz="1" w:val="single"/>
              <w:start w:color="cccccc" w:sz="1" w:val="single"/>
              <w:bottom w:color="cccccc" w:sz="1" w:val="single"/>
              <w:end w:color="cccccc" w:sz="1" w:val="single"/>
            </w:tcBorders>
            <w:shd w:val="clear" w:color="auto" w:fill="ebf5fb"/>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Anonymised customer identifier (25 unique customers)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276" w:type="dxa"/>
            <w:tcBorders>
              <w:top w:color="cccccc" w:sz="1" w:val="single"/>
              <w:start w:color="cccccc" w:sz="1" w:val="single"/>
              <w:bottom w:color="cccccc" w:sz="1" w:val="single"/>
              <w:end w:color="cccccc" w:sz="1" w:val="single"/>
            </w:tcBorders>
            <w:shd w:val="clear" w:color="auto" w:fill="ebf5fb"/>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CUST_09</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2025"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Category</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350"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String</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3376"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Product category — 8 distinct categories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276"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Patisserie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2025" w:type="dxa"/>
            <w:tcBorders>
              <w:top w:color="cccccc" w:sz="1" w:val="single"/>
              <w:start w:color="cccccc" w:sz="1" w:val="single"/>
              <w:bottom w:color="cccccc" w:sz="1" w:val="single"/>
              <w:end w:color="cccccc" w:sz="1" w:val="single"/>
            </w:tcBorders>
            <w:shd w:val="clear" w:color="auto" w:fill="ebf5fb"/>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Item</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350" w:type="dxa"/>
            <w:tcBorders>
              <w:top w:color="cccccc" w:sz="1" w:val="single"/>
              <w:start w:color="cccccc" w:sz="1" w:val="single"/>
              <w:bottom w:color="cccccc" w:sz="1" w:val="single"/>
              <w:end w:color="cccccc" w:sz="1" w:val="single"/>
            </w:tcBorders>
            <w:shd w:val="clear" w:color="auto" w:fill="ebf5fb"/>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String</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3376" w:type="dxa"/>
            <w:tcBorders>
              <w:top w:color="cccccc" w:sz="1" w:val="single"/>
              <w:start w:color="cccccc" w:sz="1" w:val="single"/>
              <w:bottom w:color="cccccc" w:sz="1" w:val="single"/>
              <w:end w:color="cccccc" w:sz="1" w:val="single"/>
            </w:tcBorders>
            <w:shd w:val="clear" w:color="auto" w:fill="ebf5fb"/>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Specific product SKU code within its category</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276" w:type="dxa"/>
            <w:tcBorders>
              <w:top w:color="cccccc" w:sz="1" w:val="single"/>
              <w:start w:color="cccccc" w:sz="1" w:val="single"/>
              <w:bottom w:color="cccccc" w:sz="1" w:val="single"/>
              <w:end w:color="cccccc" w:sz="1" w:val="single"/>
            </w:tcBorders>
            <w:shd w:val="clear" w:color="auto" w:fill="ebf5fb"/>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Item_10_PAT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2025"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Price Per Unit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350"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Decimal</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3376"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Unit selling price in local currency</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276"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18.5</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2025" w:type="dxa"/>
            <w:tcBorders>
              <w:top w:color="cccccc" w:sz="1" w:val="single"/>
              <w:start w:color="cccccc" w:sz="1" w:val="single"/>
              <w:bottom w:color="cccccc" w:sz="1" w:val="single"/>
              <w:end w:color="cccccc" w:sz="1" w:val="single"/>
            </w:tcBorders>
            <w:shd w:val="clear" w:color="auto" w:fill="ebf5fb"/>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Quantity</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350" w:type="dxa"/>
            <w:tcBorders>
              <w:top w:color="cccccc" w:sz="1" w:val="single"/>
              <w:start w:color="cccccc" w:sz="1" w:val="single"/>
              <w:bottom w:color="cccccc" w:sz="1" w:val="single"/>
              <w:end w:color="cccccc" w:sz="1" w:val="single"/>
            </w:tcBorders>
            <w:shd w:val="clear" w:color="auto" w:fill="ebf5fb"/>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Integer</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3376" w:type="dxa"/>
            <w:tcBorders>
              <w:top w:color="cccccc" w:sz="1" w:val="single"/>
              <w:start w:color="cccccc" w:sz="1" w:val="single"/>
              <w:bottom w:color="cccccc" w:sz="1" w:val="single"/>
              <w:end w:color="cccccc" w:sz="1" w:val="single"/>
            </w:tcBorders>
            <w:shd w:val="clear" w:color="auto" w:fill="ebf5fb"/>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Number of units purchased in the transaction</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276" w:type="dxa"/>
            <w:tcBorders>
              <w:top w:color="cccccc" w:sz="1" w:val="single"/>
              <w:start w:color="cccccc" w:sz="1" w:val="single"/>
              <w:bottom w:color="cccccc" w:sz="1" w:val="single"/>
              <w:end w:color="cccccc" w:sz="1" w:val="single"/>
            </w:tcBorders>
            <w:shd w:val="clear" w:color="auto" w:fill="ebf5fb"/>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10</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2025"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Total Spent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350"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Decimal</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3376"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Price Per Unit × Quantity (transaction revenue)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276"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185.0</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2025" w:type="dxa"/>
            <w:tcBorders>
              <w:top w:color="cccccc" w:sz="1" w:val="single"/>
              <w:start w:color="cccccc" w:sz="1" w:val="single"/>
              <w:bottom w:color="cccccc" w:sz="1" w:val="single"/>
              <w:end w:color="cccccc" w:sz="1" w:val="single"/>
            </w:tcBorders>
            <w:shd w:val="clear" w:color="auto" w:fill="ebf5fb"/>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Payment Method</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350" w:type="dxa"/>
            <w:tcBorders>
              <w:top w:color="cccccc" w:sz="1" w:val="single"/>
              <w:start w:color="cccccc" w:sz="1" w:val="single"/>
              <w:bottom w:color="cccccc" w:sz="1" w:val="single"/>
              <w:end w:color="cccccc" w:sz="1" w:val="single"/>
            </w:tcBorders>
            <w:shd w:val="clear" w:color="auto" w:fill="ebf5fb"/>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String</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3376" w:type="dxa"/>
            <w:tcBorders>
              <w:top w:color="cccccc" w:sz="1" w:val="single"/>
              <w:start w:color="cccccc" w:sz="1" w:val="single"/>
              <w:bottom w:color="cccccc" w:sz="1" w:val="single"/>
              <w:end w:color="cccccc" w:sz="1" w:val="single"/>
            </w:tcBorders>
            <w:shd w:val="clear" w:color="auto" w:fill="ebf5fb"/>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Mode of payment used by the customer</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276" w:type="dxa"/>
            <w:tcBorders>
              <w:top w:color="cccccc" w:sz="1" w:val="single"/>
              <w:start w:color="cccccc" w:sz="1" w:val="single"/>
              <w:bottom w:color="cccccc" w:sz="1" w:val="single"/>
              <w:end w:color="cccccc" w:sz="1" w:val="single"/>
            </w:tcBorders>
            <w:shd w:val="clear" w:color="auto" w:fill="ebf5fb"/>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Digital Wallet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2025"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Location</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350"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String</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3376"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Sales channel: Online or In-store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276"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Online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2025" w:type="dxa"/>
            <w:tcBorders>
              <w:top w:color="cccccc" w:sz="1" w:val="single"/>
              <w:start w:color="cccccc" w:sz="1" w:val="single"/>
              <w:bottom w:color="cccccc" w:sz="1" w:val="single"/>
              <w:end w:color="cccccc" w:sz="1" w:val="single"/>
            </w:tcBorders>
            <w:shd w:val="clear" w:color="auto" w:fill="ebf5fb"/>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Transaction Date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350" w:type="dxa"/>
            <w:tcBorders>
              <w:top w:color="cccccc" w:sz="1" w:val="single"/>
              <w:start w:color="cccccc" w:sz="1" w:val="single"/>
              <w:bottom w:color="cccccc" w:sz="1" w:val="single"/>
              <w:end w:color="cccccc" w:sz="1" w:val="single"/>
            </w:tcBorders>
            <w:shd w:val="clear" w:color="auto" w:fill="ebf5fb"/>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Date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3376" w:type="dxa"/>
            <w:tcBorders>
              <w:top w:color="cccccc" w:sz="1" w:val="single"/>
              <w:start w:color="cccccc" w:sz="1" w:val="single"/>
              <w:bottom w:color="cccccc" w:sz="1" w:val="single"/>
              <w:end w:color="cccccc" w:sz="1" w:val="single"/>
            </w:tcBorders>
            <w:shd w:val="clear" w:color="auto" w:fill="ebf5fb"/>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Date of transaction (YYYY-MM-DD format)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276" w:type="dxa"/>
            <w:tcBorders>
              <w:top w:color="cccccc" w:sz="1" w:val="single"/>
              <w:start w:color="cccccc" w:sz="1" w:val="single"/>
              <w:bottom w:color="cccccc" w:sz="1" w:val="single"/>
              <w:end w:color="cccccc" w:sz="1" w:val="single"/>
            </w:tcBorders>
            <w:shd w:val="clear" w:color="auto" w:fill="ebf5fb"/>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2024-04-08</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2025"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Discount Applied</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350"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Boolean</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3376"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Whether a discount was applied (TRUE / FALSE)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276"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TRUE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bl>
    <w:p>
      <w:pPr>
        <w:spacing w:after="120" w:before="120" w:line="336" w:lineRule="auto"/>
        <w:ind w:firstLine="0" w:start="0"/>
        <w:jc w:val="start"/>
      </w:pPr>
      <w:r>
        <w:rPr>
          <w:rFonts w:ascii="Canva Sans" w:hAnsi="Canva Sans" w:cs="Canva Sans" w:eastAsia="Canva Sans"/>
          <w:color w:val="1f4e79"/>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Arial Italics" w:hAnsi="Arial Italics" w:cs="Arial Italics" w:eastAsia="Arial Italics"/>
          <w:i/>
          <w:iCs/>
          <w:color w:val="1a1a1a"/>
          <w:sz w:val="22"/>
          <w:szCs w:val="22"/>
        </w:rPr>
        <w:t xml:space="preserve">
</w:t>
      </w:r>
    </w:p>
    <w:p>
      <w:pPr>
        <w:spacing w:after="120" w:before="120"/>
      </w:pPr>
      <w:r>
        <w:br w:type="page"/>
      </w:r>
    </w:p>
    <w:p>
      <w:pPr>
        <w:spacing w:after="120" w:before="120" w:line="336" w:lineRule="auto"/>
        <w:ind w:firstLine="0" w:start="0"/>
        <w:jc w:val="start"/>
      </w:pPr>
      <w:r>
        <w:rPr>
          <w:rFonts w:ascii="Arial Bold" w:hAnsi="Arial Bold" w:cs="Arial Bold" w:eastAsia="Arial Bold"/>
          <w:b/>
          <w:bCs/>
          <w:color w:val="1f4e79"/>
          <w:sz w:val="34"/>
          <w:szCs w:val="34"/>
        </w:rPr>
        <w:t xml:space="preserve">18. Contribution Matrix </w:t>
      </w:r>
      <w:r>
        <w:rPr>
          <w:rFonts w:ascii="Arial Bold" w:hAnsi="Arial Bold" w:cs="Arial Bold" w:eastAsia="Arial Bold"/>
          <w:b/>
          <w:bCs/>
          <w:color w:val="1f4e79"/>
          <w:sz w:val="34"/>
          <w:szCs w:val="34"/>
        </w:rPr>
        <w:t xml:space="preserve">
</w:t>
      </w:r>
    </w:p>
    <w:p>
      <w:pPr>
        <w:spacing w:after="120" w:before="120" w:line="336" w:lineRule="auto"/>
        <w:ind w:firstLine="0" w:start="0"/>
        <w:jc w:val="start"/>
      </w:pPr>
      <w:r>
        <w:rPr>
          <w:rFonts w:ascii="Arial" w:hAnsi="Arial" w:cs="Arial" w:eastAsia="Arial"/>
          <w:color w:val="1a1a1a"/>
          <w:sz w:val="22"/>
          <w:szCs w:val="22"/>
        </w:rPr>
        <w:t>This section documents each team member's contribution across all project stages. All contribution claims are verifiable through the Google Sheets Version History of our shared working file.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1133"/>
        <w:gridCol w:w="1045"/>
        <w:gridCol w:w="1045"/>
        <w:gridCol w:w="1045"/>
        <w:gridCol w:w="1045"/>
        <w:gridCol w:w="1220"/>
        <w:gridCol w:w="1004"/>
        <w:gridCol w:w="1488"/>
      </w:tblGrid>
      <w:tr>
        <w:tc>
          <w:tcPr>
            <w:tcW w:w="1133" w:type="dxa"/>
            <w:tcBorders>
              <w:top w:color="cccccc" w:sz="1" w:val="single"/>
              <w:start w:color="cccccc" w:sz="1" w:val="single"/>
              <w:bottom w:color="cccccc" w:sz="1" w:val="single"/>
              <w:end w:color="cccccc" w:sz="1" w:val="single"/>
            </w:tcBorders>
            <w:shd w:val="clear" w:color="auto" w:fill="1f4e79"/>
            <w:tcMar>
              <w:top w:w="75"/>
              <w:start w:w="75"/>
              <w:bottom w:w="75"/>
              <w:end w:w="75"/>
            </w:tcMar>
          </w:tcPr>
          <w:p>
            <w:pPr>
              <w:spacing w:after="120" w:before="120" w:line="336" w:lineRule="auto"/>
              <w:ind w:firstLine="0" w:start="0"/>
              <w:jc w:val="start"/>
            </w:pPr>
            <w:r>
              <w:rPr>
                <w:rFonts w:ascii="Arial Bold" w:hAnsi="Arial Bold" w:cs="Arial Bold" w:eastAsia="Arial Bold"/>
                <w:b/>
                <w:bCs/>
                <w:color w:val="ffffff"/>
                <w:sz w:val="20"/>
                <w:szCs w:val="20"/>
              </w:rPr>
              <w:t>Team Member</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045" w:type="dxa"/>
            <w:tcBorders>
              <w:top w:color="cccccc" w:sz="1" w:val="single"/>
              <w:start w:color="cccccc" w:sz="1" w:val="single"/>
              <w:bottom w:color="cccccc" w:sz="1" w:val="single"/>
              <w:end w:color="cccccc" w:sz="1" w:val="single"/>
            </w:tcBorders>
            <w:shd w:val="clear" w:color="auto" w:fill="1f4e79"/>
            <w:tcMar>
              <w:top w:w="75"/>
              <w:start w:w="75"/>
              <w:bottom w:w="75"/>
              <w:end w:w="75"/>
            </w:tcMar>
          </w:tcPr>
          <w:p>
            <w:pPr>
              <w:spacing w:after="120" w:before="120" w:line="336" w:lineRule="auto"/>
              <w:ind w:firstLine="0" w:start="0"/>
              <w:jc w:val="start"/>
            </w:pPr>
            <w:r>
              <w:rPr>
                <w:rFonts w:ascii="Arial Bold" w:hAnsi="Arial Bold" w:cs="Arial Bold" w:eastAsia="Arial Bold"/>
                <w:b/>
                <w:bCs/>
                <w:color w:val="ffffff"/>
                <w:sz w:val="20"/>
                <w:szCs w:val="20"/>
              </w:rPr>
              <w:t>Dataset &amp; Sourcing</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045" w:type="dxa"/>
            <w:tcBorders>
              <w:top w:color="cccccc" w:sz="1" w:val="single"/>
              <w:start w:color="cccccc" w:sz="1" w:val="single"/>
              <w:bottom w:color="cccccc" w:sz="1" w:val="single"/>
              <w:end w:color="cccccc" w:sz="1" w:val="single"/>
            </w:tcBorders>
            <w:shd w:val="clear" w:color="auto" w:fill="1f4e79"/>
            <w:tcMar>
              <w:top w:w="75"/>
              <w:start w:w="75"/>
              <w:bottom w:w="75"/>
              <w:end w:w="75"/>
            </w:tcMar>
          </w:tcPr>
          <w:p>
            <w:pPr>
              <w:spacing w:after="120" w:before="120" w:line="336" w:lineRule="auto"/>
              <w:ind w:firstLine="0" w:start="0"/>
              <w:jc w:val="start"/>
            </w:pPr>
            <w:r>
              <w:rPr>
                <w:rFonts w:ascii="Arial Bold" w:hAnsi="Arial Bold" w:cs="Arial Bold" w:eastAsia="Arial Bold"/>
                <w:b/>
                <w:bCs/>
                <w:color w:val="ffffff"/>
                <w:sz w:val="20"/>
                <w:szCs w:val="20"/>
              </w:rPr>
              <w:t>Cleaning</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045" w:type="dxa"/>
            <w:tcBorders>
              <w:top w:color="cccccc" w:sz="1" w:val="single"/>
              <w:start w:color="cccccc" w:sz="1" w:val="single"/>
              <w:bottom w:color="cccccc" w:sz="1" w:val="single"/>
              <w:end w:color="cccccc" w:sz="1" w:val="single"/>
            </w:tcBorders>
            <w:shd w:val="clear" w:color="auto" w:fill="1f4e79"/>
            <w:tcMar>
              <w:top w:w="75"/>
              <w:start w:w="75"/>
              <w:bottom w:w="75"/>
              <w:end w:w="75"/>
            </w:tcMar>
          </w:tcPr>
          <w:p>
            <w:pPr>
              <w:spacing w:after="120" w:before="120" w:line="336" w:lineRule="auto"/>
              <w:ind w:firstLine="0" w:start="0"/>
              <w:jc w:val="start"/>
            </w:pPr>
            <w:r>
              <w:rPr>
                <w:rFonts w:ascii="Arial Bold" w:hAnsi="Arial Bold" w:cs="Arial Bold" w:eastAsia="Arial Bold"/>
                <w:b/>
                <w:bCs/>
                <w:color w:val="ffffff"/>
                <w:sz w:val="20"/>
                <w:szCs w:val="20"/>
              </w:rPr>
              <w:t>KPI &amp; Analysis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045" w:type="dxa"/>
            <w:tcBorders>
              <w:top w:color="cccccc" w:sz="1" w:val="single"/>
              <w:start w:color="cccccc" w:sz="1" w:val="single"/>
              <w:bottom w:color="cccccc" w:sz="1" w:val="single"/>
              <w:end w:color="cccccc" w:sz="1" w:val="single"/>
            </w:tcBorders>
            <w:shd w:val="clear" w:color="auto" w:fill="1f4e79"/>
            <w:tcMar>
              <w:top w:w="75"/>
              <w:start w:w="75"/>
              <w:bottom w:w="75"/>
              <w:end w:w="75"/>
            </w:tcMar>
          </w:tcPr>
          <w:p>
            <w:pPr>
              <w:spacing w:after="120" w:before="120" w:line="336" w:lineRule="auto"/>
              <w:ind w:firstLine="0" w:start="0"/>
              <w:jc w:val="start"/>
            </w:pPr>
            <w:r>
              <w:rPr>
                <w:rFonts w:ascii="Arial Bold" w:hAnsi="Arial Bold" w:cs="Arial Bold" w:eastAsia="Arial Bold"/>
                <w:b/>
                <w:bCs/>
                <w:color w:val="ffffff"/>
                <w:sz w:val="20"/>
                <w:szCs w:val="20"/>
              </w:rPr>
              <w:t>Dashboard</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220" w:type="dxa"/>
            <w:tcBorders>
              <w:top w:color="cccccc" w:sz="1" w:val="single"/>
              <w:start w:color="cccccc" w:sz="1" w:val="single"/>
              <w:bottom w:color="cccccc" w:sz="1" w:val="single"/>
              <w:end w:color="cccccc" w:sz="1" w:val="single"/>
            </w:tcBorders>
            <w:shd w:val="clear" w:color="auto" w:fill="1f4e79"/>
            <w:tcMar>
              <w:top w:w="75"/>
              <w:start w:w="75"/>
              <w:bottom w:w="75"/>
              <w:end w:w="75"/>
            </w:tcMar>
          </w:tcPr>
          <w:p>
            <w:pPr>
              <w:spacing w:after="120" w:before="120" w:line="336" w:lineRule="auto"/>
              <w:ind w:firstLine="0" w:start="0"/>
              <w:jc w:val="start"/>
            </w:pPr>
            <w:r>
              <w:rPr>
                <w:rFonts w:ascii="Arial Bold" w:hAnsi="Arial Bold" w:cs="Arial Bold" w:eastAsia="Arial Bold"/>
                <w:b/>
                <w:bCs/>
                <w:color w:val="ffffff"/>
                <w:sz w:val="20"/>
                <w:szCs w:val="20"/>
              </w:rPr>
              <w:t>Report Writing</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004" w:type="dxa"/>
            <w:tcBorders>
              <w:top w:color="cccccc" w:sz="1" w:val="single"/>
              <w:start w:color="cccccc" w:sz="1" w:val="single"/>
              <w:bottom w:color="cccccc" w:sz="1" w:val="single"/>
              <w:end w:color="cccccc" w:sz="1" w:val="single"/>
            </w:tcBorders>
            <w:shd w:val="clear" w:color="auto" w:fill="1f4e79"/>
            <w:tcMar>
              <w:top w:w="75"/>
              <w:start w:w="75"/>
              <w:bottom w:w="75"/>
              <w:end w:w="75"/>
            </w:tcMar>
          </w:tcPr>
          <w:p>
            <w:pPr>
              <w:spacing w:after="120" w:before="120" w:line="336" w:lineRule="auto"/>
              <w:ind w:firstLine="0" w:start="0"/>
              <w:jc w:val="start"/>
            </w:pPr>
            <w:r>
              <w:rPr>
                <w:rFonts w:ascii="Arial Bold" w:hAnsi="Arial Bold" w:cs="Arial Bold" w:eastAsia="Arial Bold"/>
                <w:b/>
                <w:bCs/>
                <w:color w:val="ffffff"/>
                <w:sz w:val="20"/>
                <w:szCs w:val="20"/>
              </w:rPr>
              <w:t>PPT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488" w:type="dxa"/>
            <w:tcBorders>
              <w:top w:color="cccccc" w:sz="1" w:val="single"/>
              <w:start w:color="cccccc" w:sz="1" w:val="single"/>
              <w:bottom w:color="cccccc" w:sz="1" w:val="single"/>
              <w:end w:color="cccccc" w:sz="1" w:val="single"/>
            </w:tcBorders>
            <w:shd w:val="clear" w:color="auto" w:fill="1f4e79"/>
            <w:tcMar>
              <w:top w:w="75"/>
              <w:start w:w="75"/>
              <w:bottom w:w="75"/>
              <w:end w:w="75"/>
            </w:tcMar>
          </w:tcPr>
          <w:p>
            <w:pPr>
              <w:spacing w:after="120" w:before="120" w:line="336" w:lineRule="auto"/>
              <w:ind w:firstLine="0" w:start="0"/>
              <w:jc w:val="start"/>
            </w:pPr>
            <w:r>
              <w:rPr>
                <w:rFonts w:ascii="Arial Bold" w:hAnsi="Arial Bold" w:cs="Arial Bold" w:eastAsia="Arial Bold"/>
                <w:b/>
                <w:bCs/>
                <w:color w:val="ffffff"/>
                <w:sz w:val="20"/>
                <w:szCs w:val="20"/>
              </w:rPr>
              <w:t>Overall Role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1133"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Mayank</w:t>
            </w:r>
            <w:r>
              <w:rPr>
                <w:rFonts w:ascii="Arial" w:hAnsi="Arial" w:cs="Arial" w:eastAsia="Arial"/>
                <w:color w:val="1a1a1a"/>
                <w:sz w:val="20"/>
                <w:szCs w:val="20"/>
              </w:rPr>
              <w:t xml:space="preserve">
</w:t>
            </w:r>
          </w:p>
        </w:tc>
        <w:tc>
          <w:tcPr>
            <w:tcW w:w="1045"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045"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 xml:space="preserve">Yes
</w:t>
            </w:r>
          </w:p>
        </w:tc>
        <w:tc>
          <w:tcPr>
            <w:tcW w:w="1045"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 xml:space="preserve">
</w:t>
            </w:r>
          </w:p>
        </w:tc>
        <w:tc>
          <w:tcPr>
            <w:tcW w:w="1045"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 xml:space="preserve">Yes
</w:t>
            </w:r>
          </w:p>
        </w:tc>
        <w:tc>
          <w:tcPr>
            <w:tcW w:w="1220"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 xml:space="preserve">
</w:t>
            </w:r>
          </w:p>
        </w:tc>
        <w:tc>
          <w:tcPr>
            <w:tcW w:w="1004"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 xml:space="preserve">
</w:t>
            </w:r>
          </w:p>
        </w:tc>
        <w:tc>
          <w:tcPr>
            <w:tcW w:w="1488"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 xml:space="preserve">Dashboard Lead
</w:t>
            </w:r>
          </w:p>
        </w:tc>
      </w:tr>
      <w:tr>
        <w:tc>
          <w:tcPr>
            <w:tcW w:w="1133" w:type="dxa"/>
            <w:tcBorders>
              <w:top w:color="cccccc" w:sz="1" w:val="single"/>
              <w:start w:color="cccccc" w:sz="1" w:val="single"/>
              <w:bottom w:color="cccccc" w:sz="1" w:val="single"/>
              <w:end w:color="cccccc" w:sz="1" w:val="single"/>
            </w:tcBorders>
            <w:shd w:val="clear" w:color="auto" w:fill="ebf5fb"/>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Archit</w:t>
            </w:r>
            <w:r>
              <w:rPr>
                <w:rFonts w:ascii="Arial" w:hAnsi="Arial" w:cs="Arial" w:eastAsia="Arial"/>
                <w:color w:val="1a1a1a"/>
                <w:sz w:val="20"/>
                <w:szCs w:val="20"/>
              </w:rPr>
              <w:t xml:space="preserve">
</w:t>
            </w:r>
          </w:p>
        </w:tc>
        <w:tc>
          <w:tcPr>
            <w:tcW w:w="1045" w:type="dxa"/>
            <w:tcBorders>
              <w:top w:color="cccccc" w:sz="1" w:val="single"/>
              <w:start w:color="cccccc" w:sz="1" w:val="single"/>
              <w:bottom w:color="cccccc" w:sz="1" w:val="single"/>
              <w:end w:color="cccccc" w:sz="1" w:val="single"/>
            </w:tcBorders>
            <w:shd w:val="clear" w:color="auto" w:fill="ebf5fb"/>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 xml:space="preserve">
</w:t>
            </w:r>
          </w:p>
        </w:tc>
        <w:tc>
          <w:tcPr>
            <w:tcW w:w="1045" w:type="dxa"/>
            <w:tcBorders>
              <w:top w:color="cccccc" w:sz="1" w:val="single"/>
              <w:start w:color="cccccc" w:sz="1" w:val="single"/>
              <w:bottom w:color="cccccc" w:sz="1" w:val="single"/>
              <w:end w:color="cccccc" w:sz="1" w:val="single"/>
            </w:tcBorders>
            <w:shd w:val="clear" w:color="auto" w:fill="ebf5fb"/>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 xml:space="preserve">Yes
</w:t>
            </w:r>
          </w:p>
        </w:tc>
        <w:tc>
          <w:tcPr>
            <w:tcW w:w="1045" w:type="dxa"/>
            <w:tcBorders>
              <w:top w:color="cccccc" w:sz="1" w:val="single"/>
              <w:start w:color="cccccc" w:sz="1" w:val="single"/>
              <w:bottom w:color="cccccc" w:sz="1" w:val="single"/>
              <w:end w:color="cccccc" w:sz="1" w:val="single"/>
            </w:tcBorders>
            <w:shd w:val="clear" w:color="auto" w:fill="ebf5fb"/>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 xml:space="preserve">
</w:t>
            </w:r>
          </w:p>
        </w:tc>
        <w:tc>
          <w:tcPr>
            <w:tcW w:w="1045" w:type="dxa"/>
            <w:tcBorders>
              <w:top w:color="cccccc" w:sz="1" w:val="single"/>
              <w:start w:color="cccccc" w:sz="1" w:val="single"/>
              <w:bottom w:color="cccccc" w:sz="1" w:val="single"/>
              <w:end w:color="cccccc" w:sz="1" w:val="single"/>
            </w:tcBorders>
            <w:shd w:val="clear" w:color="auto" w:fill="ebf5fb"/>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 xml:space="preserve">
</w:t>
            </w:r>
          </w:p>
        </w:tc>
        <w:tc>
          <w:tcPr>
            <w:tcW w:w="1220" w:type="dxa"/>
            <w:tcBorders>
              <w:top w:color="cccccc" w:sz="1" w:val="single"/>
              <w:start w:color="cccccc" w:sz="1" w:val="single"/>
              <w:bottom w:color="cccccc" w:sz="1" w:val="single"/>
              <w:end w:color="cccccc" w:sz="1" w:val="single"/>
            </w:tcBorders>
            <w:shd w:val="clear" w:color="auto" w:fill="ebf5fb"/>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 xml:space="preserve">Yes
</w:t>
            </w:r>
          </w:p>
        </w:tc>
        <w:tc>
          <w:tcPr>
            <w:tcW w:w="1004" w:type="dxa"/>
            <w:tcBorders>
              <w:top w:color="cccccc" w:sz="1" w:val="single"/>
              <w:start w:color="cccccc" w:sz="1" w:val="single"/>
              <w:bottom w:color="cccccc" w:sz="1" w:val="single"/>
              <w:end w:color="cccccc" w:sz="1" w:val="single"/>
            </w:tcBorders>
            <w:shd w:val="clear" w:color="auto" w:fill="ebf5fb"/>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 xml:space="preserve">
</w:t>
            </w:r>
          </w:p>
        </w:tc>
        <w:tc>
          <w:tcPr>
            <w:tcW w:w="1488" w:type="dxa"/>
            <w:tcBorders>
              <w:top w:color="cccccc" w:sz="1" w:val="single"/>
              <w:start w:color="cccccc" w:sz="1" w:val="single"/>
              <w:bottom w:color="cccccc" w:sz="1" w:val="single"/>
              <w:end w:color="cccccc" w:sz="1" w:val="single"/>
            </w:tcBorders>
            <w:shd w:val="clear" w:color="auto" w:fill="ebf5fb"/>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 xml:space="preserve">Data Cleaning </w:t>
            </w:r>
            <w:r>
              <w:rPr>
                <w:rFonts w:ascii="Arial" w:hAnsi="Arial" w:cs="Arial" w:eastAsia="Arial"/>
                <w:color w:val="1a1a1a"/>
                <w:sz w:val="20"/>
                <w:szCs w:val="20"/>
              </w:rPr>
              <w:t xml:space="preserve">Lead
</w:t>
            </w:r>
          </w:p>
        </w:tc>
      </w:tr>
      <w:tr>
        <w:tc>
          <w:tcPr>
            <w:tcW w:w="1133"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Manjeet</w:t>
            </w:r>
            <w:r>
              <w:rPr>
                <w:rFonts w:ascii="Arial" w:hAnsi="Arial" w:cs="Arial" w:eastAsia="Arial"/>
                <w:color w:val="1a1a1a"/>
                <w:sz w:val="20"/>
                <w:szCs w:val="20"/>
              </w:rPr>
              <w:t xml:space="preserve">
</w:t>
            </w:r>
          </w:p>
        </w:tc>
        <w:tc>
          <w:tcPr>
            <w:tcW w:w="1045"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 xml:space="preserve">Yes
</w:t>
            </w:r>
          </w:p>
        </w:tc>
        <w:tc>
          <w:tcPr>
            <w:tcW w:w="1045"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 xml:space="preserve">
</w:t>
            </w:r>
          </w:p>
        </w:tc>
        <w:tc>
          <w:tcPr>
            <w:tcW w:w="1045"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 xml:space="preserve">Yes
</w:t>
            </w:r>
          </w:p>
        </w:tc>
        <w:tc>
          <w:tcPr>
            <w:tcW w:w="1045"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 xml:space="preserve">
</w:t>
            </w:r>
          </w:p>
        </w:tc>
        <w:tc>
          <w:tcPr>
            <w:tcW w:w="1220"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 xml:space="preserve">
</w:t>
            </w:r>
          </w:p>
        </w:tc>
        <w:tc>
          <w:tcPr>
            <w:tcW w:w="1004"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 xml:space="preserve">
</w:t>
            </w:r>
          </w:p>
        </w:tc>
        <w:tc>
          <w:tcPr>
            <w:tcW w:w="1488"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 xml:space="preserve">Analysis Lead
</w:t>
            </w:r>
          </w:p>
        </w:tc>
      </w:tr>
      <w:tr>
        <w:tc>
          <w:tcPr>
            <w:tcW w:w="1133" w:type="dxa"/>
            <w:tcBorders>
              <w:top w:color="cccccc" w:sz="1" w:val="single"/>
              <w:start w:color="cccccc" w:sz="1" w:val="single"/>
              <w:bottom w:color="cccccc" w:sz="1" w:val="single"/>
              <w:end w:color="cccccc" w:sz="1" w:val="single"/>
            </w:tcBorders>
            <w:shd w:val="clear" w:color="auto" w:fill="ebf5fb"/>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Jivit</w:t>
            </w:r>
            <w:r>
              <w:rPr>
                <w:rFonts w:ascii="Arial" w:hAnsi="Arial" w:cs="Arial" w:eastAsia="Arial"/>
                <w:color w:val="1a1a1a"/>
                <w:sz w:val="20"/>
                <w:szCs w:val="20"/>
              </w:rPr>
              <w:t xml:space="preserve">
</w:t>
            </w:r>
          </w:p>
        </w:tc>
        <w:tc>
          <w:tcPr>
            <w:tcW w:w="1045" w:type="dxa"/>
            <w:tcBorders>
              <w:top w:color="cccccc" w:sz="1" w:val="single"/>
              <w:start w:color="cccccc" w:sz="1" w:val="single"/>
              <w:bottom w:color="cccccc" w:sz="1" w:val="single"/>
              <w:end w:color="cccccc" w:sz="1" w:val="single"/>
            </w:tcBorders>
            <w:shd w:val="clear" w:color="auto" w:fill="ebf5fb"/>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 xml:space="preserve">Yes
</w:t>
            </w:r>
          </w:p>
        </w:tc>
        <w:tc>
          <w:tcPr>
            <w:tcW w:w="1045" w:type="dxa"/>
            <w:tcBorders>
              <w:top w:color="cccccc" w:sz="1" w:val="single"/>
              <w:start w:color="cccccc" w:sz="1" w:val="single"/>
              <w:bottom w:color="cccccc" w:sz="1" w:val="single"/>
              <w:end w:color="cccccc" w:sz="1" w:val="single"/>
            </w:tcBorders>
            <w:shd w:val="clear" w:color="auto" w:fill="ebf5fb"/>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 xml:space="preserve">
</w:t>
            </w:r>
          </w:p>
        </w:tc>
        <w:tc>
          <w:tcPr>
            <w:tcW w:w="1045" w:type="dxa"/>
            <w:tcBorders>
              <w:top w:color="cccccc" w:sz="1" w:val="single"/>
              <w:start w:color="cccccc" w:sz="1" w:val="single"/>
              <w:bottom w:color="cccccc" w:sz="1" w:val="single"/>
              <w:end w:color="cccccc" w:sz="1" w:val="single"/>
            </w:tcBorders>
            <w:shd w:val="clear" w:color="auto" w:fill="ebf5fb"/>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 xml:space="preserve">
</w:t>
            </w:r>
          </w:p>
        </w:tc>
        <w:tc>
          <w:tcPr>
            <w:tcW w:w="1045" w:type="dxa"/>
            <w:tcBorders>
              <w:top w:color="cccccc" w:sz="1" w:val="single"/>
              <w:start w:color="cccccc" w:sz="1" w:val="single"/>
              <w:bottom w:color="cccccc" w:sz="1" w:val="single"/>
              <w:end w:color="cccccc" w:sz="1" w:val="single"/>
            </w:tcBorders>
            <w:shd w:val="clear" w:color="auto" w:fill="ebf5fb"/>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 xml:space="preserve">
</w:t>
            </w:r>
          </w:p>
        </w:tc>
        <w:tc>
          <w:tcPr>
            <w:tcW w:w="1220" w:type="dxa"/>
            <w:tcBorders>
              <w:top w:color="cccccc" w:sz="1" w:val="single"/>
              <w:start w:color="cccccc" w:sz="1" w:val="single"/>
              <w:bottom w:color="cccccc" w:sz="1" w:val="single"/>
              <w:end w:color="cccccc" w:sz="1" w:val="single"/>
            </w:tcBorders>
            <w:shd w:val="clear" w:color="auto" w:fill="ebf5fb"/>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 xml:space="preserve">
</w:t>
            </w:r>
          </w:p>
        </w:tc>
        <w:tc>
          <w:tcPr>
            <w:tcW w:w="1004" w:type="dxa"/>
            <w:tcBorders>
              <w:top w:color="cccccc" w:sz="1" w:val="single"/>
              <w:start w:color="cccccc" w:sz="1" w:val="single"/>
              <w:bottom w:color="cccccc" w:sz="1" w:val="single"/>
              <w:end w:color="cccccc" w:sz="1" w:val="single"/>
            </w:tcBorders>
            <w:shd w:val="clear" w:color="auto" w:fill="ebf5fb"/>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 xml:space="preserve">Yes
</w:t>
            </w:r>
          </w:p>
        </w:tc>
        <w:tc>
          <w:tcPr>
            <w:tcW w:w="1488" w:type="dxa"/>
            <w:tcBorders>
              <w:top w:color="cccccc" w:sz="1" w:val="single"/>
              <w:start w:color="cccccc" w:sz="1" w:val="single"/>
              <w:bottom w:color="cccccc" w:sz="1" w:val="single"/>
              <w:end w:color="cccccc" w:sz="1" w:val="single"/>
            </w:tcBorders>
            <w:shd w:val="clear" w:color="auto" w:fill="ebf5fb"/>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 xml:space="preserve">Strategy Lead
</w:t>
            </w:r>
          </w:p>
        </w:tc>
      </w:tr>
      <w:tr>
        <w:tc>
          <w:tcPr>
            <w:tcW w:w="1133"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Sushant</w:t>
            </w:r>
            <w:r>
              <w:rPr>
                <w:rFonts w:ascii="Arial" w:hAnsi="Arial" w:cs="Arial" w:eastAsia="Arial"/>
                <w:color w:val="1a1a1a"/>
                <w:sz w:val="20"/>
                <w:szCs w:val="20"/>
              </w:rPr>
              <w:t xml:space="preserve">
</w:t>
            </w:r>
          </w:p>
        </w:tc>
        <w:tc>
          <w:tcPr>
            <w:tcW w:w="1045"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 xml:space="preserve">Yes
</w:t>
            </w:r>
          </w:p>
        </w:tc>
        <w:tc>
          <w:tcPr>
            <w:tcW w:w="1045"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 xml:space="preserve">
</w:t>
            </w:r>
          </w:p>
        </w:tc>
        <w:tc>
          <w:tcPr>
            <w:tcW w:w="1045"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 xml:space="preserve">
</w:t>
            </w:r>
          </w:p>
        </w:tc>
        <w:tc>
          <w:tcPr>
            <w:tcW w:w="1045"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 xml:space="preserve">
</w:t>
            </w:r>
          </w:p>
        </w:tc>
        <w:tc>
          <w:tcPr>
            <w:tcW w:w="1220"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 xml:space="preserve">Yes
</w:t>
            </w:r>
          </w:p>
        </w:tc>
        <w:tc>
          <w:tcPr>
            <w:tcW w:w="1004"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 xml:space="preserve">
</w:t>
            </w:r>
          </w:p>
        </w:tc>
        <w:tc>
          <w:tcPr>
            <w:tcW w:w="1488"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Pr</w:t>
            </w:r>
            <w:r>
              <w:rPr>
                <w:rFonts w:ascii="Arial" w:hAnsi="Arial" w:cs="Arial" w:eastAsia="Arial"/>
                <w:color w:val="1a1a1a"/>
                <w:sz w:val="20"/>
                <w:szCs w:val="20"/>
              </w:rPr>
              <w:t xml:space="preserve">oject Lead </w:t>
            </w:r>
            <w:r>
              <w:rPr>
                <w:rFonts w:ascii="Arial" w:hAnsi="Arial" w:cs="Arial" w:eastAsia="Arial"/>
                <w:color w:val="1a1a1a"/>
                <w:sz w:val="20"/>
                <w:szCs w:val="20"/>
              </w:rPr>
              <w:t xml:space="preserve">
</w:t>
            </w:r>
          </w:p>
        </w:tc>
      </w:tr>
      <w:tr>
        <w:tc>
          <w:tcPr>
            <w:tcW w:w="1133" w:type="dxa"/>
            <w:tcBorders>
              <w:top w:color="cccccc" w:sz="1" w:val="single"/>
              <w:start w:color="cccccc" w:sz="1" w:val="single"/>
              <w:bottom w:color="cccccc" w:sz="1" w:val="single"/>
              <w:end w:color="cccccc" w:sz="1" w:val="single"/>
            </w:tcBorders>
            <w:shd w:val="clear" w:color="auto" w:fill="ebf5fb"/>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Akhilesh</w:t>
            </w:r>
            <w:r>
              <w:rPr>
                <w:rFonts w:ascii="Arial" w:hAnsi="Arial" w:cs="Arial" w:eastAsia="Arial"/>
                <w:color w:val="1a1a1a"/>
                <w:sz w:val="20"/>
                <w:szCs w:val="20"/>
              </w:rPr>
              <w:t xml:space="preserve">
</w:t>
            </w:r>
          </w:p>
        </w:tc>
        <w:tc>
          <w:tcPr>
            <w:tcW w:w="1045" w:type="dxa"/>
            <w:tcBorders>
              <w:top w:color="cccccc" w:sz="1" w:val="single"/>
              <w:start w:color="cccccc" w:sz="1" w:val="single"/>
              <w:bottom w:color="cccccc" w:sz="1" w:val="single"/>
              <w:end w:color="cccccc" w:sz="1" w:val="single"/>
            </w:tcBorders>
            <w:shd w:val="clear" w:color="auto" w:fill="ebf5fb"/>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 xml:space="preserve">
</w:t>
            </w:r>
          </w:p>
        </w:tc>
        <w:tc>
          <w:tcPr>
            <w:tcW w:w="1045" w:type="dxa"/>
            <w:tcBorders>
              <w:top w:color="cccccc" w:sz="1" w:val="single"/>
              <w:start w:color="cccccc" w:sz="1" w:val="single"/>
              <w:bottom w:color="cccccc" w:sz="1" w:val="single"/>
              <w:end w:color="cccccc" w:sz="1" w:val="single"/>
            </w:tcBorders>
            <w:shd w:val="clear" w:color="auto" w:fill="ebf5fb"/>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 xml:space="preserve">
</w:t>
            </w:r>
          </w:p>
        </w:tc>
        <w:tc>
          <w:tcPr>
            <w:tcW w:w="1045" w:type="dxa"/>
            <w:tcBorders>
              <w:top w:color="cccccc" w:sz="1" w:val="single"/>
              <w:start w:color="cccccc" w:sz="1" w:val="single"/>
              <w:bottom w:color="cccccc" w:sz="1" w:val="single"/>
              <w:end w:color="cccccc" w:sz="1" w:val="single"/>
            </w:tcBorders>
            <w:shd w:val="clear" w:color="auto" w:fill="ebf5fb"/>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 xml:space="preserve">
</w:t>
            </w:r>
          </w:p>
        </w:tc>
        <w:tc>
          <w:tcPr>
            <w:tcW w:w="1045" w:type="dxa"/>
            <w:tcBorders>
              <w:top w:color="cccccc" w:sz="1" w:val="single"/>
              <w:start w:color="cccccc" w:sz="1" w:val="single"/>
              <w:bottom w:color="cccccc" w:sz="1" w:val="single"/>
              <w:end w:color="cccccc" w:sz="1" w:val="single"/>
            </w:tcBorders>
            <w:shd w:val="clear" w:color="auto" w:fill="ebf5fb"/>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 xml:space="preserve">
</w:t>
            </w:r>
          </w:p>
        </w:tc>
        <w:tc>
          <w:tcPr>
            <w:tcW w:w="1220" w:type="dxa"/>
            <w:tcBorders>
              <w:top w:color="cccccc" w:sz="1" w:val="single"/>
              <w:start w:color="cccccc" w:sz="1" w:val="single"/>
              <w:bottom w:color="cccccc" w:sz="1" w:val="single"/>
              <w:end w:color="cccccc" w:sz="1" w:val="single"/>
            </w:tcBorders>
            <w:shd w:val="clear" w:color="auto" w:fill="ebf5fb"/>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 xml:space="preserve">Yes
</w:t>
            </w:r>
          </w:p>
        </w:tc>
        <w:tc>
          <w:tcPr>
            <w:tcW w:w="1004" w:type="dxa"/>
            <w:tcBorders>
              <w:top w:color="cccccc" w:sz="1" w:val="single"/>
              <w:start w:color="cccccc" w:sz="1" w:val="single"/>
              <w:bottom w:color="cccccc" w:sz="1" w:val="single"/>
              <w:end w:color="cccccc" w:sz="1" w:val="single"/>
            </w:tcBorders>
            <w:shd w:val="clear" w:color="auto" w:fill="ebf5fb"/>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 xml:space="preserve">Yes
</w:t>
            </w:r>
          </w:p>
        </w:tc>
        <w:tc>
          <w:tcPr>
            <w:tcW w:w="1488" w:type="dxa"/>
            <w:tcBorders>
              <w:top w:color="cccccc" w:sz="1" w:val="single"/>
              <w:start w:color="cccccc" w:sz="1" w:val="single"/>
              <w:bottom w:color="cccccc" w:sz="1" w:val="single"/>
              <w:end w:color="cccccc" w:sz="1" w:val="single"/>
            </w:tcBorders>
            <w:shd w:val="clear" w:color="auto" w:fill="ebf5fb"/>
            <w:tcMar>
              <w:top w:w="75"/>
              <w:start w:w="75"/>
              <w:bottom w:w="75"/>
              <w:end w:w="75"/>
            </w:tcMar>
          </w:tcPr>
          <w:p>
            <w:pPr>
              <w:spacing w:after="120" w:before="120" w:line="336" w:lineRule="auto"/>
              <w:ind w:firstLine="0" w:start="0"/>
              <w:jc w:val="start"/>
            </w:pPr>
            <w:r>
              <w:rPr>
                <w:rFonts w:ascii="Arial" w:hAnsi="Arial" w:cs="Arial" w:eastAsia="Arial"/>
                <w:color w:val="1a1a1a"/>
                <w:sz w:val="20"/>
                <w:szCs w:val="20"/>
              </w:rPr>
              <w:t xml:space="preserve">PPT and Report Lead
</w:t>
            </w:r>
          </w:p>
        </w:tc>
      </w:tr>
    </w:tbl>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sectPr>
      <w:pgSz w:w="11910" w:h="16845"/>
    </w:sectPr>
  </w:body>
</w:document>
</file>

<file path=word/fontTable.xml><?xml version="1.0" encoding="utf-8"?>
<w:fonts xmlns:w="http://schemas.openxmlformats.org/wordprocessingml/2006/main" xmlns:r="http://schemas.openxmlformats.org/officeDocument/2006/relationships">
  <w:font w:name="Arimo Bold">
    <w:panose1 w:val="020B0704020202020204"/>
    <w:charset w:characterSet="1"/>
    <w:embedBold r:id="rId1"/>
  </w:font>
  <w:font w:name="Arimo Bold Italics">
    <w:panose1 w:val="020B0704020202090204"/>
    <w:charset w:characterSet="1"/>
    <w:embedBoldItalic r:id="rId2"/>
  </w:font>
  <w:font w:name="Arimo Italics">
    <w:panose1 w:val="020B0604020202090204"/>
    <w:charset w:characterSet="1"/>
    <w:embedItalic r:id="rId3"/>
  </w:font>
  <w:font w:name="Arimo">
    <w:panose1 w:val="020B0604020202020204"/>
    <w:charset w:characterSet="1"/>
    <w:embedRegular r:id="rId4"/>
  </w:font>
  <w:font w:name="Arial Bold">
    <w:panose1 w:val="020B0704020202020204"/>
    <w:charset w:characterSet="1"/>
  </w:font>
  <w:font w:name="Arial">
    <w:panose1 w:val="020B0604020202020204"/>
    <w:charset w:characterSet="1"/>
  </w:font>
  <w:font w:name="Arial Italics">
    <w:panose1 w:val="020B0604020202090204"/>
    <w:charset w:characterSet="1"/>
  </w:font>
  <w:font w:name="Canva Sans">
    <w:panose1 w:val="020B0503030501040103"/>
    <w:charset w:characterSet="1"/>
    <w:embedRegular r:id="rId8"/>
  </w:font>
</w:fonts>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embedTrueTypeFonts/>
  <w:doNotShadeFormData/>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fontTable.xml" Type="http://schemas.openxmlformats.org/officeDocument/2006/relationships/fontTable"/><Relationship Id="rId3" Target="numbering.xml" Type="http://schemas.openxmlformats.org/officeDocument/2006/relationships/numbering"/></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 Id="rId8" Target="fonts/font8.odttf" Type="http://schemas.openxmlformats.org/officeDocument/2006/relationships/fon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2026-02-18T13:42:32Z</dcterms:created>
  <dc:creator>Apache POI</dc:creator>
  <dc:title>Uncovering Revenue Drivers, Category Performance &amp; Discount Efficiency</dc:title>
</cp:coreProperties>
</file>