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600"/>
          <w:szCs w:val="16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5BBA" w:sz="24"/>
              <w:bottom w:val="none"/>
              <w:right w:val="none"/>
            </w:tcBorders>
            <w:shd w:fill="EEF3FB" w:val="clear"/>
            <w:tcMar>
              <w:top w:type="dxa" w:w="240"/>
              <w:left w:type="dxa" w:w="400"/>
              <w:bottom w:type="dxa" w:w="240"/>
              <w:right w:type="dxa" w:w="240"/>
            </w:tcMar>
          </w:tcPr>
          <w:p>
            <w:pPr>
              <w:spacing w:after="60" w:before="0"/>
            </w:pPr>
            <w:r>
              <w:rPr>
                <w:rFonts w:ascii="Arial" w:cs="Arial" w:eastAsia="Arial" w:hAnsi="Arial"/>
                <w:b/>
                <w:bCs/>
                <w:color w:val="1F3A8A"/>
                <w:sz w:val="52"/>
                <w:szCs w:val="52"/>
              </w:rPr>
              <w:t xml:space="preserve">Smart Expense &amp; Budget</w:t>
            </w:r>
          </w:p>
          <w:p>
            <w:pPr>
              <w:spacing w:after="160" w:before="0"/>
            </w:pPr>
            <w:r>
              <w:rPr>
                <w:rFonts w:ascii="Arial" w:cs="Arial" w:eastAsia="Arial" w:hAnsi="Arial"/>
                <w:b/>
                <w:bCs/>
                <w:color w:val="1F3A8A"/>
                <w:sz w:val="52"/>
                <w:szCs w:val="52"/>
              </w:rPr>
              <w:t xml:space="preserve">Management System</w:t>
            </w:r>
          </w:p>
          <w:p>
            <w:pPr>
              <w:spacing w:after="0" w:before="0"/>
            </w:pPr>
            <w:r>
              <w:rPr>
                <w:rFonts w:ascii="Arial" w:cs="Arial" w:eastAsia="Arial" w:hAnsi="Arial"/>
                <w:i/>
                <w:iCs/>
                <w:color w:val="2E5BBA"/>
                <w:sz w:val="28"/>
                <w:szCs w:val="28"/>
              </w:rPr>
              <w:t xml:space="preserve">System Design Documentation</w:t>
            </w:r>
          </w:p>
        </w:tc>
      </w:tr>
    </w:tbl>
    <w:p>
      <w:pPr>
        <w:spacing w:after="0" w:before="0"/>
      </w:pPr>
      <w:r>
        <w:rPr>
          <w:sz w:val="600"/>
          <w:szCs w:val="6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F0" w:sz="1"/>
              <w:left w:val="single" w:color="C8D8F0" w:sz="1"/>
              <w:bottom w:val="single" w:color="C8D8F0" w:sz="1"/>
              <w:right w:val="single" w:color="C8D8F0" w:sz="1"/>
            </w:tcBorders>
            <w:shd w:fill="D6E4FF" w:val="clear"/>
            <w:tcMar>
              <w:top w:type="dxa" w:w="80"/>
              <w:left w:type="dxa" w:w="160"/>
              <w:bottom w:type="dxa" w:w="80"/>
              <w:right w:type="dxa" w:w="160"/>
            </w:tcMar>
          </w:tcPr>
          <w:p>
            <w:r>
              <w:rPr>
                <w:rFonts w:ascii="Arial" w:cs="Arial" w:eastAsia="Arial" w:hAnsi="Arial"/>
                <w:b/>
                <w:bCs/>
                <w:color w:val="1F3A8A"/>
                <w:sz w:val="20"/>
                <w:szCs w:val="20"/>
              </w:rPr>
              <w:t xml:space="preserve">Course</w:t>
            </w:r>
          </w:p>
        </w:tc>
        <w:tc>
          <w:tcPr>
            <w:tcW w:type="dxa" w:w="6560"/>
            <w:tcBorders>
              <w:top w:val="single" w:color="C8D8F0" w:sz="1"/>
              <w:left w:val="single" w:color="C8D8F0" w:sz="1"/>
              <w:bottom w:val="single" w:color="C8D8F0" w:sz="1"/>
              <w:right w:val="single" w:color="C8D8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Software Engineering / Computer Science</w:t>
            </w:r>
          </w:p>
        </w:tc>
      </w:tr>
      <w:tr>
        <w:tc>
          <w:tcPr>
            <w:tcW w:type="dxa" w:w="2800"/>
            <w:tcBorders>
              <w:top w:val="single" w:color="C8D8F0" w:sz="1"/>
              <w:left w:val="single" w:color="C8D8F0" w:sz="1"/>
              <w:bottom w:val="single" w:color="C8D8F0" w:sz="1"/>
              <w:right w:val="single" w:color="C8D8F0" w:sz="1"/>
            </w:tcBorders>
            <w:shd w:fill="D6E4FF" w:val="clear"/>
            <w:tcMar>
              <w:top w:type="dxa" w:w="80"/>
              <w:left w:type="dxa" w:w="160"/>
              <w:bottom w:type="dxa" w:w="80"/>
              <w:right w:type="dxa" w:w="160"/>
            </w:tcMar>
          </w:tcPr>
          <w:p>
            <w:r>
              <w:rPr>
                <w:rFonts w:ascii="Arial" w:cs="Arial" w:eastAsia="Arial" w:hAnsi="Arial"/>
                <w:b/>
                <w:bCs/>
                <w:color w:val="1F3A8A"/>
                <w:sz w:val="20"/>
                <w:szCs w:val="20"/>
              </w:rPr>
              <w:t xml:space="preserve">Document Type</w:t>
            </w:r>
          </w:p>
        </w:tc>
        <w:tc>
          <w:tcPr>
            <w:tcW w:type="dxa" w:w="6560"/>
            <w:tcBorders>
              <w:top w:val="single" w:color="C8D8F0" w:sz="1"/>
              <w:left w:val="single" w:color="C8D8F0" w:sz="1"/>
              <w:bottom w:val="single" w:color="C8D8F0" w:sz="1"/>
              <w:right w:val="single" w:color="C8D8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System Design &amp; Architecture Report</w:t>
            </w:r>
          </w:p>
        </w:tc>
      </w:tr>
      <w:tr>
        <w:tc>
          <w:tcPr>
            <w:tcW w:type="dxa" w:w="2800"/>
            <w:tcBorders>
              <w:top w:val="single" w:color="C8D8F0" w:sz="1"/>
              <w:left w:val="single" w:color="C8D8F0" w:sz="1"/>
              <w:bottom w:val="single" w:color="C8D8F0" w:sz="1"/>
              <w:right w:val="single" w:color="C8D8F0" w:sz="1"/>
            </w:tcBorders>
            <w:shd w:fill="D6E4FF" w:val="clear"/>
            <w:tcMar>
              <w:top w:type="dxa" w:w="80"/>
              <w:left w:type="dxa" w:w="160"/>
              <w:bottom w:type="dxa" w:w="80"/>
              <w:right w:type="dxa" w:w="160"/>
            </w:tcMar>
          </w:tcPr>
          <w:p>
            <w:r>
              <w:rPr>
                <w:rFonts w:ascii="Arial" w:cs="Arial" w:eastAsia="Arial" w:hAnsi="Arial"/>
                <w:b/>
                <w:bCs/>
                <w:color w:val="1F3A8A"/>
                <w:sz w:val="20"/>
                <w:szCs w:val="20"/>
              </w:rPr>
              <w:t xml:space="preserve">Academic Year</w:t>
            </w:r>
          </w:p>
        </w:tc>
        <w:tc>
          <w:tcPr>
            <w:tcW w:type="dxa" w:w="6560"/>
            <w:tcBorders>
              <w:top w:val="single" w:color="C8D8F0" w:sz="1"/>
              <w:left w:val="single" w:color="C8D8F0" w:sz="1"/>
              <w:bottom w:val="single" w:color="C8D8F0" w:sz="1"/>
              <w:right w:val="single" w:color="C8D8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2024 – 2025</w:t>
            </w:r>
          </w:p>
        </w:tc>
      </w:tr>
      <w:tr>
        <w:tc>
          <w:tcPr>
            <w:tcW w:type="dxa" w:w="2800"/>
            <w:tcBorders>
              <w:top w:val="single" w:color="C8D8F0" w:sz="1"/>
              <w:left w:val="single" w:color="C8D8F0" w:sz="1"/>
              <w:bottom w:val="single" w:color="C8D8F0" w:sz="1"/>
              <w:right w:val="single" w:color="C8D8F0" w:sz="1"/>
            </w:tcBorders>
            <w:shd w:fill="D6E4FF" w:val="clear"/>
            <w:tcMar>
              <w:top w:type="dxa" w:w="80"/>
              <w:left w:type="dxa" w:w="160"/>
              <w:bottom w:type="dxa" w:w="80"/>
              <w:right w:type="dxa" w:w="160"/>
            </w:tcMar>
          </w:tcPr>
          <w:p>
            <w:r>
              <w:rPr>
                <w:rFonts w:ascii="Arial" w:cs="Arial" w:eastAsia="Arial" w:hAnsi="Arial"/>
                <w:b/>
                <w:bCs/>
                <w:color w:val="1F3A8A"/>
                <w:sz w:val="20"/>
                <w:szCs w:val="20"/>
              </w:rPr>
              <w:t xml:space="preserve">Version</w:t>
            </w:r>
          </w:p>
        </w:tc>
        <w:tc>
          <w:tcPr>
            <w:tcW w:type="dxa" w:w="6560"/>
            <w:tcBorders>
              <w:top w:val="single" w:color="C8D8F0" w:sz="1"/>
              <w:left w:val="single" w:color="C8D8F0" w:sz="1"/>
              <w:bottom w:val="single" w:color="C8D8F0" w:sz="1"/>
              <w:right w:val="single" w:color="C8D8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1.0 — Final Submission</w:t>
            </w:r>
          </w:p>
        </w:tc>
      </w:tr>
    </w:tbl>
    <w:p>
      <w:pPr>
        <w:spacing w:after="0" w:before="0"/>
      </w:pPr>
      <w:r>
        <w:rPr>
          <w:sz w:val="600"/>
          <w:szCs w:val="600"/>
        </w:rPr>
        <w:t xml:space="preserve"/>
      </w:r>
    </w:p>
    <w:p>
      <w:pPr>
        <w:pBdr>
          <w:bottom w:val="single" w:color="2E5BBA" w:sz="4" w:space="4"/>
        </w:pBdr>
        <w:spacing w:after="160" w:before="0"/>
      </w:pPr>
      <w:r>
        <w:rPr>
          <w:rFonts w:ascii="Arial" w:cs="Arial" w:eastAsia="Arial" w:hAnsi="Arial"/>
          <w:b/>
          <w:bCs/>
          <w:color w:val="1F3A8A"/>
          <w:sz w:val="24"/>
          <w:szCs w:val="24"/>
        </w:rPr>
        <w:t xml:space="preserve">Project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0"/>
              <w:bottom w:type="dxa" w:w="80"/>
              <w:right w:type="dxa" w:w="0"/>
            </w:tcMar>
          </w:tcPr>
          <w:p>
            <w:pPr>
              <w:spacing w:after="20"/>
            </w:pPr>
            <w:r>
              <w:rPr>
                <w:rFonts w:ascii="Arial" w:cs="Arial" w:eastAsia="Arial" w:hAnsi="Arial"/>
                <w:b/>
                <w:bCs/>
                <w:color w:val="1A1A2E"/>
                <w:sz w:val="22"/>
                <w:szCs w:val="22"/>
              </w:rPr>
              <w:t xml:space="preserve">Sanath Waraikar</w:t>
            </w:r>
          </w:p>
          <w:p>
            <w:pPr>
              <w:spacing w:after="120"/>
            </w:pPr>
            <w:r>
              <w:rPr>
                <w:rFonts w:ascii="Arial" w:cs="Arial" w:eastAsia="Arial" w:hAnsi="Arial"/>
                <w:color w:val="5A6A8A"/>
                <w:sz w:val="20"/>
                <w:szCs w:val="20"/>
              </w:rPr>
              <w:t xml:space="preserve">Enrollment: 2401010413</w:t>
            </w:r>
          </w:p>
          <w:p>
            <w:pPr>
              <w:spacing w:after="20"/>
            </w:pPr>
            <w:r>
              <w:rPr>
                <w:rFonts w:ascii="Arial" w:cs="Arial" w:eastAsia="Arial" w:hAnsi="Arial"/>
                <w:b/>
                <w:bCs/>
                <w:color w:val="1A1A2E"/>
                <w:sz w:val="22"/>
                <w:szCs w:val="22"/>
              </w:rPr>
              <w:t xml:space="preserve">Archit Mamodiya</w:t>
            </w:r>
          </w:p>
          <w:p>
            <w:pPr>
              <w:spacing w:after="120"/>
            </w:pPr>
            <w:r>
              <w:rPr>
                <w:rFonts w:ascii="Arial" w:cs="Arial" w:eastAsia="Arial" w:hAnsi="Arial"/>
                <w:color w:val="5A6A8A"/>
                <w:sz w:val="20"/>
                <w:szCs w:val="20"/>
              </w:rPr>
              <w:t xml:space="preserve">Enrollment: 2401010095</w:t>
            </w:r>
          </w:p>
          <w:p>
            <w:pPr>
              <w:spacing w:after="20"/>
            </w:pPr>
            <w:r>
              <w:rPr>
                <w:rFonts w:ascii="Arial" w:cs="Arial" w:eastAsia="Arial" w:hAnsi="Arial"/>
                <w:b/>
                <w:bCs/>
                <w:color w:val="1A1A2E"/>
                <w:sz w:val="22"/>
                <w:szCs w:val="22"/>
              </w:rPr>
              <w:t xml:space="preserve">Vansh Jain</w:t>
            </w:r>
          </w:p>
          <w:p>
            <w:pPr>
              <w:spacing w:after="0"/>
            </w:pPr>
            <w:r>
              <w:rPr>
                <w:rFonts w:ascii="Arial" w:cs="Arial" w:eastAsia="Arial" w:hAnsi="Arial"/>
                <w:color w:val="5A6A8A"/>
                <w:sz w:val="20"/>
                <w:szCs w:val="20"/>
              </w:rPr>
              <w:t xml:space="preserve">Enrollment: 2401010492</w:t>
            </w:r>
          </w:p>
        </w:tc>
        <w:tc>
          <w:tcPr>
            <w:tcW w:type="dxa" w:w="4680"/>
            <w:tcBorders>
              <w:top w:val="none"/>
              <w:left w:val="none"/>
              <w:bottom w:val="none"/>
              <w:right w:val="none"/>
            </w:tcBorders>
            <w:tcMar>
              <w:top w:type="dxa" w:w="80"/>
              <w:left w:type="dxa" w:w="0"/>
              <w:bottom w:type="dxa" w:w="80"/>
              <w:right w:type="dxa" w:w="0"/>
            </w:tcMar>
          </w:tcPr>
          <w:p>
            <w:pPr>
              <w:spacing w:after="20"/>
            </w:pPr>
            <w:r>
              <w:rPr>
                <w:rFonts w:ascii="Arial" w:cs="Arial" w:eastAsia="Arial" w:hAnsi="Arial"/>
                <w:b/>
                <w:bCs/>
                <w:color w:val="1A1A2E"/>
                <w:sz w:val="22"/>
                <w:szCs w:val="22"/>
              </w:rPr>
              <w:t xml:space="preserve">Sushant Yadav</w:t>
            </w:r>
          </w:p>
          <w:p>
            <w:pPr>
              <w:spacing w:after="120"/>
            </w:pPr>
            <w:r>
              <w:rPr>
                <w:rFonts w:ascii="Arial" w:cs="Arial" w:eastAsia="Arial" w:hAnsi="Arial"/>
                <w:color w:val="5A6A8A"/>
                <w:sz w:val="20"/>
                <w:szCs w:val="20"/>
              </w:rPr>
              <w:t xml:space="preserve">Enrollment: 2401010469</w:t>
            </w:r>
          </w:p>
          <w:p>
            <w:pPr>
              <w:spacing w:after="20"/>
            </w:pPr>
            <w:r>
              <w:rPr>
                <w:rFonts w:ascii="Arial" w:cs="Arial" w:eastAsia="Arial" w:hAnsi="Arial"/>
                <w:b/>
                <w:bCs/>
                <w:color w:val="1A1A2E"/>
                <w:sz w:val="22"/>
                <w:szCs w:val="22"/>
              </w:rPr>
              <w:t xml:space="preserve">Aryan Bhargava</w:t>
            </w:r>
          </w:p>
          <w:p>
            <w:pPr>
              <w:spacing w:after="0"/>
            </w:pPr>
            <w:r>
              <w:rPr>
                <w:rFonts w:ascii="Arial" w:cs="Arial" w:eastAsia="Arial" w:hAnsi="Arial"/>
                <w:color w:val="5A6A8A"/>
                <w:sz w:val="20"/>
                <w:szCs w:val="20"/>
              </w:rPr>
              <w:t xml:space="preserve">Enrollment: 2401010100</w:t>
            </w:r>
          </w:p>
        </w:tc>
      </w:tr>
    </w:tbl>
    <w:p>
      <w:pPr>
        <w:spacing w:after="0" w:before="0"/>
      </w:pPr>
      <w:r>
        <w:br w:type="page"/>
      </w:r>
    </w:p>
    <w:p>
      <w:pPr>
        <w:pStyle w:val="Heading1"/>
        <w:pBdr>
          <w:bottom w:val="single" w:color="2E5BBA" w:sz="6" w:space="4"/>
        </w:pBdr>
        <w:spacing w:after="160" w:before="360"/>
      </w:pPr>
      <w:r>
        <w:rPr>
          <w:rFonts w:ascii="Arial" w:cs="Arial" w:eastAsia="Arial" w:hAnsi="Arial"/>
          <w:b/>
          <w:bCs/>
          <w:color w:val="1F3A8A"/>
          <w:sz w:val="30"/>
          <w:szCs w:val="30"/>
        </w:rPr>
        <w:t xml:space="preserve">Abstract</w:t>
      </w:r>
    </w:p>
    <w:p>
      <w:pPr>
        <w:spacing w:after="100" w:before="80"/>
        <w:jc w:val="both"/>
      </w:pPr>
      <w:r>
        <w:rPr>
          <w:rFonts w:ascii="Arial" w:cs="Arial" w:eastAsia="Arial" w:hAnsi="Arial"/>
          <w:color w:val="2D3748"/>
          <w:sz w:val="22"/>
          <w:szCs w:val="22"/>
        </w:rPr>
        <w:t xml:space="preserve">The Smart Expense &amp; Budget Management System is a full-stack personal finance application engineered to give individuals comprehensive, real-time visibility into their spending behavior and budget utilization. Built on a TypeScript-first PNPM monorepo, the system integrates a React 19 single-page application with a Node.js/Express REST API backed by a PostgreSQL relational database, orchestrated via Drizzle ORM.</w:t>
      </w:r>
    </w:p>
    <w:p>
      <w:pPr>
        <w:spacing w:after="100" w:before="80"/>
        <w:jc w:val="both"/>
      </w:pPr>
      <w:r>
        <w:rPr>
          <w:rFonts w:ascii="Arial" w:cs="Arial" w:eastAsia="Arial" w:hAnsi="Arial"/>
          <w:color w:val="2D3748"/>
          <w:sz w:val="22"/>
          <w:szCs w:val="22"/>
        </w:rPr>
        <w:t xml:space="preserve">The platform enables users to track expenses at a granular level, define period-based budget constraints, and receive proactive alerts when spending approaches predefined thresholds. A contract-driven development model using OpenAPI 3.1 and auto-generated React Query client hooks ensures strict end-to-end type safety across all application tiers. The architecture is stateless, horizontally scalable, and extensible — designed not only to solve the immediate problem of financial fragmentation but to serve as a robust foundation for future integrations such as real-time banking feeds, two-factor authentication, and background job processing.</w:t>
      </w:r>
    </w:p>
    <w:p>
      <w:pPr>
        <w:spacing w:after="0" w:before="0"/>
      </w:pPr>
      <w:r>
        <w:br w:type="page"/>
      </w:r>
    </w:p>
    <w:p>
      <w:pPr>
        <w:pStyle w:val="Heading1"/>
        <w:pBdr>
          <w:bottom w:val="single" w:color="2E5BBA" w:sz="6" w:space="4"/>
        </w:pBdr>
        <w:spacing w:after="160" w:before="360"/>
      </w:pPr>
      <w:r>
        <w:rPr>
          <w:rFonts w:ascii="Arial" w:cs="Arial" w:eastAsia="Arial" w:hAnsi="Arial"/>
          <w:b/>
          <w:bCs/>
          <w:color w:val="1F3A8A"/>
          <w:sz w:val="30"/>
          <w:szCs w:val="30"/>
        </w:rPr>
        <w:t xml:space="preserve">1. Introduction</w:t>
      </w:r>
    </w:p>
    <w:p>
      <w:pPr>
        <w:pStyle w:val="Heading2"/>
        <w:spacing w:after="120" w:before="280"/>
      </w:pPr>
      <w:r>
        <w:rPr>
          <w:rFonts w:ascii="Arial" w:cs="Arial" w:eastAsia="Arial" w:hAnsi="Arial"/>
          <w:b/>
          <w:bCs/>
          <w:color w:val="1A1A2E"/>
          <w:sz w:val="26"/>
          <w:szCs w:val="26"/>
        </w:rPr>
        <w:t xml:space="preserve">1.1  Problem Statement</w:t>
      </w:r>
    </w:p>
    <w:p>
      <w:pPr>
        <w:spacing w:after="100" w:before="80"/>
        <w:jc w:val="both"/>
      </w:pPr>
      <w:r>
        <w:rPr>
          <w:rFonts w:ascii="Arial" w:cs="Arial" w:eastAsia="Arial" w:hAnsi="Arial"/>
          <w:color w:val="2D3748"/>
          <w:sz w:val="22"/>
          <w:szCs w:val="22"/>
        </w:rPr>
        <w:t xml:space="preserve">Modern individuals manage financial activity across multiple streams — salaries, freelance income, recurring subscriptions, utility bills, and discretionary spending — yet most lack a single, structured mechanism to monitor aggregate financial health. The absence of real-time visibility into categorical spending causes budget overruns, poor financial planning, and an inability to identify and correct impulsive expenditure patterns before they compound.</w:t>
      </w:r>
    </w:p>
    <w:p>
      <w:pPr>
        <w:spacing w:after="100" w:before="80"/>
        <w:jc w:val="both"/>
      </w:pPr>
      <w:r>
        <w:rPr>
          <w:rFonts w:ascii="Arial" w:cs="Arial" w:eastAsia="Arial" w:hAnsi="Arial"/>
          <w:color w:val="2D3748"/>
          <w:sz w:val="22"/>
          <w:szCs w:val="22"/>
        </w:rPr>
        <w:t xml:space="preserve">Commercial banking applications offer rudimentary transaction histories but fall short on budgeting analytics, custom categorization, and threshold-based alerting. This gap is especially acute for freelancers and small households operating on strict monthly budgets who require precision tooling without surrendering control of their data to opaque third-party platforms.</w:t>
      </w:r>
    </w:p>
    <w:p>
      <w:pPr>
        <w:spacing w:after="0" w:before="0"/>
      </w:pPr>
      <w:r>
        <w:rPr>
          <w:sz w:val="80"/>
          <w:szCs w:val="80"/>
        </w:rPr>
        <w:t xml:space="preserve"/>
      </w:r>
    </w:p>
    <w:p>
      <w:pPr>
        <w:pStyle w:val="Heading2"/>
        <w:spacing w:after="120" w:before="280"/>
      </w:pPr>
      <w:r>
        <w:rPr>
          <w:rFonts w:ascii="Arial" w:cs="Arial" w:eastAsia="Arial" w:hAnsi="Arial"/>
          <w:b/>
          <w:bCs/>
          <w:color w:val="1A1A2E"/>
          <w:sz w:val="26"/>
          <w:szCs w:val="26"/>
        </w:rPr>
        <w:t xml:space="preserve">1.2  Project Objectives</w:t>
      </w:r>
    </w:p>
    <w:p>
      <w:pPr>
        <w:spacing w:after="100" w:before="80"/>
        <w:jc w:val="both"/>
      </w:pPr>
      <w:r>
        <w:rPr>
          <w:rFonts w:ascii="Arial" w:cs="Arial" w:eastAsia="Arial" w:hAnsi="Arial"/>
          <w:color w:val="2D3748"/>
          <w:sz w:val="22"/>
          <w:szCs w:val="22"/>
        </w:rPr>
        <w:t xml:space="preserve">This system was designed and built with the following engineering objectives:</w:t>
      </w:r>
    </w:p>
    <w:p>
      <w:pPr>
        <w:pStyle w:val="ListParagraph"/>
        <w:numPr>
          <w:ilvl w:val="0"/>
          <w:numId w:val="2"/>
        </w:numPr>
        <w:spacing w:after="60" w:before="60"/>
      </w:pPr>
      <w:r>
        <w:rPr>
          <w:rFonts w:ascii="Arial" w:cs="Arial" w:eastAsia="Arial" w:hAnsi="Arial"/>
          <w:color w:val="2D3748"/>
          <w:sz w:val="22"/>
          <w:szCs w:val="22"/>
        </w:rPr>
        <w:t xml:space="preserve">Provide a unified, data-driven dashboard for tracking income, expenses, and budget utilization in real time.</w:t>
      </w:r>
    </w:p>
    <w:p>
      <w:pPr>
        <w:pStyle w:val="ListParagraph"/>
        <w:numPr>
          <w:ilvl w:val="0"/>
          <w:numId w:val="2"/>
        </w:numPr>
        <w:spacing w:after="60" w:before="60"/>
      </w:pPr>
      <w:r>
        <w:rPr>
          <w:rFonts w:ascii="Arial" w:cs="Arial" w:eastAsia="Arial" w:hAnsi="Arial"/>
          <w:color w:val="2D3748"/>
          <w:sz w:val="22"/>
          <w:szCs w:val="22"/>
        </w:rPr>
        <w:t xml:space="preserve">Enforce strict categorical accountability through customizable spending categories with configurable budget limits.</w:t>
      </w:r>
    </w:p>
    <w:p>
      <w:pPr>
        <w:pStyle w:val="ListParagraph"/>
        <w:numPr>
          <w:ilvl w:val="0"/>
          <w:numId w:val="2"/>
        </w:numPr>
        <w:spacing w:after="60" w:before="60"/>
      </w:pPr>
      <w:r>
        <w:rPr>
          <w:rFonts w:ascii="Arial" w:cs="Arial" w:eastAsia="Arial" w:hAnsi="Arial"/>
          <w:color w:val="2D3748"/>
          <w:sz w:val="22"/>
          <w:szCs w:val="22"/>
        </w:rPr>
        <w:t xml:space="preserve">Deliver proactive, event-driven notifications when users approach or breach budget thresholds.</w:t>
      </w:r>
    </w:p>
    <w:p>
      <w:pPr>
        <w:pStyle w:val="ListParagraph"/>
        <w:numPr>
          <w:ilvl w:val="0"/>
          <w:numId w:val="2"/>
        </w:numPr>
        <w:spacing w:after="60" w:before="60"/>
      </w:pPr>
      <w:r>
        <w:rPr>
          <w:rFonts w:ascii="Arial" w:cs="Arial" w:eastAsia="Arial" w:hAnsi="Arial"/>
          <w:color w:val="2D3748"/>
          <w:sz w:val="22"/>
          <w:szCs w:val="22"/>
        </w:rPr>
        <w:t xml:space="preserve">Guarantee end-to-end type safety across the full technology stack through contract-driven API development.</w:t>
      </w:r>
    </w:p>
    <w:p>
      <w:pPr>
        <w:pStyle w:val="ListParagraph"/>
        <w:numPr>
          <w:ilvl w:val="0"/>
          <w:numId w:val="2"/>
        </w:numPr>
        <w:spacing w:after="60" w:before="60"/>
      </w:pPr>
      <w:r>
        <w:rPr>
          <w:rFonts w:ascii="Arial" w:cs="Arial" w:eastAsia="Arial" w:hAnsi="Arial"/>
          <w:color w:val="2D3748"/>
          <w:sz w:val="22"/>
          <w:szCs w:val="22"/>
        </w:rPr>
        <w:t xml:space="preserve">Establish a scalable, maintainable codebase structured for long-term feature velocity using a monorepo architecture.</w:t>
      </w:r>
    </w:p>
    <w:p>
      <w:pPr>
        <w:spacing w:after="0" w:before="0"/>
      </w:pPr>
      <w:r>
        <w:rPr>
          <w:sz w:val="80"/>
          <w:szCs w:val="80"/>
        </w:rPr>
        <w:t xml:space="preserve"/>
      </w:r>
    </w:p>
    <w:p>
      <w:pPr>
        <w:pStyle w:val="Heading2"/>
        <w:spacing w:after="120" w:before="280"/>
      </w:pPr>
      <w:r>
        <w:rPr>
          <w:rFonts w:ascii="Arial" w:cs="Arial" w:eastAsia="Arial" w:hAnsi="Arial"/>
          <w:b/>
          <w:bCs/>
          <w:color w:val="1A1A2E"/>
          <w:sz w:val="26"/>
          <w:szCs w:val="26"/>
        </w:rPr>
        <w:t xml:space="preserve">1.3  Significance of the System</w:t>
      </w:r>
    </w:p>
    <w:p>
      <w:pPr>
        <w:spacing w:after="100" w:before="80"/>
        <w:jc w:val="both"/>
      </w:pPr>
      <w:r>
        <w:rPr>
          <w:rFonts w:ascii="Arial" w:cs="Arial" w:eastAsia="Arial" w:hAnsi="Arial"/>
          <w:color w:val="2D3748"/>
          <w:sz w:val="22"/>
          <w:szCs w:val="22"/>
        </w:rPr>
        <w:t xml:space="preserve">What distinguishes this system from generic expense-tracking tools is its architectural rigor. Rather than treating the web UI and backend as loosely coupled services, the project enforces shared type contracts at the schema level. A change in the database schema propagates immediately as a TypeScript compilation failure in the frontend, eliminating an entire class of runtime integration bugs. This discipline, combined with a clean separation of concerns across monorepo packages, makes the system both a functional product and a reference implementation of modern full-stack engineering best practices.</w:t>
      </w:r>
    </w:p>
    <w:p>
      <w:pPr>
        <w:spacing w:after="0" w:before="0"/>
      </w:pPr>
      <w:r>
        <w:br w:type="page"/>
      </w:r>
    </w:p>
    <w:p>
      <w:pPr>
        <w:pStyle w:val="Heading1"/>
        <w:pBdr>
          <w:bottom w:val="single" w:color="2E5BBA" w:sz="6" w:space="4"/>
        </w:pBdr>
        <w:spacing w:after="160" w:before="360"/>
      </w:pPr>
      <w:r>
        <w:rPr>
          <w:rFonts w:ascii="Arial" w:cs="Arial" w:eastAsia="Arial" w:hAnsi="Arial"/>
          <w:b/>
          <w:bCs/>
          <w:color w:val="1F3A8A"/>
          <w:sz w:val="30"/>
          <w:szCs w:val="30"/>
        </w:rPr>
        <w:t xml:space="preserve">2. Project Overview</w:t>
      </w:r>
    </w:p>
    <w:p>
      <w:pPr>
        <w:pStyle w:val="Heading2"/>
        <w:spacing w:after="120" w:before="280"/>
      </w:pPr>
      <w:r>
        <w:rPr>
          <w:rFonts w:ascii="Arial" w:cs="Arial" w:eastAsia="Arial" w:hAnsi="Arial"/>
          <w:b/>
          <w:bCs/>
          <w:color w:val="1A1A2E"/>
          <w:sz w:val="26"/>
          <w:szCs w:val="26"/>
        </w:rPr>
        <w:t xml:space="preserve">2.1  What the System Does</w:t>
      </w:r>
    </w:p>
    <w:p>
      <w:pPr>
        <w:spacing w:after="100" w:before="80"/>
        <w:jc w:val="both"/>
      </w:pPr>
      <w:r>
        <w:rPr>
          <w:rFonts w:ascii="Arial" w:cs="Arial" w:eastAsia="Arial" w:hAnsi="Arial"/>
          <w:color w:val="2D3748"/>
          <w:sz w:val="22"/>
          <w:szCs w:val="22"/>
        </w:rPr>
        <w:t xml:space="preserve">The Smart Expense &amp; Budget Management System provides users with a complete lifecycle for personal finance management. Users authenticate securely, onboard their spending categories and budget limits, and log individual expenses against those constructs. The system aggregates this data in real time to surface a live financial health dashboard — displaying monthly expenditure, category-level breakdowns, trailing six-month trend visualizations, and budget utilization percentages. Automated report generation compiles monthly and yearly summaries, while a notification engine alerts users contextually as budget thresholds are crossed.</w:t>
      </w:r>
    </w:p>
    <w:p>
      <w:pPr>
        <w:spacing w:after="0" w:before="0"/>
      </w:pPr>
      <w:r>
        <w:rPr>
          <w:sz w:val="80"/>
          <w:szCs w:val="80"/>
        </w:rPr>
        <w:t xml:space="preserve"/>
      </w:r>
    </w:p>
    <w:p>
      <w:pPr>
        <w:pStyle w:val="Heading2"/>
        <w:spacing w:after="120" w:before="280"/>
      </w:pPr>
      <w:r>
        <w:rPr>
          <w:rFonts w:ascii="Arial" w:cs="Arial" w:eastAsia="Arial" w:hAnsi="Arial"/>
          <w:b/>
          <w:bCs/>
          <w:color w:val="1A1A2E"/>
          <w:sz w:val="26"/>
          <w:szCs w:val="26"/>
        </w:rPr>
        <w:t xml:space="preserve">2.2  Target Users</w:t>
      </w:r>
    </w:p>
    <w:p>
      <w:pPr>
        <w:spacing w:after="100" w:before="80"/>
        <w:jc w:val="both"/>
      </w:pPr>
      <w:r>
        <w:rPr>
          <w:rFonts w:ascii="Arial" w:cs="Arial" w:eastAsia="Arial" w:hAnsi="Arial"/>
          <w:color w:val="2D3748"/>
          <w:sz w:val="22"/>
          <w:szCs w:val="22"/>
        </w:rPr>
        <w:t xml:space="preserve">The primary audience encompasses three user segments:</w:t>
      </w:r>
    </w:p>
    <w:p>
      <w:pPr>
        <w:pStyle w:val="ListParagraph"/>
        <w:numPr>
          <w:ilvl w:val="0"/>
          <w:numId w:val="2"/>
        </w:numPr>
        <w:spacing w:after="60" w:before="60"/>
      </w:pPr>
      <w:r>
        <w:rPr>
          <w:rFonts w:ascii="Arial" w:cs="Arial" w:eastAsia="Arial" w:hAnsi="Arial"/>
          <w:color w:val="2D3748"/>
          <w:sz w:val="22"/>
          <w:szCs w:val="22"/>
        </w:rPr>
        <w:t xml:space="preserve">Salaried individuals seeking disciplined control over monthly discretionary spending.</w:t>
      </w:r>
    </w:p>
    <w:p>
      <w:pPr>
        <w:pStyle w:val="ListParagraph"/>
        <w:numPr>
          <w:ilvl w:val="0"/>
          <w:numId w:val="2"/>
        </w:numPr>
        <w:spacing w:after="60" w:before="60"/>
      </w:pPr>
      <w:r>
        <w:rPr>
          <w:rFonts w:ascii="Arial" w:cs="Arial" w:eastAsia="Arial" w:hAnsi="Arial"/>
          <w:color w:val="2D3748"/>
          <w:sz w:val="22"/>
          <w:szCs w:val="22"/>
        </w:rPr>
        <w:t xml:space="preserve">Freelancers and contract workers who operate on variable income and require granular budget segmentation across billing cycles.</w:t>
      </w:r>
    </w:p>
    <w:p>
      <w:pPr>
        <w:pStyle w:val="ListParagraph"/>
        <w:numPr>
          <w:ilvl w:val="0"/>
          <w:numId w:val="2"/>
        </w:numPr>
        <w:spacing w:after="60" w:before="60"/>
      </w:pPr>
      <w:r>
        <w:rPr>
          <w:rFonts w:ascii="Arial" w:cs="Arial" w:eastAsia="Arial" w:hAnsi="Arial"/>
          <w:color w:val="2D3748"/>
          <w:sz w:val="22"/>
          <w:szCs w:val="22"/>
        </w:rPr>
        <w:t xml:space="preserve">Privacy-conscious users who prefer a locally deployable, self-managed financial system over cloud-dependent commercial applications.</w:t>
      </w:r>
    </w:p>
    <w:p>
      <w:pPr>
        <w:spacing w:after="0" w:before="0"/>
      </w:pPr>
      <w:r>
        <w:rPr>
          <w:sz w:val="80"/>
          <w:szCs w:val="80"/>
        </w:rPr>
        <w:t xml:space="preserve"/>
      </w:r>
    </w:p>
    <w:p>
      <w:pPr>
        <w:pStyle w:val="Heading2"/>
        <w:spacing w:after="120" w:before="280"/>
      </w:pPr>
      <w:r>
        <w:rPr>
          <w:rFonts w:ascii="Arial" w:cs="Arial" w:eastAsia="Arial" w:hAnsi="Arial"/>
          <w:b/>
          <w:bCs/>
          <w:color w:val="1A1A2E"/>
          <w:sz w:val="26"/>
          <w:szCs w:val="26"/>
        </w:rPr>
        <w:t xml:space="preserve">2.3  Core Feature Set</w:t>
      </w:r>
    </w:p>
    <w:p>
      <w:pPr>
        <w:spacing w:after="100" w:before="80"/>
        <w:jc w:val="both"/>
      </w:pPr>
      <w:r>
        <w:rPr>
          <w:rFonts w:ascii="Arial" w:cs="Arial" w:eastAsia="Arial" w:hAnsi="Arial"/>
          <w:color w:val="2D3748"/>
          <w:sz w:val="22"/>
          <w:szCs w:val="22"/>
        </w:rPr>
        <w:t xml:space="preserve">The following features constitute the functional scope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5BBA" w:sz="1"/>
              <w:left w:val="single" w:color="2E5BBA" w:sz="1"/>
              <w:bottom w:val="single" w:color="2E5BBA" w:sz="1"/>
              <w:right w:val="single" w:color="2E5BBA" w:sz="1"/>
            </w:tcBorders>
            <w:shd w:fill="1F3A8A"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960"/>
            <w:tcBorders>
              <w:top w:val="single" w:color="2E5BBA" w:sz="1"/>
              <w:left w:val="single" w:color="2E5BBA" w:sz="1"/>
              <w:bottom w:val="single" w:color="2E5BBA" w:sz="1"/>
              <w:right w:val="single" w:color="2E5BBA" w:sz="1"/>
            </w:tcBorders>
            <w:shd w:fill="1F3A8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400"/>
            <w:tcBorders>
              <w:top w:val="single" w:color="C8D8F0" w:sz="1"/>
              <w:left w:val="single" w:color="C8D8F0" w:sz="1"/>
              <w:bottom w:val="single" w:color="C8D8F0" w:sz="1"/>
              <w:right w:val="single" w:color="C8D8F0" w:sz="1"/>
            </w:tcBorders>
            <w:shd w:fill="F4F6FB" w:val="clear"/>
            <w:tcMar>
              <w:top w:type="dxa" w:w="80"/>
              <w:left w:type="dxa" w:w="160"/>
              <w:bottom w:type="dxa" w:w="80"/>
              <w:right w:type="dxa" w:w="160"/>
            </w:tcMar>
          </w:tcPr>
          <w:p>
            <w:r>
              <w:rPr>
                <w:rFonts w:ascii="Arial" w:cs="Arial" w:eastAsia="Arial" w:hAnsi="Arial"/>
                <w:b/>
                <w:bCs/>
                <w:color w:val="1F3A8A"/>
                <w:sz w:val="20"/>
                <w:szCs w:val="20"/>
              </w:rPr>
              <w:t xml:space="preserve">Secure Authentication</w:t>
            </w:r>
          </w:p>
        </w:tc>
        <w:tc>
          <w:tcPr>
            <w:tcW w:type="dxa" w:w="6960"/>
            <w:tcBorders>
              <w:top w:val="single" w:color="C8D8F0" w:sz="1"/>
              <w:left w:val="single" w:color="C8D8F0" w:sz="1"/>
              <w:bottom w:val="single" w:color="C8D8F0" w:sz="1"/>
              <w:right w:val="single" w:color="C8D8F0" w:sz="1"/>
            </w:tcBorders>
            <w:shd w:fill="F4F6FB" w:val="clear"/>
            <w:tcMar>
              <w:top w:type="dxa" w:w="80"/>
              <w:left w:type="dxa" w:w="160"/>
              <w:bottom w:type="dxa" w:w="80"/>
              <w:right w:type="dxa" w:w="160"/>
            </w:tcMar>
          </w:tcPr>
          <w:p>
            <w:r>
              <w:rPr>
                <w:rFonts w:ascii="Arial" w:cs="Arial" w:eastAsia="Arial" w:hAnsi="Arial"/>
                <w:color w:val="2D3748"/>
                <w:sz w:val="20"/>
                <w:szCs w:val="20"/>
              </w:rPr>
              <w:t xml:space="preserve">bcrypt-hashed passwords with JWT-based stateless session management ensuring full user data isolation.</w:t>
            </w:r>
          </w:p>
        </w:tc>
      </w:tr>
      <w:tr>
        <w:tc>
          <w:tcPr>
            <w:tcW w:type="dxa" w:w="2400"/>
            <w:tcBorders>
              <w:top w:val="single" w:color="C8D8F0" w:sz="1"/>
              <w:left w:val="single" w:color="C8D8F0" w:sz="1"/>
              <w:bottom w:val="single" w:color="C8D8F0" w:sz="1"/>
              <w:right w:val="single" w:color="C8D8F0" w:sz="1"/>
            </w:tcBorders>
            <w:shd w:fill="FFFFFF" w:val="clear"/>
            <w:tcMar>
              <w:top w:type="dxa" w:w="80"/>
              <w:left w:type="dxa" w:w="160"/>
              <w:bottom w:type="dxa" w:w="80"/>
              <w:right w:type="dxa" w:w="160"/>
            </w:tcMar>
          </w:tcPr>
          <w:p>
            <w:r>
              <w:rPr>
                <w:rFonts w:ascii="Arial" w:cs="Arial" w:eastAsia="Arial" w:hAnsi="Arial"/>
                <w:b/>
                <w:bCs/>
                <w:color w:val="1F3A8A"/>
                <w:sz w:val="20"/>
                <w:szCs w:val="20"/>
              </w:rPr>
              <w:t xml:space="preserve">Dashboard Analytics</w:t>
            </w:r>
          </w:p>
        </w:tc>
        <w:tc>
          <w:tcPr>
            <w:tcW w:type="dxa" w:w="6960"/>
            <w:tcBorders>
              <w:top w:val="single" w:color="C8D8F0" w:sz="1"/>
              <w:left w:val="single" w:color="C8D8F0" w:sz="1"/>
              <w:bottom w:val="single" w:color="C8D8F0" w:sz="1"/>
              <w:right w:val="single" w:color="C8D8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Real-time aggregation of monthly spend, budget utilization %, categorical breakdowns, and 6-month historical trends.</w:t>
            </w:r>
          </w:p>
        </w:tc>
      </w:tr>
      <w:tr>
        <w:tc>
          <w:tcPr>
            <w:tcW w:type="dxa" w:w="2400"/>
            <w:tcBorders>
              <w:top w:val="single" w:color="C8D8F0" w:sz="1"/>
              <w:left w:val="single" w:color="C8D8F0" w:sz="1"/>
              <w:bottom w:val="single" w:color="C8D8F0" w:sz="1"/>
              <w:right w:val="single" w:color="C8D8F0" w:sz="1"/>
            </w:tcBorders>
            <w:shd w:fill="F4F6FB" w:val="clear"/>
            <w:tcMar>
              <w:top w:type="dxa" w:w="80"/>
              <w:left w:type="dxa" w:w="160"/>
              <w:bottom w:type="dxa" w:w="80"/>
              <w:right w:type="dxa" w:w="160"/>
            </w:tcMar>
          </w:tcPr>
          <w:p>
            <w:r>
              <w:rPr>
                <w:rFonts w:ascii="Arial" w:cs="Arial" w:eastAsia="Arial" w:hAnsi="Arial"/>
                <w:b/>
                <w:bCs/>
                <w:color w:val="1F3A8A"/>
                <w:sz w:val="20"/>
                <w:szCs w:val="20"/>
              </w:rPr>
              <w:t xml:space="preserve">Expense Tracking</w:t>
            </w:r>
          </w:p>
        </w:tc>
        <w:tc>
          <w:tcPr>
            <w:tcW w:type="dxa" w:w="6960"/>
            <w:tcBorders>
              <w:top w:val="single" w:color="C8D8F0" w:sz="1"/>
              <w:left w:val="single" w:color="C8D8F0" w:sz="1"/>
              <w:bottom w:val="single" w:color="C8D8F0" w:sz="1"/>
              <w:right w:val="single" w:color="C8D8F0" w:sz="1"/>
            </w:tcBorders>
            <w:shd w:fill="F4F6FB" w:val="clear"/>
            <w:tcMar>
              <w:top w:type="dxa" w:w="80"/>
              <w:left w:type="dxa" w:w="160"/>
              <w:bottom w:type="dxa" w:w="80"/>
              <w:right w:type="dxa" w:w="160"/>
            </w:tcMar>
          </w:tcPr>
          <w:p>
            <w:r>
              <w:rPr>
                <w:rFonts w:ascii="Arial" w:cs="Arial" w:eastAsia="Arial" w:hAnsi="Arial"/>
                <w:color w:val="2D3748"/>
                <w:sz w:val="20"/>
                <w:szCs w:val="20"/>
              </w:rPr>
              <w:t xml:space="preserve">Granular expense logging linked to categories, budgets, and payment methods (Cash, Card, Transfer).</w:t>
            </w:r>
          </w:p>
        </w:tc>
      </w:tr>
      <w:tr>
        <w:tc>
          <w:tcPr>
            <w:tcW w:type="dxa" w:w="2400"/>
            <w:tcBorders>
              <w:top w:val="single" w:color="C8D8F0" w:sz="1"/>
              <w:left w:val="single" w:color="C8D8F0" w:sz="1"/>
              <w:bottom w:val="single" w:color="C8D8F0" w:sz="1"/>
              <w:right w:val="single" w:color="C8D8F0" w:sz="1"/>
            </w:tcBorders>
            <w:shd w:fill="FFFFFF" w:val="clear"/>
            <w:tcMar>
              <w:top w:type="dxa" w:w="80"/>
              <w:left w:type="dxa" w:w="160"/>
              <w:bottom w:type="dxa" w:w="80"/>
              <w:right w:type="dxa" w:w="160"/>
            </w:tcMar>
          </w:tcPr>
          <w:p>
            <w:r>
              <w:rPr>
                <w:rFonts w:ascii="Arial" w:cs="Arial" w:eastAsia="Arial" w:hAnsi="Arial"/>
                <w:b/>
                <w:bCs/>
                <w:color w:val="1F3A8A"/>
                <w:sz w:val="20"/>
                <w:szCs w:val="20"/>
              </w:rPr>
              <w:t xml:space="preserve">Budget Management</w:t>
            </w:r>
          </w:p>
        </w:tc>
        <w:tc>
          <w:tcPr>
            <w:tcW w:type="dxa" w:w="6960"/>
            <w:tcBorders>
              <w:top w:val="single" w:color="C8D8F0" w:sz="1"/>
              <w:left w:val="single" w:color="C8D8F0" w:sz="1"/>
              <w:bottom w:val="single" w:color="C8D8F0" w:sz="1"/>
              <w:right w:val="single" w:color="C8D8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Period-based budget limits (weekly, monthly, yearly) with live spend tracking against set thresholds.</w:t>
            </w:r>
          </w:p>
        </w:tc>
      </w:tr>
      <w:tr>
        <w:tc>
          <w:tcPr>
            <w:tcW w:type="dxa" w:w="2400"/>
            <w:tcBorders>
              <w:top w:val="single" w:color="C8D8F0" w:sz="1"/>
              <w:left w:val="single" w:color="C8D8F0" w:sz="1"/>
              <w:bottom w:val="single" w:color="C8D8F0" w:sz="1"/>
              <w:right w:val="single" w:color="C8D8F0" w:sz="1"/>
            </w:tcBorders>
            <w:shd w:fill="F4F6FB" w:val="clear"/>
            <w:tcMar>
              <w:top w:type="dxa" w:w="80"/>
              <w:left w:type="dxa" w:w="160"/>
              <w:bottom w:type="dxa" w:w="80"/>
              <w:right w:type="dxa" w:w="160"/>
            </w:tcMar>
          </w:tcPr>
          <w:p>
            <w:r>
              <w:rPr>
                <w:rFonts w:ascii="Arial" w:cs="Arial" w:eastAsia="Arial" w:hAnsi="Arial"/>
                <w:b/>
                <w:bCs/>
                <w:color w:val="1F3A8A"/>
                <w:sz w:val="20"/>
                <w:szCs w:val="20"/>
              </w:rPr>
              <w:t xml:space="preserve">Custom Categorization</w:t>
            </w:r>
          </w:p>
        </w:tc>
        <w:tc>
          <w:tcPr>
            <w:tcW w:type="dxa" w:w="6960"/>
            <w:tcBorders>
              <w:top w:val="single" w:color="C8D8F0" w:sz="1"/>
              <w:left w:val="single" w:color="C8D8F0" w:sz="1"/>
              <w:bottom w:val="single" w:color="C8D8F0" w:sz="1"/>
              <w:right w:val="single" w:color="C8D8F0" w:sz="1"/>
            </w:tcBorders>
            <w:shd w:fill="F4F6FB" w:val="clear"/>
            <w:tcMar>
              <w:top w:type="dxa" w:w="80"/>
              <w:left w:type="dxa" w:w="160"/>
              <w:bottom w:type="dxa" w:w="80"/>
              <w:right w:type="dxa" w:w="160"/>
            </w:tcMar>
          </w:tcPr>
          <w:p>
            <w:r>
              <w:rPr>
                <w:rFonts w:ascii="Arial" w:cs="Arial" w:eastAsia="Arial" w:hAnsi="Arial"/>
                <w:color w:val="2D3748"/>
                <w:sz w:val="20"/>
                <w:szCs w:val="20"/>
              </w:rPr>
              <w:t xml:space="preserve">Fully user-configurable spending categories with color coding and iconography.</w:t>
            </w:r>
          </w:p>
        </w:tc>
      </w:tr>
      <w:tr>
        <w:tc>
          <w:tcPr>
            <w:tcW w:type="dxa" w:w="2400"/>
            <w:tcBorders>
              <w:top w:val="single" w:color="C8D8F0" w:sz="1"/>
              <w:left w:val="single" w:color="C8D8F0" w:sz="1"/>
              <w:bottom w:val="single" w:color="C8D8F0" w:sz="1"/>
              <w:right w:val="single" w:color="C8D8F0" w:sz="1"/>
            </w:tcBorders>
            <w:shd w:fill="FFFFFF" w:val="clear"/>
            <w:tcMar>
              <w:top w:type="dxa" w:w="80"/>
              <w:left w:type="dxa" w:w="160"/>
              <w:bottom w:type="dxa" w:w="80"/>
              <w:right w:type="dxa" w:w="160"/>
            </w:tcMar>
          </w:tcPr>
          <w:p>
            <w:r>
              <w:rPr>
                <w:rFonts w:ascii="Arial" w:cs="Arial" w:eastAsia="Arial" w:hAnsi="Arial"/>
                <w:b/>
                <w:bCs/>
                <w:color w:val="1F3A8A"/>
                <w:sz w:val="20"/>
                <w:szCs w:val="20"/>
              </w:rPr>
              <w:t xml:space="preserve">Automated Reporting</w:t>
            </w:r>
          </w:p>
        </w:tc>
        <w:tc>
          <w:tcPr>
            <w:tcW w:type="dxa" w:w="6960"/>
            <w:tcBorders>
              <w:top w:val="single" w:color="C8D8F0" w:sz="1"/>
              <w:left w:val="single" w:color="C8D8F0" w:sz="1"/>
              <w:bottom w:val="single" w:color="C8D8F0" w:sz="1"/>
              <w:right w:val="single" w:color="C8D8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Monthly and yearly financial report generation with categorical distribution analysis.</w:t>
            </w:r>
          </w:p>
        </w:tc>
      </w:tr>
      <w:tr>
        <w:tc>
          <w:tcPr>
            <w:tcW w:type="dxa" w:w="2400"/>
            <w:tcBorders>
              <w:top w:val="single" w:color="C8D8F0" w:sz="1"/>
              <w:left w:val="single" w:color="C8D8F0" w:sz="1"/>
              <w:bottom w:val="single" w:color="C8D8F0" w:sz="1"/>
              <w:right w:val="single" w:color="C8D8F0" w:sz="1"/>
            </w:tcBorders>
            <w:shd w:fill="F4F6FB" w:val="clear"/>
            <w:tcMar>
              <w:top w:type="dxa" w:w="80"/>
              <w:left w:type="dxa" w:w="160"/>
              <w:bottom w:type="dxa" w:w="80"/>
              <w:right w:type="dxa" w:w="160"/>
            </w:tcMar>
          </w:tcPr>
          <w:p>
            <w:r>
              <w:rPr>
                <w:rFonts w:ascii="Arial" w:cs="Arial" w:eastAsia="Arial" w:hAnsi="Arial"/>
                <w:b/>
                <w:bCs/>
                <w:color w:val="1F3A8A"/>
                <w:sz w:val="20"/>
                <w:szCs w:val="20"/>
              </w:rPr>
              <w:t xml:space="preserve">Notification Engine</w:t>
            </w:r>
          </w:p>
        </w:tc>
        <w:tc>
          <w:tcPr>
            <w:tcW w:type="dxa" w:w="6960"/>
            <w:tcBorders>
              <w:top w:val="single" w:color="C8D8F0" w:sz="1"/>
              <w:left w:val="single" w:color="C8D8F0" w:sz="1"/>
              <w:bottom w:val="single" w:color="C8D8F0" w:sz="1"/>
              <w:right w:val="single" w:color="C8D8F0" w:sz="1"/>
            </w:tcBorders>
            <w:shd w:fill="F4F6FB" w:val="clear"/>
            <w:tcMar>
              <w:top w:type="dxa" w:w="80"/>
              <w:left w:type="dxa" w:w="160"/>
              <w:bottom w:type="dxa" w:w="80"/>
              <w:right w:type="dxa" w:w="160"/>
            </w:tcMar>
          </w:tcPr>
          <w:p>
            <w:r>
              <w:rPr>
                <w:rFonts w:ascii="Arial" w:cs="Arial" w:eastAsia="Arial" w:hAnsi="Arial"/>
                <w:color w:val="2D3748"/>
                <w:sz w:val="20"/>
                <w:szCs w:val="20"/>
              </w:rPr>
              <w:t xml:space="preserve">Event-driven alerts for budget threshold breaches, report availability, and system anomalies.</w:t>
            </w:r>
          </w:p>
        </w:tc>
      </w:tr>
    </w:tbl>
    <w:p>
      <w:pPr>
        <w:spacing w:after="0" w:before="0"/>
      </w:pPr>
      <w:r>
        <w:br w:type="page"/>
      </w:r>
    </w:p>
    <w:p>
      <w:pPr>
        <w:pStyle w:val="Heading1"/>
        <w:pBdr>
          <w:bottom w:val="single" w:color="2E5BBA" w:sz="6" w:space="4"/>
        </w:pBdr>
        <w:spacing w:after="160" w:before="360"/>
      </w:pPr>
      <w:r>
        <w:rPr>
          <w:rFonts w:ascii="Arial" w:cs="Arial" w:eastAsia="Arial" w:hAnsi="Arial"/>
          <w:b/>
          <w:bCs/>
          <w:color w:val="1F3A8A"/>
          <w:sz w:val="30"/>
          <w:szCs w:val="30"/>
        </w:rPr>
        <w:t xml:space="preserve">3. System Architecture</w:t>
      </w:r>
    </w:p>
    <w:p>
      <w:pPr>
        <w:spacing w:after="100" w:before="80"/>
        <w:jc w:val="both"/>
      </w:pPr>
      <w:r>
        <w:rPr>
          <w:rFonts w:ascii="Arial" w:cs="Arial" w:eastAsia="Arial" w:hAnsi="Arial"/>
          <w:color w:val="2D3748"/>
          <w:sz w:val="22"/>
          <w:szCs w:val="22"/>
        </w:rPr>
        <w:t xml:space="preserve">The system implements a modern API-driven web architecture structured as a PNPM monorepo. This organizational model enables strict type boundaries across independently deployable packages while facilitating high code reuse. The architecture is composed of four distinct tiers: a React-based frontend SPA, a stateless Express REST API, a PostgreSQL relational database accessed via Drizzle ORM, and a suite of shared internal libraries that bind all tiers together through a shared type contract.</w:t>
      </w:r>
    </w:p>
    <w:p>
      <w:pPr>
        <w:spacing w:after="0" w:before="0"/>
      </w:pPr>
      <w:r>
        <w:rPr>
          <w:sz w:val="80"/>
          <w:szCs w:val="80"/>
        </w:rPr>
        <w:t xml:space="preserve"/>
      </w:r>
    </w:p>
    <w:p>
      <w:pPr>
        <w:pStyle w:val="Heading2"/>
        <w:spacing w:after="120" w:before="280"/>
      </w:pPr>
      <w:r>
        <w:rPr>
          <w:rFonts w:ascii="Arial" w:cs="Arial" w:eastAsia="Arial" w:hAnsi="Arial"/>
          <w:b/>
          <w:bCs/>
          <w:color w:val="1A1A2E"/>
          <w:sz w:val="26"/>
          <w:szCs w:val="26"/>
        </w:rPr>
        <w:t xml:space="preserve">3.1  Frontend Layer — @workspace/expense-app</w:t>
      </w:r>
    </w:p>
    <w:p>
      <w:pPr>
        <w:spacing w:after="100" w:before="80"/>
        <w:jc w:val="both"/>
      </w:pPr>
      <w:r>
        <w:rPr>
          <w:rFonts w:ascii="Arial" w:cs="Arial" w:eastAsia="Arial" w:hAnsi="Arial"/>
          <w:color w:val="2D3748"/>
          <w:sz w:val="22"/>
          <w:szCs w:val="22"/>
        </w:rPr>
        <w:t xml:space="preserve">The frontend is a Single Page Application built with React 19 and bundled via Vite. Client-side routing is handled by Wouter, selected over React Router for its minimal bundle footprint in a dashboard context where deep nested routing is unnecessary. Server state is managed entirely through TanStack React Query, providing caching, background re-fetching, and cache invalidation semantics. The UI is styled using Tailwind CSS v4 with Framer Motion powering micro-interactions and animated transitions.</w:t>
      </w:r>
    </w:p>
    <w:p>
      <w:pPr>
        <w:spacing w:after="100" w:before="80"/>
        <w:jc w:val="both"/>
      </w:pPr>
      <w:r>
        <w:rPr>
          <w:rFonts w:ascii="Arial" w:cs="Arial" w:eastAsia="Arial" w:hAnsi="Arial"/>
          <w:color w:val="2D3748"/>
          <w:sz w:val="22"/>
          <w:szCs w:val="22"/>
        </w:rPr>
        <w:t xml:space="preserve">Critically, the frontend never writes direct fetch calls. All network interactions are handled by auto-generated React Query hooks produced by Orval from the canonical OpenAPI specification. This eliminates human error in URL construction, payload serialization, and response typing.</w:t>
      </w:r>
    </w:p>
    <w:p>
      <w:pPr>
        <w:spacing w:after="0" w:before="0"/>
      </w:pPr>
      <w:r>
        <w:rPr>
          <w:sz w:val="80"/>
          <w:szCs w:val="80"/>
        </w:rPr>
        <w:t xml:space="preserve"/>
      </w:r>
    </w:p>
    <w:p>
      <w:pPr>
        <w:pStyle w:val="Heading2"/>
        <w:spacing w:after="120" w:before="280"/>
      </w:pPr>
      <w:r>
        <w:rPr>
          <w:rFonts w:ascii="Arial" w:cs="Arial" w:eastAsia="Arial" w:hAnsi="Arial"/>
          <w:b/>
          <w:bCs/>
          <w:color w:val="1A1A2E"/>
          <w:sz w:val="26"/>
          <w:szCs w:val="26"/>
        </w:rPr>
        <w:t xml:space="preserve">3.2  Backend Layer — @workspace/api-server</w:t>
      </w:r>
    </w:p>
    <w:p>
      <w:pPr>
        <w:spacing w:after="100" w:before="80"/>
        <w:jc w:val="both"/>
      </w:pPr>
      <w:r>
        <w:rPr>
          <w:rFonts w:ascii="Arial" w:cs="Arial" w:eastAsia="Arial" w:hAnsi="Arial"/>
          <w:color w:val="2D3748"/>
          <w:sz w:val="22"/>
          <w:szCs w:val="22"/>
        </w:rPr>
        <w:t xml:space="preserve">The backend is a stateless REST API server built on Node.js and Express.js, written entirely in TypeScript. Request logging is handled by Pino via the pinoHttp middleware, providing structured, low-overhead log output. Authentication is enforced globally through a JWT middleware that decrypts bearer tokens on each request and attaches the resolved userId to the request context. No session state is stored server-side, making the API tier trivially horizontally scalable.</w:t>
      </w:r>
    </w:p>
    <w:p>
      <w:pPr>
        <w:spacing w:after="100" w:before="80"/>
        <w:jc w:val="both"/>
      </w:pPr>
      <w:r>
        <w:rPr>
          <w:rFonts w:ascii="Arial" w:cs="Arial" w:eastAsia="Arial" w:hAnsi="Arial"/>
          <w:color w:val="2D3748"/>
          <w:sz w:val="22"/>
          <w:szCs w:val="22"/>
        </w:rPr>
        <w:t xml:space="preserve">Route handlers delegate to Drizzle ORM for all database interactions. Complex analytical queries — such as the dashboard aggregations that compute per-category monthly spend totals — are expressed in Drizzle's type-safe query builder, allowing performant SQL generation without sacrificing type integrity.</w:t>
      </w:r>
    </w:p>
    <w:p>
      <w:pPr>
        <w:spacing w:after="0" w:before="0"/>
      </w:pPr>
      <w:r>
        <w:rPr>
          <w:sz w:val="80"/>
          <w:szCs w:val="80"/>
        </w:rPr>
        <w:t xml:space="preserve"/>
      </w:r>
    </w:p>
    <w:p>
      <w:pPr>
        <w:pStyle w:val="Heading2"/>
        <w:spacing w:after="120" w:before="280"/>
      </w:pPr>
      <w:r>
        <w:rPr>
          <w:rFonts w:ascii="Arial" w:cs="Arial" w:eastAsia="Arial" w:hAnsi="Arial"/>
          <w:b/>
          <w:bCs/>
          <w:color w:val="1A1A2E"/>
          <w:sz w:val="26"/>
          <w:szCs w:val="26"/>
        </w:rPr>
        <w:t xml:space="preserve">3.3  Shared Library Layer</w:t>
      </w:r>
    </w:p>
    <w:p>
      <w:pPr>
        <w:spacing w:after="100" w:before="80"/>
        <w:jc w:val="both"/>
      </w:pPr>
      <w:r>
        <w:rPr>
          <w:rFonts w:ascii="Arial" w:cs="Arial" w:eastAsia="Arial" w:hAnsi="Arial"/>
          <w:color w:val="2D3748"/>
          <w:sz w:val="22"/>
          <w:szCs w:val="22"/>
        </w:rPr>
        <w:t xml:space="preserve">The monorepo's internal packages act as the architectural glue enforcing contract compliance across tiers:</w:t>
      </w:r>
    </w:p>
    <w:p>
      <w:pPr>
        <w:pStyle w:val="ListParagraph"/>
        <w:numPr>
          <w:ilvl w:val="0"/>
          <w:numId w:val="2"/>
        </w:numPr>
        <w:spacing w:after="60" w:before="60"/>
      </w:pPr>
      <w:r>
        <w:rPr>
          <w:rFonts w:ascii="Arial" w:cs="Arial" w:eastAsia="Arial" w:hAnsi="Arial"/>
          <w:color w:val="2D3748"/>
          <w:sz w:val="22"/>
          <w:szCs w:val="22"/>
        </w:rPr>
        <w:t xml:space="preserve">lib/db — Contains the canonical Drizzle schema definitions for all domain entities. Acts as the single source of truth for the database topology.</w:t>
      </w:r>
    </w:p>
    <w:p>
      <w:pPr>
        <w:pStyle w:val="ListParagraph"/>
        <w:numPr>
          <w:ilvl w:val="0"/>
          <w:numId w:val="2"/>
        </w:numPr>
        <w:spacing w:after="60" w:before="60"/>
      </w:pPr>
      <w:r>
        <w:rPr>
          <w:rFonts w:ascii="Arial" w:cs="Arial" w:eastAsia="Arial" w:hAnsi="Arial"/>
          <w:color w:val="2D3748"/>
          <w:sz w:val="22"/>
          <w:szCs w:val="22"/>
        </w:rPr>
        <w:t xml:space="preserve">lib/api-zod — Derives Zod validation schemas from the Drizzle table definitions using drizzle-zod. These schemas are used by API route handlers for runtime request validation.</w:t>
      </w:r>
    </w:p>
    <w:p>
      <w:pPr>
        <w:pStyle w:val="ListParagraph"/>
        <w:numPr>
          <w:ilvl w:val="0"/>
          <w:numId w:val="2"/>
        </w:numPr>
        <w:spacing w:after="60" w:before="60"/>
      </w:pPr>
      <w:r>
        <w:rPr>
          <w:rFonts w:ascii="Arial" w:cs="Arial" w:eastAsia="Arial" w:hAnsi="Arial"/>
          <w:color w:val="2D3748"/>
          <w:sz w:val="22"/>
          <w:szCs w:val="22"/>
        </w:rPr>
        <w:t xml:space="preserve">lib/api-spec — Houses the openapi.yaml specification which formally contracts all API endpoints, request/response shapes, and HTTP semantics.</w:t>
      </w:r>
    </w:p>
    <w:p>
      <w:pPr>
        <w:pStyle w:val="ListParagraph"/>
        <w:numPr>
          <w:ilvl w:val="0"/>
          <w:numId w:val="2"/>
        </w:numPr>
        <w:spacing w:after="60" w:before="60"/>
      </w:pPr>
      <w:r>
        <w:rPr>
          <w:rFonts w:ascii="Arial" w:cs="Arial" w:eastAsia="Arial" w:hAnsi="Arial"/>
          <w:color w:val="2D3748"/>
          <w:sz w:val="22"/>
          <w:szCs w:val="22"/>
        </w:rPr>
        <w:t xml:space="preserve">lib/api-client-react — Auto-generated package produced by Orval from the OpenAPI spec. Exports strongly-typed React Query mutation and query hooks consumed directly by the frontend.</w:t>
      </w:r>
    </w:p>
    <w:p>
      <w:pPr>
        <w:spacing w:after="0" w:before="0"/>
      </w:pPr>
      <w:r>
        <w:rPr>
          <w:sz w:val="80"/>
          <w:szCs w:val="80"/>
        </w:rPr>
        <w:t xml:space="preserve"/>
      </w:r>
    </w:p>
    <w:p>
      <w:pPr>
        <w:pStyle w:val="Heading2"/>
        <w:spacing w:after="120" w:before="280"/>
      </w:pPr>
      <w:r>
        <w:rPr>
          <w:rFonts w:ascii="Arial" w:cs="Arial" w:eastAsia="Arial" w:hAnsi="Arial"/>
          <w:b/>
          <w:bCs/>
          <w:color w:val="1A1A2E"/>
          <w:sz w:val="26"/>
          <w:szCs w:val="26"/>
        </w:rPr>
        <w:t xml:space="preserve">3.4  Database Layer</w:t>
      </w:r>
    </w:p>
    <w:p>
      <w:pPr>
        <w:spacing w:after="100" w:before="80"/>
        <w:jc w:val="both"/>
      </w:pPr>
      <w:r>
        <w:rPr>
          <w:rFonts w:ascii="Arial" w:cs="Arial" w:eastAsia="Arial" w:hAnsi="Arial"/>
          <w:color w:val="2D3748"/>
          <w:sz w:val="22"/>
          <w:szCs w:val="22"/>
        </w:rPr>
        <w:t xml:space="preserve">PostgreSQL serves as the persistent data store, housing fully normalized entity relationships. Drizzle ORM provides lightweight, SQL-close query execution with full TypeScript inference. The schema enforces foreign key constraints at the database level — for example, ensuring that every expense record references a valid categoryId belonging to the authenticated user — preventing orphaned records and maintaining referential integrity without application-level checks.</w:t>
      </w:r>
    </w:p>
    <w:p>
      <w:pPr>
        <w:spacing w:after="0" w:before="0"/>
      </w:pPr>
      <w:r>
        <w:rPr>
          <w:sz w:val="80"/>
          <w:szCs w:val="80"/>
        </w:rPr>
        <w:t xml:space="preserve"/>
      </w:r>
    </w:p>
    <w:p>
      <w:pPr>
        <w:pStyle w:val="Heading2"/>
        <w:spacing w:after="120" w:before="280"/>
      </w:pPr>
      <w:r>
        <w:rPr>
          <w:rFonts w:ascii="Arial" w:cs="Arial" w:eastAsia="Arial" w:hAnsi="Arial"/>
          <w:b/>
          <w:bCs/>
          <w:color w:val="1A1A2E"/>
          <w:sz w:val="26"/>
          <w:szCs w:val="26"/>
        </w:rPr>
        <w:t xml:space="preserve">3.5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2E5BBA" w:sz="1"/>
              <w:left w:val="single" w:color="2E5BBA" w:sz="1"/>
              <w:bottom w:val="single" w:color="2E5BBA" w:sz="1"/>
              <w:right w:val="single" w:color="2E5BBA" w:sz="1"/>
            </w:tcBorders>
            <w:shd w:fill="1F3A8A"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3000"/>
            <w:tcBorders>
              <w:top w:val="single" w:color="2E5BBA" w:sz="1"/>
              <w:left w:val="single" w:color="2E5BBA" w:sz="1"/>
              <w:bottom w:val="single" w:color="2E5BBA" w:sz="1"/>
              <w:right w:val="single" w:color="2E5BBA" w:sz="1"/>
            </w:tcBorders>
            <w:shd w:fill="1F3A8A"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4160"/>
            <w:tcBorders>
              <w:top w:val="single" w:color="2E5BBA" w:sz="1"/>
              <w:left w:val="single" w:color="2E5BBA" w:sz="1"/>
              <w:bottom w:val="single" w:color="2E5BBA" w:sz="1"/>
              <w:right w:val="single" w:color="2E5BBA" w:sz="1"/>
            </w:tcBorders>
            <w:shd w:fill="1F3A8A"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60"/>
              <w:bottom w:type="dxa" w:w="80"/>
              <w:right w:type="dxa" w:w="160"/>
            </w:tcMar>
          </w:tcPr>
          <w:p>
            <w:r>
              <w:rPr>
                <w:rFonts w:ascii="Arial" w:cs="Arial" w:eastAsia="Arial" w:hAnsi="Arial"/>
                <w:b/>
                <w:bCs/>
                <w:color w:val="1F3A8A"/>
                <w:sz w:val="20"/>
                <w:szCs w:val="20"/>
              </w:rPr>
              <w:t xml:space="preserve">Frontend</w:t>
            </w:r>
          </w:p>
        </w:tc>
        <w:tc>
          <w:tcPr>
            <w:tcW w:type="dxa" w:w="3000"/>
            <w:tcBorders>
              <w:top w:val="single" w:color="CCCCCC" w:sz="1"/>
              <w:left w:val="single" w:color="CCCCCC" w:sz="1"/>
              <w:bottom w:val="single" w:color="CCCCCC" w:sz="1"/>
              <w:right w:val="single" w:color="CCCCCC"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React 19 + Vite</w:t>
            </w:r>
          </w:p>
        </w:tc>
        <w:tc>
          <w:tcPr>
            <w:tcW w:type="dxa" w:w="4160"/>
            <w:tcBorders>
              <w:top w:val="single" w:color="CCCCCC" w:sz="1"/>
              <w:left w:val="single" w:color="CCCCCC" w:sz="1"/>
              <w:bottom w:val="single" w:color="CCCCCC" w:sz="1"/>
              <w:right w:val="single" w:color="CCCCCC" w:sz="1"/>
            </w:tcBorders>
            <w:shd w:fill="F4F6FB" w:val="clear"/>
            <w:tcMar>
              <w:top w:type="dxa" w:w="80"/>
              <w:left w:type="dxa" w:w="160"/>
              <w:bottom w:type="dxa" w:w="80"/>
              <w:right w:type="dxa" w:w="160"/>
            </w:tcMar>
          </w:tcPr>
          <w:p>
            <w:r>
              <w:rPr>
                <w:rFonts w:ascii="Arial" w:cs="Arial" w:eastAsia="Arial" w:hAnsi="Arial"/>
                <w:color w:val="2D3748"/>
                <w:sz w:val="20"/>
                <w:szCs w:val="20"/>
              </w:rPr>
              <w:t xml:space="preserve">SPA rendering and build tooling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A8A"/>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TanStack React Query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Server state, caching, mutation management</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60"/>
              <w:bottom w:type="dxa" w:w="80"/>
              <w:right w:type="dxa" w:w="160"/>
            </w:tcMar>
          </w:tcPr>
          <w:p>
            <w:r>
              <w:rPr>
                <w:rFonts w:ascii="Arial" w:cs="Arial" w:eastAsia="Arial" w:hAnsi="Arial"/>
                <w:b/>
                <w:bCs/>
                <w:color w:val="1F3A8A"/>
                <w:sz w:val="20"/>
                <w:szCs w:val="20"/>
              </w:rPr>
              <w:t xml:space="preserve">Frontend</w:t>
            </w:r>
          </w:p>
        </w:tc>
        <w:tc>
          <w:tcPr>
            <w:tcW w:type="dxa" w:w="3000"/>
            <w:tcBorders>
              <w:top w:val="single" w:color="CCCCCC" w:sz="1"/>
              <w:left w:val="single" w:color="CCCCCC" w:sz="1"/>
              <w:bottom w:val="single" w:color="CCCCCC" w:sz="1"/>
              <w:right w:val="single" w:color="CCCCCC"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Tailwind CSS v4 + Framer Motion</w:t>
            </w:r>
          </w:p>
        </w:tc>
        <w:tc>
          <w:tcPr>
            <w:tcW w:type="dxa" w:w="4160"/>
            <w:tcBorders>
              <w:top w:val="single" w:color="CCCCCC" w:sz="1"/>
              <w:left w:val="single" w:color="CCCCCC" w:sz="1"/>
              <w:bottom w:val="single" w:color="CCCCCC" w:sz="1"/>
              <w:right w:val="single" w:color="CCCCCC" w:sz="1"/>
            </w:tcBorders>
            <w:shd w:fill="F4F6FB" w:val="clear"/>
            <w:tcMar>
              <w:top w:type="dxa" w:w="80"/>
              <w:left w:type="dxa" w:w="160"/>
              <w:bottom w:type="dxa" w:w="80"/>
              <w:right w:type="dxa" w:w="160"/>
            </w:tcMar>
          </w:tcPr>
          <w:p>
            <w:r>
              <w:rPr>
                <w:rFonts w:ascii="Arial" w:cs="Arial" w:eastAsia="Arial" w:hAnsi="Arial"/>
                <w:color w:val="2D3748"/>
                <w:sz w:val="20"/>
                <w:szCs w:val="20"/>
              </w:rPr>
              <w:t xml:space="preserve">Styling and UI animations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A8A"/>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Wouter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Lightweight client-side routing</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60"/>
              <w:bottom w:type="dxa" w:w="80"/>
              <w:right w:type="dxa" w:w="160"/>
            </w:tcMar>
          </w:tcPr>
          <w:p>
            <w:r>
              <w:rPr>
                <w:rFonts w:ascii="Arial" w:cs="Arial" w:eastAsia="Arial" w:hAnsi="Arial"/>
                <w:b/>
                <w:bCs/>
                <w:color w:val="1F3A8A"/>
                <w:sz w:val="20"/>
                <w:szCs w:val="20"/>
              </w:rPr>
              <w:t xml:space="preserve">Backend</w:t>
            </w:r>
          </w:p>
        </w:tc>
        <w:tc>
          <w:tcPr>
            <w:tcW w:type="dxa" w:w="3000"/>
            <w:tcBorders>
              <w:top w:val="single" w:color="CCCCCC" w:sz="1"/>
              <w:left w:val="single" w:color="CCCCCC" w:sz="1"/>
              <w:bottom w:val="single" w:color="CCCCCC" w:sz="1"/>
              <w:right w:val="single" w:color="CCCCCC"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Node.js + Express.js</w:t>
            </w:r>
          </w:p>
        </w:tc>
        <w:tc>
          <w:tcPr>
            <w:tcW w:type="dxa" w:w="4160"/>
            <w:tcBorders>
              <w:top w:val="single" w:color="CCCCCC" w:sz="1"/>
              <w:left w:val="single" w:color="CCCCCC" w:sz="1"/>
              <w:bottom w:val="single" w:color="CCCCCC" w:sz="1"/>
              <w:right w:val="single" w:color="CCCCCC" w:sz="1"/>
            </w:tcBorders>
            <w:shd w:fill="F4F6FB" w:val="clear"/>
            <w:tcMar>
              <w:top w:type="dxa" w:w="80"/>
              <w:left w:type="dxa" w:w="160"/>
              <w:bottom w:type="dxa" w:w="80"/>
              <w:right w:type="dxa" w:w="160"/>
            </w:tcMar>
          </w:tcPr>
          <w:p>
            <w:r>
              <w:rPr>
                <w:rFonts w:ascii="Arial" w:cs="Arial" w:eastAsia="Arial" w:hAnsi="Arial"/>
                <w:color w:val="2D3748"/>
                <w:sz w:val="20"/>
                <w:szCs w:val="20"/>
              </w:rPr>
              <w:t xml:space="preserve">REST API server runtime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A8A"/>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TypeScript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Full-stack static type safety</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60"/>
              <w:bottom w:type="dxa" w:w="80"/>
              <w:right w:type="dxa" w:w="160"/>
            </w:tcMar>
          </w:tcPr>
          <w:p>
            <w:r>
              <w:rPr>
                <w:rFonts w:ascii="Arial" w:cs="Arial" w:eastAsia="Arial" w:hAnsi="Arial"/>
                <w:b/>
                <w:bCs/>
                <w:color w:val="1F3A8A"/>
                <w:sz w:val="20"/>
                <w:szCs w:val="20"/>
              </w:rPr>
              <w:t xml:space="preserve">Backend</w:t>
            </w:r>
          </w:p>
        </w:tc>
        <w:tc>
          <w:tcPr>
            <w:tcW w:type="dxa" w:w="3000"/>
            <w:tcBorders>
              <w:top w:val="single" w:color="CCCCCC" w:sz="1"/>
              <w:left w:val="single" w:color="CCCCCC" w:sz="1"/>
              <w:bottom w:val="single" w:color="CCCCCC" w:sz="1"/>
              <w:right w:val="single" w:color="CCCCCC"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Pino / pinoHttp</w:t>
            </w:r>
          </w:p>
        </w:tc>
        <w:tc>
          <w:tcPr>
            <w:tcW w:type="dxa" w:w="4160"/>
            <w:tcBorders>
              <w:top w:val="single" w:color="CCCCCC" w:sz="1"/>
              <w:left w:val="single" w:color="CCCCCC" w:sz="1"/>
              <w:bottom w:val="single" w:color="CCCCCC" w:sz="1"/>
              <w:right w:val="single" w:color="CCCCCC" w:sz="1"/>
            </w:tcBorders>
            <w:shd w:fill="F4F6FB" w:val="clear"/>
            <w:tcMar>
              <w:top w:type="dxa" w:w="80"/>
              <w:left w:type="dxa" w:w="160"/>
              <w:bottom w:type="dxa" w:w="80"/>
              <w:right w:type="dxa" w:w="160"/>
            </w:tcMar>
          </w:tcPr>
          <w:p>
            <w:r>
              <w:rPr>
                <w:rFonts w:ascii="Arial" w:cs="Arial" w:eastAsia="Arial" w:hAnsi="Arial"/>
                <w:color w:val="2D3748"/>
                <w:sz w:val="20"/>
                <w:szCs w:val="20"/>
              </w:rPr>
              <w:t xml:space="preserve">Structured request logging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A8A"/>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PostgreSQL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Relational persistent data store</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60"/>
              <w:bottom w:type="dxa" w:w="80"/>
              <w:right w:type="dxa" w:w="160"/>
            </w:tcMar>
          </w:tcPr>
          <w:p>
            <w:r>
              <w:rPr>
                <w:rFonts w:ascii="Arial" w:cs="Arial" w:eastAsia="Arial" w:hAnsi="Arial"/>
                <w:b/>
                <w:bCs/>
                <w:color w:val="1F3A8A"/>
                <w:sz w:val="20"/>
                <w:szCs w:val="20"/>
              </w:rPr>
              <w:t xml:space="preserve">ORM</w:t>
            </w:r>
          </w:p>
        </w:tc>
        <w:tc>
          <w:tcPr>
            <w:tcW w:type="dxa" w:w="3000"/>
            <w:tcBorders>
              <w:top w:val="single" w:color="CCCCCC" w:sz="1"/>
              <w:left w:val="single" w:color="CCCCCC" w:sz="1"/>
              <w:bottom w:val="single" w:color="CCCCCC" w:sz="1"/>
              <w:right w:val="single" w:color="CCCCCC"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Drizzle ORM</w:t>
            </w:r>
          </w:p>
        </w:tc>
        <w:tc>
          <w:tcPr>
            <w:tcW w:type="dxa" w:w="4160"/>
            <w:tcBorders>
              <w:top w:val="single" w:color="CCCCCC" w:sz="1"/>
              <w:left w:val="single" w:color="CCCCCC" w:sz="1"/>
              <w:bottom w:val="single" w:color="CCCCCC" w:sz="1"/>
              <w:right w:val="single" w:color="CCCCCC" w:sz="1"/>
            </w:tcBorders>
            <w:shd w:fill="F4F6FB" w:val="clear"/>
            <w:tcMar>
              <w:top w:type="dxa" w:w="80"/>
              <w:left w:type="dxa" w:w="160"/>
              <w:bottom w:type="dxa" w:w="80"/>
              <w:right w:type="dxa" w:w="160"/>
            </w:tcMar>
          </w:tcPr>
          <w:p>
            <w:r>
              <w:rPr>
                <w:rFonts w:ascii="Arial" w:cs="Arial" w:eastAsia="Arial" w:hAnsi="Arial"/>
                <w:color w:val="2D3748"/>
                <w:sz w:val="20"/>
                <w:szCs w:val="20"/>
              </w:rPr>
              <w:t xml:space="preserve">Type-safe SQL query builder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A8A"/>
                <w:sz w:val="20"/>
                <w:szCs w:val="20"/>
              </w:rPr>
              <w:t xml:space="preserve">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Zod + drizzle-zod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Runtime request validation schemas</w:t>
            </w:r>
          </w:p>
        </w:tc>
      </w:tr>
      <w:tr>
        <w:tc>
          <w:tcPr>
            <w:tcW w:type="dxa" w:w="2200"/>
            <w:tcBorders>
              <w:top w:val="single" w:color="CCCCCC" w:sz="1"/>
              <w:left w:val="single" w:color="CCCCCC" w:sz="1"/>
              <w:bottom w:val="single" w:color="CCCCCC" w:sz="1"/>
              <w:right w:val="single" w:color="CCCCCC" w:sz="1"/>
            </w:tcBorders>
            <w:shd w:fill="F4F6FB" w:val="clear"/>
            <w:tcMar>
              <w:top w:type="dxa" w:w="80"/>
              <w:left w:type="dxa" w:w="160"/>
              <w:bottom w:type="dxa" w:w="80"/>
              <w:right w:type="dxa" w:w="160"/>
            </w:tcMar>
          </w:tcPr>
          <w:p>
            <w:r>
              <w:rPr>
                <w:rFonts w:ascii="Arial" w:cs="Arial" w:eastAsia="Arial" w:hAnsi="Arial"/>
                <w:b/>
                <w:bCs/>
                <w:color w:val="1F3A8A"/>
                <w:sz w:val="20"/>
                <w:szCs w:val="20"/>
              </w:rPr>
              <w:t xml:space="preserve">API Contract</w:t>
            </w:r>
          </w:p>
        </w:tc>
        <w:tc>
          <w:tcPr>
            <w:tcW w:type="dxa" w:w="3000"/>
            <w:tcBorders>
              <w:top w:val="single" w:color="CCCCCC" w:sz="1"/>
              <w:left w:val="single" w:color="CCCCCC" w:sz="1"/>
              <w:bottom w:val="single" w:color="CCCCCC" w:sz="1"/>
              <w:right w:val="single" w:color="CCCCCC" w:sz="1"/>
            </w:tcBorders>
            <w:shd w:fill="F4F6FB" w:val="clear"/>
            <w:tcMar>
              <w:top w:type="dxa" w:w="80"/>
              <w:left w:type="dxa" w:w="160"/>
              <w:bottom w:type="dxa" w:w="80"/>
              <w:right w:type="dxa" w:w="160"/>
            </w:tcMar>
          </w:tcPr>
          <w:p>
            <w:r>
              <w:rPr>
                <w:rFonts w:ascii="Arial" w:cs="Arial" w:eastAsia="Arial" w:hAnsi="Arial"/>
                <w:color w:val="1A1A2E"/>
                <w:sz w:val="20"/>
                <w:szCs w:val="20"/>
              </w:rPr>
              <w:t xml:space="preserve">OpenAPI 3.1 + Orval</w:t>
            </w:r>
          </w:p>
        </w:tc>
        <w:tc>
          <w:tcPr>
            <w:tcW w:type="dxa" w:w="4160"/>
            <w:tcBorders>
              <w:top w:val="single" w:color="CCCCCC" w:sz="1"/>
              <w:left w:val="single" w:color="CCCCCC" w:sz="1"/>
              <w:bottom w:val="single" w:color="CCCCCC" w:sz="1"/>
              <w:right w:val="single" w:color="CCCCCC" w:sz="1"/>
            </w:tcBorders>
            <w:shd w:fill="F4F6FB" w:val="clear"/>
            <w:tcMar>
              <w:top w:type="dxa" w:w="80"/>
              <w:left w:type="dxa" w:w="160"/>
              <w:bottom w:type="dxa" w:w="80"/>
              <w:right w:type="dxa" w:w="160"/>
            </w:tcMar>
          </w:tcPr>
          <w:p>
            <w:r>
              <w:rPr>
                <w:rFonts w:ascii="Arial" w:cs="Arial" w:eastAsia="Arial" w:hAnsi="Arial"/>
                <w:color w:val="2D3748"/>
                <w:sz w:val="20"/>
                <w:szCs w:val="20"/>
              </w:rPr>
              <w:t xml:space="preserve">Spec-first API with auto-generated client hooks</w:t>
            </w:r>
          </w:p>
        </w:tc>
      </w:tr>
    </w:tbl>
    <w:p>
      <w:pPr>
        <w:spacing w:after="0" w:before="0"/>
      </w:pPr>
      <w:r>
        <w:br w:type="page"/>
      </w:r>
    </w:p>
    <w:p>
      <w:pPr>
        <w:pStyle w:val="Heading1"/>
        <w:pBdr>
          <w:bottom w:val="single" w:color="2E5BBA" w:sz="6" w:space="4"/>
        </w:pBdr>
        <w:spacing w:after="160" w:before="360"/>
      </w:pPr>
      <w:r>
        <w:rPr>
          <w:rFonts w:ascii="Arial" w:cs="Arial" w:eastAsia="Arial" w:hAnsi="Arial"/>
          <w:b/>
          <w:bCs/>
          <w:color w:val="1F3A8A"/>
          <w:sz w:val="30"/>
          <w:szCs w:val="30"/>
        </w:rPr>
        <w:t xml:space="preserve">4. Data Flow</w:t>
      </w:r>
    </w:p>
    <w:p>
      <w:pPr>
        <w:spacing w:after="100" w:before="80"/>
        <w:jc w:val="both"/>
      </w:pPr>
      <w:r>
        <w:rPr>
          <w:rFonts w:ascii="Arial" w:cs="Arial" w:eastAsia="Arial" w:hAnsi="Arial"/>
          <w:color w:val="2D3748"/>
          <w:sz w:val="22"/>
          <w:szCs w:val="22"/>
        </w:rPr>
        <w:t xml:space="preserve">The following section traces a complete end-to-end data lifecycle through the system using the creation of a new expense record as the canonical example. This flow illustrates how each architectural layer participates in a single user action.</w:t>
      </w:r>
    </w:p>
    <w:p>
      <w:pPr>
        <w:spacing w:after="0" w:before="0"/>
      </w:pPr>
      <w:r>
        <w:rPr>
          <w:sz w:val="80"/>
          <w:szCs w:val="80"/>
        </w:rPr>
        <w:t xml:space="preserve"/>
      </w:r>
    </w:p>
    <w:p>
      <w:pPr>
        <w:pStyle w:val="Heading2"/>
        <w:spacing w:after="120" w:before="280"/>
      </w:pPr>
      <w:r>
        <w:rPr>
          <w:rFonts w:ascii="Arial" w:cs="Arial" w:eastAsia="Arial" w:hAnsi="Arial"/>
          <w:b/>
          <w:bCs/>
          <w:color w:val="1A1A2E"/>
          <w:sz w:val="26"/>
          <w:szCs w:val="26"/>
        </w:rPr>
        <w:t xml:space="preserve">4.1  End-to-End Request Lifecycle: Adding a New Expense</w:t>
      </w:r>
    </w:p>
    <w:p>
      <w:pPr>
        <w:spacing w:after="80" w:before="160"/>
      </w:pPr>
      <w:r>
        <w:rPr>
          <w:rFonts w:ascii="Arial" w:cs="Arial" w:eastAsia="Arial" w:hAnsi="Arial"/>
          <w:b/>
          <w:bCs/>
          <w:color w:val="1F3A8A"/>
          <w:sz w:val="22"/>
          <w:szCs w:val="22"/>
        </w:rPr>
        <w:t xml:space="preserve">Step 1 — User Interaction</w:t>
      </w:r>
    </w:p>
    <w:p>
      <w:pPr>
        <w:spacing w:after="100" w:before="80"/>
        <w:jc w:val="both"/>
      </w:pPr>
      <w:r>
        <w:rPr>
          <w:rFonts w:ascii="Arial" w:cs="Arial" w:eastAsia="Arial" w:hAnsi="Arial"/>
          <w:color w:val="2D3748"/>
          <w:sz w:val="22"/>
          <w:szCs w:val="22"/>
        </w:rPr>
        <w:t xml:space="preserve">The user completes the Add Expense form on the React dashboard, providing an amount, description, category, date, and payment method. On submission, the React component intercepts the event via an onChange/onClick handler.</w:t>
      </w:r>
    </w:p>
    <w:p>
      <w:pPr>
        <w:spacing w:after="80" w:before="160"/>
      </w:pPr>
      <w:r>
        <w:rPr>
          <w:rFonts w:ascii="Arial" w:cs="Arial" w:eastAsia="Arial" w:hAnsi="Arial"/>
          <w:b/>
          <w:bCs/>
          <w:color w:val="1F3A8A"/>
          <w:sz w:val="22"/>
          <w:szCs w:val="22"/>
        </w:rPr>
        <w:t xml:space="preserve">Step 2 — React Query Mutation</w:t>
      </w:r>
    </w:p>
    <w:p>
      <w:pPr>
        <w:spacing w:after="100" w:before="80"/>
        <w:jc w:val="both"/>
      </w:pPr>
      <w:r>
        <w:rPr>
          <w:rFonts w:ascii="Arial" w:cs="Arial" w:eastAsia="Arial" w:hAnsi="Arial"/>
          <w:color w:val="2D3748"/>
          <w:sz w:val="22"/>
          <w:szCs w:val="22"/>
        </w:rPr>
        <w:t xml:space="preserve">The component invokes an Orval-generated mutation hook (useCreateExpenseMutation). React Query serializes the payload and prepares the HTTP request. The custom-fetch.ts interceptor automatically attaches the stored JWT as a Bearer Authorization header before the request is dispatched.</w:t>
      </w:r>
    </w:p>
    <w:p>
      <w:pPr>
        <w:spacing w:after="80" w:before="160"/>
      </w:pPr>
      <w:r>
        <w:rPr>
          <w:rFonts w:ascii="Arial" w:cs="Arial" w:eastAsia="Arial" w:hAnsi="Arial"/>
          <w:b/>
          <w:bCs/>
          <w:color w:val="1F3A8A"/>
          <w:sz w:val="22"/>
          <w:szCs w:val="22"/>
        </w:rPr>
        <w:t xml:space="preserve">Step 3 — API Gateway &amp; Middleware Pipeline</w:t>
      </w:r>
    </w:p>
    <w:p>
      <w:pPr>
        <w:spacing w:after="100" w:before="80"/>
        <w:jc w:val="both"/>
      </w:pPr>
      <w:r>
        <w:rPr>
          <w:rFonts w:ascii="Arial" w:cs="Arial" w:eastAsia="Arial" w:hAnsi="Arial"/>
          <w:color w:val="2D3748"/>
          <w:sz w:val="22"/>
          <w:szCs w:val="22"/>
        </w:rPr>
        <w:t xml:space="preserve">Express receives the POST /api/expenses request. The middleware pipeline executes sequentially: CORS validation, Pino structured logging, and the global authMiddleware which decrypts the JWT, verifies its signature, and attaches the resolved userId to req.user. Any token failure at this stage yields a 401 Unauthorized response immediately.</w:t>
      </w:r>
    </w:p>
    <w:p>
      <w:pPr>
        <w:spacing w:after="80" w:before="160"/>
      </w:pPr>
      <w:r>
        <w:rPr>
          <w:rFonts w:ascii="Arial" w:cs="Arial" w:eastAsia="Arial" w:hAnsi="Arial"/>
          <w:b/>
          <w:bCs/>
          <w:color w:val="1F3A8A"/>
          <w:sz w:val="22"/>
          <w:szCs w:val="22"/>
        </w:rPr>
        <w:t xml:space="preserve">Step 4 — Payload Validation</w:t>
      </w:r>
    </w:p>
    <w:p>
      <w:pPr>
        <w:spacing w:after="100" w:before="80"/>
        <w:jc w:val="both"/>
      </w:pPr>
      <w:r>
        <w:rPr>
          <w:rFonts w:ascii="Arial" w:cs="Arial" w:eastAsia="Arial" w:hAnsi="Arial"/>
          <w:color w:val="2D3748"/>
          <w:sz w:val="22"/>
          <w:szCs w:val="22"/>
        </w:rPr>
        <w:t xml:space="preserve">The expense route handler extracts the request body and passes it through the CreateExpenseBody Zod schema sourced from @workspace/api-zod. This performs runtime type coercion and constraint checking — validating field types, required fields, and value ranges. A malformed or incomplete payload triggers an immediate 400 Bad Request response with a structured error message detailing the validation failures.</w:t>
      </w:r>
    </w:p>
    <w:p>
      <w:pPr>
        <w:spacing w:after="80" w:before="160"/>
      </w:pPr>
      <w:r>
        <w:rPr>
          <w:rFonts w:ascii="Arial" w:cs="Arial" w:eastAsia="Arial" w:hAnsi="Arial"/>
          <w:b/>
          <w:bCs/>
          <w:color w:val="1F3A8A"/>
          <w:sz w:val="22"/>
          <w:szCs w:val="22"/>
        </w:rPr>
        <w:t xml:space="preserve">Step 5 — Database Write</w:t>
      </w:r>
    </w:p>
    <w:p>
      <w:pPr>
        <w:spacing w:after="100" w:before="80"/>
        <w:jc w:val="both"/>
      </w:pPr>
      <w:r>
        <w:rPr>
          <w:rFonts w:ascii="Arial" w:cs="Arial" w:eastAsia="Arial" w:hAnsi="Arial"/>
          <w:color w:val="2D3748"/>
          <w:sz w:val="22"/>
          <w:szCs w:val="22"/>
        </w:rPr>
        <w:t xml:space="preserve">Validated data is passed to Drizzle ORM, which maps the payload against the expensesTable schema and constructs a parameterized INSERT SQL statement. PostgreSQL enforces foreign key constraints at execution time — verifying that the provided categoryId belongs to the authenticated user. A constraint violation at this level surfaces as a 422 Unprocessable Entity or 409 Conflict depending on the error type.</w:t>
      </w:r>
    </w:p>
    <w:p>
      <w:pPr>
        <w:spacing w:after="80" w:before="160"/>
      </w:pPr>
      <w:r>
        <w:rPr>
          <w:rFonts w:ascii="Arial" w:cs="Arial" w:eastAsia="Arial" w:hAnsi="Arial"/>
          <w:b/>
          <w:bCs/>
          <w:color w:val="1F3A8A"/>
          <w:sz w:val="22"/>
          <w:szCs w:val="22"/>
        </w:rPr>
        <w:t xml:space="preserve">Step 6 — Response &amp; Cache Invalidation</w:t>
      </w:r>
    </w:p>
    <w:p>
      <w:pPr>
        <w:spacing w:after="100" w:before="80"/>
        <w:jc w:val="both"/>
      </w:pPr>
      <w:r>
        <w:rPr>
          <w:rFonts w:ascii="Arial" w:cs="Arial" w:eastAsia="Arial" w:hAnsi="Arial"/>
          <w:color w:val="2D3748"/>
          <w:sz w:val="22"/>
          <w:szCs w:val="22"/>
        </w:rPr>
        <w:t xml:space="preserve">The newly persisted record is mapped to the OpenAPI response schema and returned with a 201 Created status. On the frontend, React Query's onSuccess callback triggers invalidation of the ['expenses'] and ['dashboard-summary'] query caches, prompting an automatic background re-fetch. The dashboard repopulates with fresh data without requiring a manual page refresh, maintaining a seamless user experience.</w:t>
      </w:r>
    </w:p>
    <w:p>
      <w:pPr>
        <w:spacing w:after="0" w:before="0"/>
      </w:pPr>
      <w:r>
        <w:br w:type="page"/>
      </w:r>
    </w:p>
    <w:p>
      <w:pPr>
        <w:pStyle w:val="Heading1"/>
        <w:pBdr>
          <w:bottom w:val="single" w:color="2E5BBA" w:sz="6" w:space="4"/>
        </w:pBdr>
        <w:spacing w:after="160" w:before="360"/>
      </w:pPr>
      <w:r>
        <w:rPr>
          <w:rFonts w:ascii="Arial" w:cs="Arial" w:eastAsia="Arial" w:hAnsi="Arial"/>
          <w:b/>
          <w:bCs/>
          <w:color w:val="1F3A8A"/>
          <w:sz w:val="30"/>
          <w:szCs w:val="30"/>
        </w:rPr>
        <w:t xml:space="preserve">5. Development Process</w:t>
      </w:r>
    </w:p>
    <w:p>
      <w:pPr>
        <w:spacing w:after="100" w:before="80"/>
        <w:jc w:val="both"/>
      </w:pPr>
      <w:r>
        <w:rPr>
          <w:rFonts w:ascii="Arial" w:cs="Arial" w:eastAsia="Arial" w:hAnsi="Arial"/>
          <w:color w:val="2D3748"/>
          <w:sz w:val="22"/>
          <w:szCs w:val="22"/>
        </w:rPr>
        <w:t xml:space="preserve">The development lifecycle followed a structured, specification-first Agile process. Each phase fed into the next, ensuring that implementation always remained aligned with the original domain model and API contract.</w:t>
      </w:r>
    </w:p>
    <w:p>
      <w:pPr>
        <w:spacing w:after="0" w:before="0"/>
      </w:pPr>
      <w:r>
        <w:rPr>
          <w:sz w:val="80"/>
          <w:szCs w:val="80"/>
        </w:rPr>
        <w:t xml:space="preserve"/>
      </w:r>
    </w:p>
    <w:p>
      <w:pPr>
        <w:pStyle w:val="Heading2"/>
        <w:spacing w:after="120" w:before="280"/>
      </w:pPr>
      <w:r>
        <w:rPr>
          <w:rFonts w:ascii="Arial" w:cs="Arial" w:eastAsia="Arial" w:hAnsi="Arial"/>
          <w:b/>
          <w:bCs/>
          <w:color w:val="1A1A2E"/>
          <w:sz w:val="26"/>
          <w:szCs w:val="26"/>
        </w:rPr>
        <w:t xml:space="preserve">Phase 1 — Planning &amp; Domain Modeling</w:t>
      </w:r>
    </w:p>
    <w:p>
      <w:pPr>
        <w:spacing w:after="100" w:before="80"/>
        <w:jc w:val="both"/>
      </w:pPr>
      <w:r>
        <w:rPr>
          <w:rFonts w:ascii="Arial" w:cs="Arial" w:eastAsia="Arial" w:hAnsi="Arial"/>
          <w:color w:val="2D3748"/>
          <w:sz w:val="22"/>
          <w:szCs w:val="22"/>
        </w:rPr>
        <w:t xml:space="preserve">The process began with Domain-Driven Design principles to identify and formally specify the core entities: User, Expense, Budget, Category, Report, and Notification. Entity-Relationship diagrams were constructed to define cardinality mappings — User has a one-to-many relationship with Expenses, Categories, and Budgets, while Expenses maintain a many-to-one relationship with both Categories and Budgets. These models directly informed the database schema design and served as the architectural blueprint for the entire system.</w:t>
      </w:r>
    </w:p>
    <w:p>
      <w:pPr>
        <w:spacing w:after="0" w:before="0"/>
      </w:pPr>
      <w:r>
        <w:rPr>
          <w:sz w:val="80"/>
          <w:szCs w:val="80"/>
        </w:rPr>
        <w:t xml:space="preserve"/>
      </w:r>
    </w:p>
    <w:p>
      <w:pPr>
        <w:pStyle w:val="Heading2"/>
        <w:spacing w:after="120" w:before="280"/>
      </w:pPr>
      <w:r>
        <w:rPr>
          <w:rFonts w:ascii="Arial" w:cs="Arial" w:eastAsia="Arial" w:hAnsi="Arial"/>
          <w:b/>
          <w:bCs/>
          <w:color w:val="1A1A2E"/>
          <w:sz w:val="26"/>
          <w:szCs w:val="26"/>
        </w:rPr>
        <w:t xml:space="preserve">Phase 2 — API Contract Definition</w:t>
      </w:r>
    </w:p>
    <w:p>
      <w:pPr>
        <w:spacing w:after="100" w:before="80"/>
        <w:jc w:val="both"/>
      </w:pPr>
      <w:r>
        <w:rPr>
          <w:rFonts w:ascii="Arial" w:cs="Arial" w:eastAsia="Arial" w:hAnsi="Arial"/>
          <w:color w:val="2D3748"/>
          <w:sz w:val="22"/>
          <w:szCs w:val="22"/>
        </w:rPr>
        <w:t xml:space="preserve">Before any implementation code was written, the team authored the openapi.yaml specification. This contract-first approach decoupled frontend and backend development workstreams, enabling both to proceed in parallel without integration risk. The spec defined every endpoint path, HTTP method, request body schema, response shape, and authentication requirement. Any ambiguities in business logic were resolved at this stage — in the specification — rather than discovered as integration bugs later.</w:t>
      </w:r>
    </w:p>
    <w:p>
      <w:pPr>
        <w:spacing w:after="0" w:before="0"/>
      </w:pPr>
      <w:r>
        <w:rPr>
          <w:sz w:val="80"/>
          <w:szCs w:val="80"/>
        </w:rPr>
        <w:t xml:space="preserve"/>
      </w:r>
    </w:p>
    <w:p>
      <w:pPr>
        <w:pStyle w:val="Heading2"/>
        <w:spacing w:after="120" w:before="280"/>
      </w:pPr>
      <w:r>
        <w:rPr>
          <w:rFonts w:ascii="Arial" w:cs="Arial" w:eastAsia="Arial" w:hAnsi="Arial"/>
          <w:b/>
          <w:bCs/>
          <w:color w:val="1A1A2E"/>
          <w:sz w:val="26"/>
          <w:szCs w:val="26"/>
        </w:rPr>
        <w:t xml:space="preserve">Phase 3 — Database Schema Construction</w:t>
      </w:r>
    </w:p>
    <w:p>
      <w:pPr>
        <w:spacing w:after="100" w:before="80"/>
        <w:jc w:val="both"/>
      </w:pPr>
      <w:r>
        <w:rPr>
          <w:rFonts w:ascii="Arial" w:cs="Arial" w:eastAsia="Arial" w:hAnsi="Arial"/>
          <w:color w:val="2D3748"/>
          <w:sz w:val="22"/>
          <w:szCs w:val="22"/>
        </w:rPr>
        <w:t xml:space="preserve">With the API contract established, Drizzle table schemas were built inside the lib/db package to fulfill the data shapes specified in the OpenAPI document. The drizzle-zod utility was then applied to extract Zod validation schemas automatically from the Drizzle table definitions, eliminating schema drift between the database layer and the API validation layer. Migrations were generated and applied to provision the PostgreSQL schema.</w:t>
      </w:r>
    </w:p>
    <w:p>
      <w:pPr>
        <w:spacing w:after="0" w:before="0"/>
      </w:pPr>
      <w:r>
        <w:rPr>
          <w:sz w:val="80"/>
          <w:szCs w:val="80"/>
        </w:rPr>
        <w:t xml:space="preserve"/>
      </w:r>
    </w:p>
    <w:p>
      <w:pPr>
        <w:pStyle w:val="Heading2"/>
        <w:spacing w:after="120" w:before="280"/>
      </w:pPr>
      <w:r>
        <w:rPr>
          <w:rFonts w:ascii="Arial" w:cs="Arial" w:eastAsia="Arial" w:hAnsi="Arial"/>
          <w:b/>
          <w:bCs/>
          <w:color w:val="1A1A2E"/>
          <w:sz w:val="26"/>
          <w:szCs w:val="26"/>
        </w:rPr>
        <w:t xml:space="preserve">Phase 4 — Backend Implementation</w:t>
      </w:r>
    </w:p>
    <w:p>
      <w:pPr>
        <w:spacing w:after="100" w:before="80"/>
        <w:jc w:val="both"/>
      </w:pPr>
      <w:r>
        <w:rPr>
          <w:rFonts w:ascii="Arial" w:cs="Arial" w:eastAsia="Arial" w:hAnsi="Arial"/>
          <w:color w:val="2D3748"/>
          <w:sz w:val="22"/>
          <w:szCs w:val="22"/>
        </w:rPr>
        <w:t xml:space="preserve">Express route handlers were wired to mirror the OpenAPI path definitions exactly. Business logic — including the dashboard aggregation queries computing per-category monthly spend using Drizzle's groupBy, sum, and eq operators — was implemented and encapsulated within controller functions. The authentication middleware, error handling middleware, and response serialization utilities were built as shared concerns applied globally across all routes.</w:t>
      </w:r>
    </w:p>
    <w:p>
      <w:pPr>
        <w:spacing w:after="0" w:before="0"/>
      </w:pPr>
      <w:r>
        <w:rPr>
          <w:sz w:val="80"/>
          <w:szCs w:val="80"/>
        </w:rPr>
        <w:t xml:space="preserve"/>
      </w:r>
    </w:p>
    <w:p>
      <w:pPr>
        <w:pStyle w:val="Heading2"/>
        <w:spacing w:after="120" w:before="280"/>
      </w:pPr>
      <w:r>
        <w:rPr>
          <w:rFonts w:ascii="Arial" w:cs="Arial" w:eastAsia="Arial" w:hAnsi="Arial"/>
          <w:b/>
          <w:bCs/>
          <w:color w:val="1A1A2E"/>
          <w:sz w:val="26"/>
          <w:szCs w:val="26"/>
        </w:rPr>
        <w:t xml:space="preserve">Phase 5 — Frontend Code Generation &amp; Component Development</w:t>
      </w:r>
    </w:p>
    <w:p>
      <w:pPr>
        <w:spacing w:after="100" w:before="80"/>
        <w:jc w:val="both"/>
      </w:pPr>
      <w:r>
        <w:rPr>
          <w:rFonts w:ascii="Arial" w:cs="Arial" w:eastAsia="Arial" w:hAnsi="Arial"/>
          <w:color w:val="2D3748"/>
          <w:sz w:val="22"/>
          <w:szCs w:val="22"/>
        </w:rPr>
        <w:t xml:space="preserve">With the backend operational, Orval was executed against the openapi.yaml to auto-generate the @workspace/api-client-react package. This produced a complete library of typed React Query hooks requiring zero manual maintenance. Frontend UI components were built using Shadcn-style patterns and connected directly to these generated hooks, with React Query managing all server state, loading states, and error handling automatically.</w:t>
      </w:r>
    </w:p>
    <w:p>
      <w:pPr>
        <w:spacing w:after="0" w:before="0"/>
      </w:pPr>
      <w:r>
        <w:rPr>
          <w:sz w:val="80"/>
          <w:szCs w:val="80"/>
        </w:rPr>
        <w:t xml:space="preserve"/>
      </w:r>
    </w:p>
    <w:p>
      <w:pPr>
        <w:pStyle w:val="Heading2"/>
        <w:spacing w:after="120" w:before="280"/>
      </w:pPr>
      <w:r>
        <w:rPr>
          <w:rFonts w:ascii="Arial" w:cs="Arial" w:eastAsia="Arial" w:hAnsi="Arial"/>
          <w:b/>
          <w:bCs/>
          <w:color w:val="1A1A2E"/>
          <w:sz w:val="26"/>
          <w:szCs w:val="26"/>
        </w:rPr>
        <w:t xml:space="preserve">Phase 6 — Testing &amp; Type Validation</w:t>
      </w:r>
    </w:p>
    <w:p>
      <w:pPr>
        <w:spacing w:after="100" w:before="80"/>
        <w:jc w:val="both"/>
      </w:pPr>
      <w:r>
        <w:rPr>
          <w:rFonts w:ascii="Arial" w:cs="Arial" w:eastAsia="Arial" w:hAnsi="Arial"/>
          <w:color w:val="2D3748"/>
          <w:sz w:val="22"/>
          <w:szCs w:val="22"/>
        </w:rPr>
        <w:t xml:space="preserve">The primary quality gate was the TypeScript compiler itself, enforced via pnpm run typecheck executed across the entire workspace. Because the database schema, API validation schemas, and frontend network layer all derive from shared type definitions, any breaking change in the data model — such as renaming a column or adding a required field — propagates immediately as a compilation failure across all dependent packages. This tight coupling provides a high-confidence regression signal without requiring extensive unit test suites for type-level correctness.</w:t>
      </w:r>
    </w:p>
    <w:p>
      <w:pPr>
        <w:spacing w:after="0" w:before="0"/>
      </w:pPr>
      <w:r>
        <w:rPr>
          <w:sz w:val="80"/>
          <w:szCs w:val="80"/>
        </w:rPr>
        <w:t xml:space="preserve"/>
      </w:r>
    </w:p>
    <w:p>
      <w:pPr>
        <w:pStyle w:val="Heading2"/>
        <w:spacing w:after="120" w:before="280"/>
      </w:pPr>
      <w:r>
        <w:rPr>
          <w:rFonts w:ascii="Arial" w:cs="Arial" w:eastAsia="Arial" w:hAnsi="Arial"/>
          <w:b/>
          <w:bCs/>
          <w:color w:val="1A1A2E"/>
          <w:sz w:val="26"/>
          <w:szCs w:val="26"/>
        </w:rPr>
        <w:t xml:space="preserve">Phase 7 — Deployment &amp; Environment Management</w:t>
      </w:r>
    </w:p>
    <w:p>
      <w:pPr>
        <w:spacing w:after="100" w:before="80"/>
        <w:jc w:val="both"/>
      </w:pPr>
      <w:r>
        <w:rPr>
          <w:rFonts w:ascii="Arial" w:cs="Arial" w:eastAsia="Arial" w:hAnsi="Arial"/>
          <w:color w:val="2D3748"/>
          <w:sz w:val="22"/>
          <w:szCs w:val="22"/>
        </w:rPr>
        <w:t xml:space="preserve">The application was structured for environment-aware deployment. Frontend static assets were produced via vite build and served independently from the Node.js API server. Environment variables were split across .env and .env.local files to separate shared configuration from machine-specific secrets. The stateless API design enables deployment on containerized platforms or serverless environments such as Vercel without architectural modification.</w:t>
      </w:r>
    </w:p>
    <w:p>
      <w:pPr>
        <w:spacing w:after="0" w:before="0"/>
      </w:pPr>
      <w:r>
        <w:br w:type="page"/>
      </w:r>
    </w:p>
    <w:p>
      <w:pPr>
        <w:pStyle w:val="Heading1"/>
        <w:pBdr>
          <w:bottom w:val="single" w:color="2E5BBA" w:sz="6" w:space="4"/>
        </w:pBdr>
        <w:spacing w:after="160" w:before="360"/>
      </w:pPr>
      <w:r>
        <w:rPr>
          <w:rFonts w:ascii="Arial" w:cs="Arial" w:eastAsia="Arial" w:hAnsi="Arial"/>
          <w:b/>
          <w:bCs/>
          <w:color w:val="1F3A8A"/>
          <w:sz w:val="30"/>
          <w:szCs w:val="30"/>
        </w:rPr>
        <w:t xml:space="preserve">6. Design Decisions &amp; Trade-offs</w:t>
      </w:r>
    </w:p>
    <w:p>
      <w:pPr>
        <w:spacing w:after="100" w:before="80"/>
        <w:jc w:val="both"/>
      </w:pPr>
      <w:r>
        <w:rPr>
          <w:rFonts w:ascii="Arial" w:cs="Arial" w:eastAsia="Arial" w:hAnsi="Arial"/>
          <w:color w:val="2D3748"/>
          <w:sz w:val="22"/>
          <w:szCs w:val="22"/>
        </w:rPr>
        <w:t xml:space="preserve">Every significant technology choice in this system involved deliberate evaluation of alternatives. The following table documents the key architectural decisions alongside their justifications and acknowledged trade-offs.</w:t>
      </w:r>
    </w:p>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60"/>
      </w:tblGrid>
      <w:tr>
        <w:tc>
          <w:tcPr>
            <w:tcW w:type="dxa" w:w="2500"/>
            <w:tcBorders>
              <w:top w:val="single" w:color="2E5BBA" w:sz="1"/>
              <w:left w:val="single" w:color="2E5BBA" w:sz="1"/>
              <w:bottom w:val="single" w:color="2E5BBA" w:sz="1"/>
              <w:right w:val="single" w:color="2E5BBA" w:sz="1"/>
            </w:tcBorders>
            <w:shd w:fill="1F3A8A" w:val="clear"/>
            <w:tcMar>
              <w:top w:type="dxa" w:w="100"/>
              <w:left w:type="dxa" w:w="160"/>
              <w:bottom w:type="dxa" w:w="100"/>
              <w:right w:type="dxa" w:w="160"/>
            </w:tcMar>
          </w:tcPr>
          <w:p>
            <w:r>
              <w:rPr>
                <w:rFonts w:ascii="Arial" w:cs="Arial" w:eastAsia="Arial" w:hAnsi="Arial"/>
                <w:b/>
                <w:bCs/>
                <w:color w:val="FFFFFF"/>
                <w:sz w:val="20"/>
                <w:szCs w:val="20"/>
              </w:rPr>
              <w:t xml:space="preserve">Decision</w:t>
            </w:r>
          </w:p>
        </w:tc>
        <w:tc>
          <w:tcPr>
            <w:tcW w:type="dxa" w:w="3600"/>
            <w:tcBorders>
              <w:top w:val="single" w:color="2E5BBA" w:sz="1"/>
              <w:left w:val="single" w:color="2E5BBA" w:sz="1"/>
              <w:bottom w:val="single" w:color="2E5BBA" w:sz="1"/>
              <w:right w:val="single" w:color="2E5BBA" w:sz="1"/>
            </w:tcBorders>
            <w:shd w:fill="1F3A8A" w:val="clear"/>
            <w:tcMar>
              <w:top w:type="dxa" w:w="100"/>
              <w:left w:type="dxa" w:w="160"/>
              <w:bottom w:type="dxa" w:w="100"/>
              <w:right w:type="dxa" w:w="160"/>
            </w:tcMar>
          </w:tcPr>
          <w:p>
            <w:r>
              <w:rPr>
                <w:rFonts w:ascii="Arial" w:cs="Arial" w:eastAsia="Arial" w:hAnsi="Arial"/>
                <w:b/>
                <w:bCs/>
                <w:color w:val="FFFFFF"/>
                <w:sz w:val="20"/>
                <w:szCs w:val="20"/>
              </w:rPr>
              <w:t xml:space="preserve">Rationale</w:t>
            </w:r>
          </w:p>
        </w:tc>
        <w:tc>
          <w:tcPr>
            <w:tcW w:type="dxa" w:w="3260"/>
            <w:tcBorders>
              <w:top w:val="single" w:color="2E5BBA" w:sz="1"/>
              <w:left w:val="single" w:color="2E5BBA" w:sz="1"/>
              <w:bottom w:val="single" w:color="2E5BBA" w:sz="1"/>
              <w:right w:val="single" w:color="2E5BBA" w:sz="1"/>
            </w:tcBorders>
            <w:shd w:fill="1F3A8A" w:val="clear"/>
            <w:tcMar>
              <w:top w:type="dxa" w:w="100"/>
              <w:left w:type="dxa" w:w="160"/>
              <w:bottom w:type="dxa" w:w="100"/>
              <w:right w:type="dxa" w:w="160"/>
            </w:tcMar>
          </w:tcPr>
          <w:p>
            <w:r>
              <w:rPr>
                <w:rFonts w:ascii="Arial" w:cs="Arial" w:eastAsia="Arial" w:hAnsi="Arial"/>
                <w:b/>
                <w:bCs/>
                <w:color w:val="FFFFFF"/>
                <w:sz w:val="20"/>
                <w:szCs w:val="20"/>
              </w:rPr>
              <w:t xml:space="preserve">Trade-off</w:t>
            </w:r>
          </w:p>
        </w:tc>
      </w:tr>
      <w:tr>
        <w:tc>
          <w:tcPr>
            <w:tcW w:type="dxa" w:w="2500"/>
            <w:tcBorders>
              <w:top w:val="single" w:color="CCCCCC" w:sz="1"/>
              <w:left w:val="single" w:color="CCCCCC" w:sz="1"/>
              <w:bottom w:val="single" w:color="CCCCCC" w:sz="1"/>
              <w:right w:val="single" w:color="CCCCCC" w:sz="1"/>
            </w:tcBorders>
            <w:shd w:fill="F4F6FB" w:val="clear"/>
            <w:tcMar>
              <w:top w:type="dxa" w:w="100"/>
              <w:left w:type="dxa" w:w="160"/>
              <w:bottom w:type="dxa" w:w="100"/>
              <w:right w:type="dxa" w:w="160"/>
            </w:tcMar>
          </w:tcPr>
          <w:p>
            <w:r>
              <w:rPr>
                <w:rFonts w:ascii="Arial" w:cs="Arial" w:eastAsia="Arial" w:hAnsi="Arial"/>
                <w:b/>
                <w:bCs/>
                <w:color w:val="1F3A8A"/>
                <w:sz w:val="20"/>
                <w:szCs w:val="20"/>
              </w:rPr>
              <w:t xml:space="preserve">Drizzle ORM over Prisma / TypeORM</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Drizzle does not abstract SQL entirely. Complex aggregations essential to the analytics dashboard — category-level spend groupBy, sum, and date-range filtering — can be expressed with full performance control and type safety.</w:t>
            </w:r>
          </w:p>
        </w:tc>
        <w:tc>
          <w:tcPr>
            <w:tcW w:type="dxa" w:w="3260"/>
            <w:tcBorders>
              <w:top w:val="single" w:color="CCCCCC" w:sz="1"/>
              <w:left w:val="single" w:color="CCCCCC" w:sz="1"/>
              <w:bottom w:val="single" w:color="CCCCCC" w:sz="1"/>
              <w:right w:val="single" w:color="CCCCCC" w:sz="1"/>
            </w:tcBorders>
            <w:shd w:fill="FFF8F0" w:val="clear"/>
            <w:tcMar>
              <w:top w:type="dxa" w:w="100"/>
              <w:left w:type="dxa" w:w="160"/>
              <w:bottom w:type="dxa" w:w="100"/>
              <w:right w:type="dxa" w:w="160"/>
            </w:tcMar>
          </w:tcPr>
          <w:p>
            <w:r>
              <w:rPr>
                <w:rFonts w:ascii="Arial" w:cs="Arial" w:eastAsia="Arial" w:hAnsi="Arial"/>
                <w:color w:val="7A4F00"/>
                <w:sz w:val="20"/>
                <w:szCs w:val="20"/>
              </w:rPr>
              <w:t xml:space="preserve">Queries are more verbose than Prisma's fluent API. Developers must be comfortable with SQL semantics rather than relying on ORM abstraction.</w:t>
            </w:r>
          </w:p>
        </w:tc>
      </w:tr>
      <w:tr>
        <w:tc>
          <w:tcPr>
            <w:tcW w:type="dxa" w:w="2500"/>
            <w:tcBorders>
              <w:top w:val="single" w:color="CCCCCC" w:sz="1"/>
              <w:left w:val="single" w:color="CCCCCC" w:sz="1"/>
              <w:bottom w:val="single" w:color="CCCCCC" w:sz="1"/>
              <w:right w:val="single" w:color="CCCCCC" w:sz="1"/>
            </w:tcBorders>
            <w:shd w:fill="F4F6FB" w:val="clear"/>
            <w:tcMar>
              <w:top w:type="dxa" w:w="100"/>
              <w:left w:type="dxa" w:w="160"/>
              <w:bottom w:type="dxa" w:w="100"/>
              <w:right w:type="dxa" w:w="160"/>
            </w:tcMar>
          </w:tcPr>
          <w:p>
            <w:r>
              <w:rPr>
                <w:rFonts w:ascii="Arial" w:cs="Arial" w:eastAsia="Arial" w:hAnsi="Arial"/>
                <w:b/>
                <w:bCs/>
                <w:color w:val="1F3A8A"/>
                <w:sz w:val="20"/>
                <w:szCs w:val="20"/>
              </w:rPr>
              <w:t xml:space="preserve">PNPM Monorepo with Shared Types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Shared packages enforce strict synchronization between the database schema, API validation layer, and frontend network client. A schema change cannot silently break the UI — the TypeScript compiler fails first.</w:t>
            </w:r>
          </w:p>
        </w:tc>
        <w:tc>
          <w:tcPr>
            <w:tcW w:type="dxa" w:w="3260"/>
            <w:tcBorders>
              <w:top w:val="single" w:color="CCCCCC" w:sz="1"/>
              <w:left w:val="single" w:color="CCCCCC" w:sz="1"/>
              <w:bottom w:val="single" w:color="CCCCCC" w:sz="1"/>
              <w:right w:val="single" w:color="CCCCCC" w:sz="1"/>
            </w:tcBorders>
            <w:shd w:fill="FFF8F0" w:val="clear"/>
            <w:tcMar>
              <w:top w:type="dxa" w:w="100"/>
              <w:left w:type="dxa" w:w="160"/>
              <w:bottom w:type="dxa" w:w="100"/>
              <w:right w:type="dxa" w:w="160"/>
            </w:tcMar>
          </w:tcPr>
          <w:p>
            <w:r>
              <w:rPr>
                <w:rFonts w:ascii="Arial" w:cs="Arial" w:eastAsia="Arial" w:hAnsi="Arial"/>
                <w:color w:val="7A4F00"/>
                <w:sz w:val="20"/>
                <w:szCs w:val="20"/>
              </w:rPr>
              <w:t xml:space="preserve">Higher initial setup complexity. Developers must understand workspace package linking and dependency hoisting before contributing effectively.</w:t>
            </w:r>
          </w:p>
        </w:tc>
      </w:tr>
      <w:tr>
        <w:tc>
          <w:tcPr>
            <w:tcW w:type="dxa" w:w="2500"/>
            <w:tcBorders>
              <w:top w:val="single" w:color="CCCCCC" w:sz="1"/>
              <w:left w:val="single" w:color="CCCCCC" w:sz="1"/>
              <w:bottom w:val="single" w:color="CCCCCC" w:sz="1"/>
              <w:right w:val="single" w:color="CCCCCC" w:sz="1"/>
            </w:tcBorders>
            <w:shd w:fill="F4F6FB" w:val="clear"/>
            <w:tcMar>
              <w:top w:type="dxa" w:w="100"/>
              <w:left w:type="dxa" w:w="160"/>
              <w:bottom w:type="dxa" w:w="100"/>
              <w:right w:type="dxa" w:w="160"/>
            </w:tcMar>
          </w:tcPr>
          <w:p>
            <w:r>
              <w:rPr>
                <w:rFonts w:ascii="Arial" w:cs="Arial" w:eastAsia="Arial" w:hAnsi="Arial"/>
                <w:b/>
                <w:bCs/>
                <w:color w:val="1F3A8A"/>
                <w:sz w:val="20"/>
                <w:szCs w:val="20"/>
              </w:rPr>
              <w:t xml:space="preserve">Wouter over React Router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In a single-level dashboard SPA with no deeply nested layout requirements, Wouter provides equivalent routing functionality at a fraction of the JS bundle weight compared to react-router-dom.</w:t>
            </w:r>
          </w:p>
        </w:tc>
        <w:tc>
          <w:tcPr>
            <w:tcW w:type="dxa" w:w="3260"/>
            <w:tcBorders>
              <w:top w:val="single" w:color="CCCCCC" w:sz="1"/>
              <w:left w:val="single" w:color="CCCCCC" w:sz="1"/>
              <w:bottom w:val="single" w:color="CCCCCC" w:sz="1"/>
              <w:right w:val="single" w:color="CCCCCC" w:sz="1"/>
            </w:tcBorders>
            <w:shd w:fill="FFF8F0" w:val="clear"/>
            <w:tcMar>
              <w:top w:type="dxa" w:w="100"/>
              <w:left w:type="dxa" w:w="160"/>
              <w:bottom w:type="dxa" w:w="100"/>
              <w:right w:type="dxa" w:w="160"/>
            </w:tcMar>
          </w:tcPr>
          <w:p>
            <w:r>
              <w:rPr>
                <w:rFonts w:ascii="Arial" w:cs="Arial" w:eastAsia="Arial" w:hAnsi="Arial"/>
                <w:color w:val="7A4F00"/>
                <w:sz w:val="20"/>
                <w:szCs w:val="20"/>
              </w:rPr>
              <w:t xml:space="preserve">Wouter lacks some advanced features such as route-level data loaders and nested outlet patterns. Migrating to React Router would be required if routing complexity grows significantly.</w:t>
            </w:r>
          </w:p>
        </w:tc>
      </w:tr>
      <w:tr>
        <w:tc>
          <w:tcPr>
            <w:tcW w:type="dxa" w:w="2500"/>
            <w:tcBorders>
              <w:top w:val="single" w:color="CCCCCC" w:sz="1"/>
              <w:left w:val="single" w:color="CCCCCC" w:sz="1"/>
              <w:bottom w:val="single" w:color="CCCCCC" w:sz="1"/>
              <w:right w:val="single" w:color="CCCCCC" w:sz="1"/>
            </w:tcBorders>
            <w:shd w:fill="F4F6FB" w:val="clear"/>
            <w:tcMar>
              <w:top w:type="dxa" w:w="100"/>
              <w:left w:type="dxa" w:w="160"/>
              <w:bottom w:type="dxa" w:w="100"/>
              <w:right w:type="dxa" w:w="160"/>
            </w:tcMar>
          </w:tcPr>
          <w:p>
            <w:r>
              <w:rPr>
                <w:rFonts w:ascii="Arial" w:cs="Arial" w:eastAsia="Arial" w:hAnsi="Arial"/>
                <w:b/>
                <w:bCs/>
                <w:color w:val="1F3A8A"/>
                <w:sz w:val="20"/>
                <w:szCs w:val="20"/>
              </w:rPr>
              <w:t xml:space="preserve">OpenAPI + Orval Code Generation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Auto-generating the entire frontend network layer from the API specification eliminates human error in URL construction, payload typing, and response deserialization. It also forces API documentation to stay current.</w:t>
            </w:r>
          </w:p>
        </w:tc>
        <w:tc>
          <w:tcPr>
            <w:tcW w:type="dxa" w:w="3260"/>
            <w:tcBorders>
              <w:top w:val="single" w:color="CCCCCC" w:sz="1"/>
              <w:left w:val="single" w:color="CCCCCC" w:sz="1"/>
              <w:bottom w:val="single" w:color="CCCCCC" w:sz="1"/>
              <w:right w:val="single" w:color="CCCCCC" w:sz="1"/>
            </w:tcBorders>
            <w:shd w:fill="FFF8F0" w:val="clear"/>
            <w:tcMar>
              <w:top w:type="dxa" w:w="100"/>
              <w:left w:type="dxa" w:w="160"/>
              <w:bottom w:type="dxa" w:w="100"/>
              <w:right w:type="dxa" w:w="160"/>
            </w:tcMar>
          </w:tcPr>
          <w:p>
            <w:r>
              <w:rPr>
                <w:rFonts w:ascii="Arial" w:cs="Arial" w:eastAsia="Arial" w:hAnsi="Arial"/>
                <w:color w:val="7A4F00"/>
                <w:sz w:val="20"/>
                <w:szCs w:val="20"/>
              </w:rPr>
              <w:t xml:space="preserve">The generation pipeline must be re-executed whenever the spec changes, adding a build step to the developer workflow. The generated code is not hand-editable.</w:t>
            </w:r>
          </w:p>
        </w:tc>
      </w:tr>
      <w:tr>
        <w:tc>
          <w:tcPr>
            <w:tcW w:type="dxa" w:w="2500"/>
            <w:tcBorders>
              <w:top w:val="single" w:color="CCCCCC" w:sz="1"/>
              <w:left w:val="single" w:color="CCCCCC" w:sz="1"/>
              <w:bottom w:val="single" w:color="CCCCCC" w:sz="1"/>
              <w:right w:val="single" w:color="CCCCCC" w:sz="1"/>
            </w:tcBorders>
            <w:shd w:fill="F4F6FB" w:val="clear"/>
            <w:tcMar>
              <w:top w:type="dxa" w:w="100"/>
              <w:left w:type="dxa" w:w="160"/>
              <w:bottom w:type="dxa" w:w="100"/>
              <w:right w:type="dxa" w:w="160"/>
            </w:tcMar>
          </w:tcPr>
          <w:p>
            <w:r>
              <w:rPr>
                <w:rFonts w:ascii="Arial" w:cs="Arial" w:eastAsia="Arial" w:hAnsi="Arial"/>
                <w:b/>
                <w:bCs/>
                <w:color w:val="1F3A8A"/>
                <w:sz w:val="20"/>
                <w:szCs w:val="20"/>
              </w:rPr>
              <w:t xml:space="preserve">JWT Stateless Authentication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Stateless JWTs allow the Node.js API tier to scale horizontally without requiring shared session storage. Any API server instance can independently verify any token.</w:t>
            </w:r>
          </w:p>
        </w:tc>
        <w:tc>
          <w:tcPr>
            <w:tcW w:type="dxa" w:w="3260"/>
            <w:tcBorders>
              <w:top w:val="single" w:color="CCCCCC" w:sz="1"/>
              <w:left w:val="single" w:color="CCCCCC" w:sz="1"/>
              <w:bottom w:val="single" w:color="CCCCCC" w:sz="1"/>
              <w:right w:val="single" w:color="CCCCCC" w:sz="1"/>
            </w:tcBorders>
            <w:shd w:fill="FFF8F0" w:val="clear"/>
            <w:tcMar>
              <w:top w:type="dxa" w:w="100"/>
              <w:left w:type="dxa" w:w="160"/>
              <w:bottom w:type="dxa" w:w="100"/>
              <w:right w:type="dxa" w:w="160"/>
            </w:tcMar>
          </w:tcPr>
          <w:p>
            <w:r>
              <w:rPr>
                <w:rFonts w:ascii="Arial" w:cs="Arial" w:eastAsia="Arial" w:hAnsi="Arial"/>
                <w:color w:val="7A4F00"/>
                <w:sz w:val="20"/>
                <w:szCs w:val="20"/>
              </w:rPr>
              <w:t xml:space="preserve">Token revocation before expiry requires additional infrastructure (e.g., a token blacklist in Redis). A compromised token remains valid until its natural expiration.</w:t>
            </w:r>
          </w:p>
        </w:tc>
      </w:tr>
    </w:tbl>
    <w:p>
      <w:pPr>
        <w:spacing w:after="0" w:before="0"/>
      </w:pPr>
      <w:r>
        <w:br w:type="page"/>
      </w:r>
    </w:p>
    <w:p>
      <w:pPr>
        <w:pStyle w:val="Heading1"/>
        <w:pBdr>
          <w:bottom w:val="single" w:color="2E5BBA" w:sz="6" w:space="4"/>
        </w:pBdr>
        <w:spacing w:after="160" w:before="360"/>
      </w:pPr>
      <w:r>
        <w:rPr>
          <w:rFonts w:ascii="Arial" w:cs="Arial" w:eastAsia="Arial" w:hAnsi="Arial"/>
          <w:b/>
          <w:bCs/>
          <w:color w:val="1F3A8A"/>
          <w:sz w:val="30"/>
          <w:szCs w:val="30"/>
        </w:rPr>
        <w:t xml:space="preserve">7. Scalability &amp; Future Improvements</w:t>
      </w:r>
    </w:p>
    <w:p>
      <w:pPr>
        <w:pStyle w:val="Heading2"/>
        <w:spacing w:after="120" w:before="280"/>
      </w:pPr>
      <w:r>
        <w:rPr>
          <w:rFonts w:ascii="Arial" w:cs="Arial" w:eastAsia="Arial" w:hAnsi="Arial"/>
          <w:b/>
          <w:bCs/>
          <w:color w:val="1A1A2E"/>
          <w:sz w:val="26"/>
          <w:szCs w:val="26"/>
        </w:rPr>
        <w:t xml:space="preserve">7.1  Current Scalability Posture</w:t>
      </w:r>
    </w:p>
    <w:p>
      <w:pPr>
        <w:spacing w:after="100" w:before="80"/>
        <w:jc w:val="both"/>
      </w:pPr>
      <w:r>
        <w:rPr>
          <w:rFonts w:ascii="Arial" w:cs="Arial" w:eastAsia="Arial" w:hAnsi="Arial"/>
          <w:color w:val="2D3748"/>
          <w:sz w:val="22"/>
          <w:szCs w:val="22"/>
        </w:rPr>
        <w:t xml:space="preserve">The system's stateless API design provides a strong foundation for horizontal scaling. Because no session state is stored server-side, multiple Node.js API instances can be deployed behind a load balancer — such as Nginx or an AWS Application Load Balancer — without requiring sticky sessions or inter-instance coordination. PostgreSQL acts as the single source of state. As read-heavy analytical workloads grow, PostgreSQL read replicas can be provisioned to offload dashboard aggregation queries from the primary write instance, maintaining low-latency write performance for transaction ingestion.</w:t>
      </w:r>
    </w:p>
    <w:p>
      <w:pPr>
        <w:spacing w:after="0" w:before="0"/>
      </w:pPr>
      <w:r>
        <w:rPr>
          <w:sz w:val="80"/>
          <w:szCs w:val="80"/>
        </w:rPr>
        <w:t xml:space="preserve"/>
      </w:r>
    </w:p>
    <w:p>
      <w:pPr>
        <w:pStyle w:val="Heading2"/>
        <w:spacing w:after="120" w:before="280"/>
      </w:pPr>
      <w:r>
        <w:rPr>
          <w:rFonts w:ascii="Arial" w:cs="Arial" w:eastAsia="Arial" w:hAnsi="Arial"/>
          <w:b/>
          <w:bCs/>
          <w:color w:val="1A1A2E"/>
          <w:sz w:val="26"/>
          <w:szCs w:val="26"/>
        </w:rPr>
        <w:t xml:space="preserve">7.2  Planned Engineering Improvements</w:t>
      </w:r>
    </w:p>
    <w:p>
      <w:pPr>
        <w:spacing w:after="100" w:before="200"/>
      </w:pPr>
      <w:r>
        <w:rPr>
          <w:rFonts w:ascii="Arial" w:cs="Arial" w:eastAsia="Arial" w:hAnsi="Arial"/>
          <w:b/>
          <w:bCs/>
          <w:i w:val="false"/>
          <w:iCs w:val="false"/>
          <w:color w:val="2E5BBA"/>
          <w:sz w:val="22"/>
          <w:szCs w:val="22"/>
        </w:rPr>
        <w:t xml:space="preserve">Caching Layer (Redis)</w:t>
      </w:r>
    </w:p>
    <w:p>
      <w:pPr>
        <w:spacing w:after="100" w:before="80"/>
        <w:jc w:val="both"/>
      </w:pPr>
      <w:r>
        <w:rPr>
          <w:rFonts w:ascii="Arial" w:cs="Arial" w:eastAsia="Arial" w:hAnsi="Arial"/>
          <w:color w:val="2D3748"/>
          <w:sz w:val="22"/>
          <w:szCs w:val="22"/>
        </w:rPr>
        <w:t xml:space="preserve">Analytical endpoints such as /api/dashboard/summary execute date-range aggregation queries against the full expense history on every request. For active users with years of transaction history, this imposes unnecessary database load. Introducing Redis as a caching layer — with per-user cache keys and TTLs aligned to update frequency — would dramatically reduce database compute overhead for these read-heavy endpoints.</w:t>
      </w:r>
    </w:p>
    <w:p>
      <w:pPr>
        <w:spacing w:after="100" w:before="200"/>
      </w:pPr>
      <w:r>
        <w:rPr>
          <w:rFonts w:ascii="Arial" w:cs="Arial" w:eastAsia="Arial" w:hAnsi="Arial"/>
          <w:b/>
          <w:bCs/>
          <w:i w:val="false"/>
          <w:iCs w:val="false"/>
          <w:color w:val="2E5BBA"/>
          <w:sz w:val="22"/>
          <w:szCs w:val="22"/>
        </w:rPr>
        <w:t xml:space="preserve">Real-Time Notification Engine</w:t>
      </w:r>
    </w:p>
    <w:p>
      <w:pPr>
        <w:spacing w:after="100" w:before="80"/>
        <w:jc w:val="both"/>
      </w:pPr>
      <w:r>
        <w:rPr>
          <w:rFonts w:ascii="Arial" w:cs="Arial" w:eastAsia="Arial" w:hAnsi="Arial"/>
          <w:color w:val="2D3748"/>
          <w:sz w:val="22"/>
          <w:szCs w:val="22"/>
        </w:rPr>
        <w:t xml:space="preserve">The current notification mechanism operates on a REST pull model: the frontend polls for new notifications. Replacing this with WebSockets or Server-Sent Events (SSE) would transition the system to a push model, delivering budget threshold alerts to the user interface instantaneously as spend events occur, without polling overhead.</w:t>
      </w:r>
    </w:p>
    <w:p>
      <w:pPr>
        <w:spacing w:after="100" w:before="200"/>
      </w:pPr>
      <w:r>
        <w:rPr>
          <w:rFonts w:ascii="Arial" w:cs="Arial" w:eastAsia="Arial" w:hAnsi="Arial"/>
          <w:b/>
          <w:bCs/>
          <w:i w:val="false"/>
          <w:iCs w:val="false"/>
          <w:color w:val="2E5BBA"/>
          <w:sz w:val="22"/>
          <w:szCs w:val="22"/>
        </w:rPr>
        <w:t xml:space="preserve">Background Job Processing</w:t>
      </w:r>
    </w:p>
    <w:p>
      <w:pPr>
        <w:spacing w:after="100" w:before="80"/>
        <w:jc w:val="both"/>
      </w:pPr>
      <w:r>
        <w:rPr>
          <w:rFonts w:ascii="Arial" w:cs="Arial" w:eastAsia="Arial" w:hAnsi="Arial"/>
          <w:color w:val="2D3748"/>
          <w:sz w:val="22"/>
          <w:szCs w:val="22"/>
        </w:rPr>
        <w:t xml:space="preserve">Monthly and yearly report generation is currently executed synchronously within the request lifecycle. For users with large transaction histories, this introduces response latency and risks HTTP timeout failures. Migrating report generation to an asynchronous job queue — using BullMQ backed by Redis, or a managed queue service such as Amazon SQS — would decouple report generation from the API response path entirely, improving reliability and user experience.</w:t>
      </w:r>
    </w:p>
    <w:p>
      <w:pPr>
        <w:spacing w:after="100" w:before="200"/>
      </w:pPr>
      <w:r>
        <w:rPr>
          <w:rFonts w:ascii="Arial" w:cs="Arial" w:eastAsia="Arial" w:hAnsi="Arial"/>
          <w:b/>
          <w:bCs/>
          <w:i w:val="false"/>
          <w:iCs w:val="false"/>
          <w:color w:val="2E5BBA"/>
          <w:sz w:val="22"/>
          <w:szCs w:val="22"/>
        </w:rPr>
        <w:t xml:space="preserve">Open Banking Integration</w:t>
      </w:r>
    </w:p>
    <w:p>
      <w:pPr>
        <w:spacing w:after="100" w:before="80"/>
        <w:jc w:val="both"/>
      </w:pPr>
      <w:r>
        <w:rPr>
          <w:rFonts w:ascii="Arial" w:cs="Arial" w:eastAsia="Arial" w:hAnsi="Arial"/>
          <w:color w:val="2D3748"/>
          <w:sz w:val="22"/>
          <w:szCs w:val="22"/>
        </w:rPr>
        <w:t xml:space="preserve">The system currently relies on manual expense entry, which introduces friction and incomplete data coverage. Integrating with the Plaid API or a comparable Open Banking service would enable automatic transaction ingestion directly from linked bank accounts and credit cards, eliminating manual input for routine transactions and significantly increasing data completeness.</w:t>
      </w:r>
    </w:p>
    <w:p>
      <w:pPr>
        <w:spacing w:after="100" w:before="200"/>
      </w:pPr>
      <w:r>
        <w:rPr>
          <w:rFonts w:ascii="Arial" w:cs="Arial" w:eastAsia="Arial" w:hAnsi="Arial"/>
          <w:b/>
          <w:bCs/>
          <w:i w:val="false"/>
          <w:iCs w:val="false"/>
          <w:color w:val="2E5BBA"/>
          <w:sz w:val="22"/>
          <w:szCs w:val="22"/>
        </w:rPr>
        <w:t xml:space="preserve">Two-Factor Authentication (2FA)</w:t>
      </w:r>
    </w:p>
    <w:p>
      <w:pPr>
        <w:spacing w:after="100" w:before="80"/>
        <w:jc w:val="both"/>
      </w:pPr>
      <w:r>
        <w:rPr>
          <w:rFonts w:ascii="Arial" w:cs="Arial" w:eastAsia="Arial" w:hAnsi="Arial"/>
          <w:color w:val="2D3748"/>
          <w:sz w:val="22"/>
          <w:szCs w:val="22"/>
        </w:rPr>
        <w:t xml:space="preserve">Given the sensitive nature of personal financial data, TOTP-based two-factor authentication should be introduced as a mandatory option for account access. Implementing RFC 6238-compliant TOTP via libraries such as otplib, paired with QR code provisioning for authenticator apps, would meaningfully elevate the security baseline without introducing significant UX friction.</w:t>
      </w:r>
    </w:p>
    <w:p>
      <w:pPr>
        <w:spacing w:after="0" w:before="0"/>
      </w:pPr>
      <w:r>
        <w:br w:type="page"/>
      </w:r>
    </w:p>
    <w:p>
      <w:pPr>
        <w:pStyle w:val="Heading1"/>
        <w:pBdr>
          <w:bottom w:val="single" w:color="2E5BBA" w:sz="6" w:space="4"/>
        </w:pBdr>
        <w:spacing w:after="160" w:before="360"/>
      </w:pPr>
      <w:r>
        <w:rPr>
          <w:rFonts w:ascii="Arial" w:cs="Arial" w:eastAsia="Arial" w:hAnsi="Arial"/>
          <w:b/>
          <w:bCs/>
          <w:color w:val="1F3A8A"/>
          <w:sz w:val="30"/>
          <w:szCs w:val="30"/>
        </w:rPr>
        <w:t xml:space="preserve">8. Conclusion</w:t>
      </w:r>
    </w:p>
    <w:p>
      <w:pPr>
        <w:spacing w:after="100" w:before="80"/>
        <w:jc w:val="both"/>
      </w:pPr>
      <w:r>
        <w:rPr>
          <w:rFonts w:ascii="Arial" w:cs="Arial" w:eastAsia="Arial" w:hAnsi="Arial"/>
          <w:color w:val="2D3748"/>
          <w:sz w:val="22"/>
          <w:szCs w:val="22"/>
        </w:rPr>
        <w:t xml:space="preserve">The Smart Expense &amp; Budget Management System demonstrates that personal finance management software need not be a trade-off between usability and architectural integrity. By anchoring the entire stack to a shared OpenAPI contract and enforcing end-to-end TypeScript type safety across database, API, and frontend layers, the system eliminates an entire category of integration bugs at compile time rather than at runtime.</w:t>
      </w:r>
    </w:p>
    <w:p>
      <w:pPr>
        <w:spacing w:after="100" w:before="80"/>
        <w:jc w:val="both"/>
      </w:pPr>
      <w:r>
        <w:rPr>
          <w:rFonts w:ascii="Arial" w:cs="Arial" w:eastAsia="Arial" w:hAnsi="Arial"/>
          <w:color w:val="2D3748"/>
          <w:sz w:val="22"/>
          <w:szCs w:val="22"/>
        </w:rPr>
        <w:t xml:space="preserve">The monorepo architecture, while demanding a higher initial investment in tooling and developer onboarding, pays compounding dividends as the codebase grows. Schema changes propagate immediately across all dependent layers, ensuring that the UI, validation logic, and database schema remain perpetually synchronized. This discipline is characteristic of production-grade engineering at scale and reflects the architectural patterns employed by leading technology organizations.</w:t>
      </w:r>
    </w:p>
    <w:p>
      <w:pPr>
        <w:spacing w:after="100" w:before="80"/>
        <w:jc w:val="both"/>
      </w:pPr>
      <w:r>
        <w:rPr>
          <w:rFonts w:ascii="Arial" w:cs="Arial" w:eastAsia="Arial" w:hAnsi="Arial"/>
          <w:color w:val="2D3748"/>
          <w:sz w:val="22"/>
          <w:szCs w:val="22"/>
        </w:rPr>
        <w:t xml:space="preserve">From a product perspective, the system delivers a comprehensive financial toolkit — real-time dashboards, customizable budgets, categorical analytics, and proactive alerting — within a privacy-preserving, locally deployable architecture. The foundations laid in this version, particularly the stateless API design, relational data model, and contract-driven code generation pipeline, provide a clear and low-friction upgrade path toward the Redis caching, real-time notification, and Open Banking integrations identified in the future roadmap.</w:t>
      </w:r>
    </w:p>
    <w:p>
      <w:pPr>
        <w:spacing w:after="100" w:before="80"/>
        <w:jc w:val="both"/>
      </w:pPr>
      <w:r>
        <w:rPr>
          <w:rFonts w:ascii="Arial" w:cs="Arial" w:eastAsia="Arial" w:hAnsi="Arial"/>
          <w:color w:val="2D3748"/>
          <w:sz w:val="22"/>
          <w:szCs w:val="22"/>
        </w:rPr>
        <w:t xml:space="preserve">This project represents a cohesive synthesis of modern full-stack engineering principles: domain-driven design, specification-first API development, shared type contracts, and infrastructure-agnostic deployment. It stands as both a functional personal finance application and a reference implementation of disciplined software architecture.</w:t>
      </w:r>
    </w:p>
    <w:p>
      <w:pPr>
        <w:spacing w:after="0" w:before="0"/>
      </w:pPr>
      <w:r>
        <w:br w:type="page"/>
      </w:r>
    </w:p>
    <w:p>
      <w:pPr>
        <w:pStyle w:val="Heading1"/>
        <w:pBdr>
          <w:bottom w:val="single" w:color="2E5BBA" w:sz="6" w:space="4"/>
        </w:pBdr>
        <w:spacing w:after="160" w:before="360"/>
      </w:pPr>
      <w:r>
        <w:rPr>
          <w:rFonts w:ascii="Arial" w:cs="Arial" w:eastAsia="Arial" w:hAnsi="Arial"/>
          <w:b/>
          <w:bCs/>
          <w:color w:val="1F3A8A"/>
          <w:sz w:val="30"/>
          <w:szCs w:val="30"/>
        </w:rPr>
        <w:t xml:space="preserve">9. Team Members</w:t>
      </w:r>
    </w:p>
    <w:p>
      <w:pPr>
        <w:spacing w:after="100" w:before="80"/>
        <w:jc w:val="both"/>
      </w:pPr>
      <w:r>
        <w:rPr>
          <w:rFonts w:ascii="Arial" w:cs="Arial" w:eastAsia="Arial" w:hAnsi="Arial"/>
          <w:color w:val="2D3748"/>
          <w:sz w:val="22"/>
          <w:szCs w:val="22"/>
        </w:rPr>
        <w:t xml:space="preserve">The following individuals contributed to the design, development, and documentation of the Smart Expense &amp; Budget Management System.</w:t>
      </w:r>
    </w:p>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860"/>
      </w:tblGrid>
      <w:tr>
        <w:tc>
          <w:tcPr>
            <w:tcW w:type="dxa" w:w="500"/>
            <w:tcBorders>
              <w:top w:val="single" w:color="2E5BBA" w:sz="1"/>
              <w:left w:val="single" w:color="2E5BBA" w:sz="1"/>
              <w:bottom w:val="single" w:color="2E5BBA" w:sz="1"/>
              <w:right w:val="single" w:color="2E5BBA" w:sz="1"/>
            </w:tcBorders>
            <w:shd w:fill="1F3A8A"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4000"/>
            <w:tcBorders>
              <w:top w:val="single" w:color="2E5BBA" w:sz="1"/>
              <w:left w:val="single" w:color="2E5BBA" w:sz="1"/>
              <w:bottom w:val="single" w:color="2E5BBA" w:sz="1"/>
              <w:right w:val="single" w:color="2E5BBA" w:sz="1"/>
            </w:tcBorders>
            <w:shd w:fill="1F3A8A" w:val="clear"/>
            <w:tcMar>
              <w:top w:type="dxa" w:w="100"/>
              <w:left w:type="dxa" w:w="160"/>
              <w:bottom w:type="dxa" w:w="100"/>
              <w:right w:type="dxa" w:w="160"/>
            </w:tcMar>
          </w:tcPr>
          <w:p>
            <w:r>
              <w:rPr>
                <w:rFonts w:ascii="Arial" w:cs="Arial" w:eastAsia="Arial" w:hAnsi="Arial"/>
                <w:b/>
                <w:bCs/>
                <w:color w:val="FFFFFF"/>
                <w:sz w:val="20"/>
                <w:szCs w:val="20"/>
              </w:rPr>
              <w:t xml:space="preserve">Name</w:t>
            </w:r>
          </w:p>
        </w:tc>
        <w:tc>
          <w:tcPr>
            <w:tcW w:type="dxa" w:w="4860"/>
            <w:tcBorders>
              <w:top w:val="single" w:color="2E5BBA" w:sz="1"/>
              <w:left w:val="single" w:color="2E5BBA" w:sz="1"/>
              <w:bottom w:val="single" w:color="2E5BBA" w:sz="1"/>
              <w:right w:val="single" w:color="2E5BBA" w:sz="1"/>
            </w:tcBorders>
            <w:shd w:fill="1F3A8A" w:val="clear"/>
            <w:tcMar>
              <w:top w:type="dxa" w:w="100"/>
              <w:left w:type="dxa" w:w="160"/>
              <w:bottom w:type="dxa" w:w="100"/>
              <w:right w:type="dxa" w:w="160"/>
            </w:tcMar>
          </w:tcPr>
          <w:p>
            <w:r>
              <w:rPr>
                <w:rFonts w:ascii="Arial" w:cs="Arial" w:eastAsia="Arial" w:hAnsi="Arial"/>
                <w:b/>
                <w:bCs/>
                <w:color w:val="FFFFFF"/>
                <w:sz w:val="20"/>
                <w:szCs w:val="20"/>
              </w:rPr>
              <w:t xml:space="preserve">Enrollment Number</w:t>
            </w:r>
          </w:p>
        </w:tc>
      </w:tr>
      <w:tr>
        <w:tc>
          <w:tcPr>
            <w:tcW w:type="dxa" w:w="500"/>
            <w:tcBorders>
              <w:top w:val="single" w:color="C8D8F0" w:sz="1"/>
              <w:left w:val="single" w:color="C8D8F0" w:sz="1"/>
              <w:bottom w:val="single" w:color="C8D8F0" w:sz="1"/>
              <w:right w:val="single" w:color="C8D8F0" w:sz="1"/>
            </w:tcBorders>
            <w:shd w:fill="F4F6FB" w:val="clear"/>
            <w:tcMar>
              <w:top w:type="dxa" w:w="100"/>
              <w:left w:type="dxa" w:w="160"/>
              <w:bottom w:type="dxa" w:w="100"/>
              <w:right w:type="dxa" w:w="160"/>
            </w:tcMar>
          </w:tcPr>
          <w:p>
            <w:r>
              <w:rPr>
                <w:rFonts w:ascii="Arial" w:cs="Arial" w:eastAsia="Arial" w:hAnsi="Arial"/>
                <w:b/>
                <w:bCs/>
                <w:color w:val="1F3A8A"/>
                <w:sz w:val="22"/>
                <w:szCs w:val="22"/>
              </w:rPr>
              <w:t xml:space="preserve">1</w:t>
            </w:r>
          </w:p>
        </w:tc>
        <w:tc>
          <w:tcPr>
            <w:tcW w:type="dxa" w:w="4000"/>
            <w:tcBorders>
              <w:top w:val="single" w:color="C8D8F0" w:sz="1"/>
              <w:left w:val="single" w:color="C8D8F0" w:sz="1"/>
              <w:bottom w:val="single" w:color="C8D8F0" w:sz="1"/>
              <w:right w:val="single" w:color="C8D8F0" w:sz="1"/>
            </w:tcBorders>
            <w:shd w:fill="F4F6FB" w:val="clear"/>
            <w:tcMar>
              <w:top w:type="dxa" w:w="100"/>
              <w:left w:type="dxa" w:w="160"/>
              <w:bottom w:type="dxa" w:w="100"/>
              <w:right w:type="dxa" w:w="160"/>
            </w:tcMar>
          </w:tcPr>
          <w:p>
            <w:r>
              <w:rPr>
                <w:rFonts w:ascii="Arial" w:cs="Arial" w:eastAsia="Arial" w:hAnsi="Arial"/>
                <w:b/>
                <w:bCs/>
                <w:color w:val="1A1A2E"/>
                <w:sz w:val="22"/>
                <w:szCs w:val="22"/>
              </w:rPr>
              <w:t xml:space="preserve">Sanath Waraikar</w:t>
            </w:r>
          </w:p>
        </w:tc>
        <w:tc>
          <w:tcPr>
            <w:tcW w:type="dxa" w:w="4860"/>
            <w:tcBorders>
              <w:top w:val="single" w:color="C8D8F0" w:sz="1"/>
              <w:left w:val="single" w:color="C8D8F0" w:sz="1"/>
              <w:bottom w:val="single" w:color="C8D8F0" w:sz="1"/>
              <w:right w:val="single" w:color="C8D8F0" w:sz="1"/>
            </w:tcBorders>
            <w:shd w:fill="F4F6FB" w:val="clear"/>
            <w:tcMar>
              <w:top w:type="dxa" w:w="100"/>
              <w:left w:type="dxa" w:w="160"/>
              <w:bottom w:type="dxa" w:w="100"/>
              <w:right w:type="dxa" w:w="160"/>
            </w:tcMar>
          </w:tcPr>
          <w:p>
            <w:r>
              <w:rPr>
                <w:rFonts w:ascii="Arial" w:cs="Arial" w:eastAsia="Arial" w:hAnsi="Arial"/>
                <w:color w:val="2D3748"/>
                <w:sz w:val="22"/>
                <w:szCs w:val="22"/>
              </w:rPr>
              <w:t xml:space="preserve">2401010413</w:t>
            </w:r>
          </w:p>
        </w:tc>
      </w:tr>
      <w:tr>
        <w:tc>
          <w:tcPr>
            <w:tcW w:type="dxa" w:w="500"/>
            <w:tcBorders>
              <w:top w:val="single" w:color="C8D8F0" w:sz="1"/>
              <w:left w:val="single" w:color="C8D8F0" w:sz="1"/>
              <w:bottom w:val="single" w:color="C8D8F0" w:sz="1"/>
              <w:right w:val="single" w:color="C8D8F0" w:sz="1"/>
            </w:tcBorders>
            <w:shd w:fill="FFFFFF" w:val="clear"/>
            <w:tcMar>
              <w:top w:type="dxa" w:w="100"/>
              <w:left w:type="dxa" w:w="160"/>
              <w:bottom w:type="dxa" w:w="100"/>
              <w:right w:type="dxa" w:w="160"/>
            </w:tcMar>
          </w:tcPr>
          <w:p>
            <w:r>
              <w:rPr>
                <w:rFonts w:ascii="Arial" w:cs="Arial" w:eastAsia="Arial" w:hAnsi="Arial"/>
                <w:b/>
                <w:bCs/>
                <w:color w:val="1F3A8A"/>
                <w:sz w:val="22"/>
                <w:szCs w:val="22"/>
              </w:rPr>
              <w:t xml:space="preserve">2</w:t>
            </w:r>
          </w:p>
        </w:tc>
        <w:tc>
          <w:tcPr>
            <w:tcW w:type="dxa" w:w="4000"/>
            <w:tcBorders>
              <w:top w:val="single" w:color="C8D8F0" w:sz="1"/>
              <w:left w:val="single" w:color="C8D8F0" w:sz="1"/>
              <w:bottom w:val="single" w:color="C8D8F0" w:sz="1"/>
              <w:right w:val="single" w:color="C8D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Archit Mamodiya</w:t>
            </w:r>
          </w:p>
        </w:tc>
        <w:tc>
          <w:tcPr>
            <w:tcW w:type="dxa" w:w="4860"/>
            <w:tcBorders>
              <w:top w:val="single" w:color="C8D8F0" w:sz="1"/>
              <w:left w:val="single" w:color="C8D8F0" w:sz="1"/>
              <w:bottom w:val="single" w:color="C8D8F0" w:sz="1"/>
              <w:right w:val="single" w:color="C8D8F0" w:sz="1"/>
            </w:tcBorders>
            <w:shd w:fill="FFFFFF" w:val="clear"/>
            <w:tcMar>
              <w:top w:type="dxa" w:w="100"/>
              <w:left w:type="dxa" w:w="160"/>
              <w:bottom w:type="dxa" w:w="100"/>
              <w:right w:type="dxa" w:w="160"/>
            </w:tcMar>
          </w:tcPr>
          <w:p>
            <w:r>
              <w:rPr>
                <w:rFonts w:ascii="Arial" w:cs="Arial" w:eastAsia="Arial" w:hAnsi="Arial"/>
                <w:color w:val="2D3748"/>
                <w:sz w:val="22"/>
                <w:szCs w:val="22"/>
              </w:rPr>
              <w:t xml:space="preserve">2401010095</w:t>
            </w:r>
          </w:p>
        </w:tc>
      </w:tr>
      <w:tr>
        <w:tc>
          <w:tcPr>
            <w:tcW w:type="dxa" w:w="500"/>
            <w:tcBorders>
              <w:top w:val="single" w:color="C8D8F0" w:sz="1"/>
              <w:left w:val="single" w:color="C8D8F0" w:sz="1"/>
              <w:bottom w:val="single" w:color="C8D8F0" w:sz="1"/>
              <w:right w:val="single" w:color="C8D8F0" w:sz="1"/>
            </w:tcBorders>
            <w:shd w:fill="F4F6FB" w:val="clear"/>
            <w:tcMar>
              <w:top w:type="dxa" w:w="100"/>
              <w:left w:type="dxa" w:w="160"/>
              <w:bottom w:type="dxa" w:w="100"/>
              <w:right w:type="dxa" w:w="160"/>
            </w:tcMar>
          </w:tcPr>
          <w:p>
            <w:r>
              <w:rPr>
                <w:rFonts w:ascii="Arial" w:cs="Arial" w:eastAsia="Arial" w:hAnsi="Arial"/>
                <w:b/>
                <w:bCs/>
                <w:color w:val="1F3A8A"/>
                <w:sz w:val="22"/>
                <w:szCs w:val="22"/>
              </w:rPr>
              <w:t xml:space="preserve">3</w:t>
            </w:r>
          </w:p>
        </w:tc>
        <w:tc>
          <w:tcPr>
            <w:tcW w:type="dxa" w:w="4000"/>
            <w:tcBorders>
              <w:top w:val="single" w:color="C8D8F0" w:sz="1"/>
              <w:left w:val="single" w:color="C8D8F0" w:sz="1"/>
              <w:bottom w:val="single" w:color="C8D8F0" w:sz="1"/>
              <w:right w:val="single" w:color="C8D8F0" w:sz="1"/>
            </w:tcBorders>
            <w:shd w:fill="F4F6FB" w:val="clear"/>
            <w:tcMar>
              <w:top w:type="dxa" w:w="100"/>
              <w:left w:type="dxa" w:w="160"/>
              <w:bottom w:type="dxa" w:w="100"/>
              <w:right w:type="dxa" w:w="160"/>
            </w:tcMar>
          </w:tcPr>
          <w:p>
            <w:r>
              <w:rPr>
                <w:rFonts w:ascii="Arial" w:cs="Arial" w:eastAsia="Arial" w:hAnsi="Arial"/>
                <w:b/>
                <w:bCs/>
                <w:color w:val="1A1A2E"/>
                <w:sz w:val="22"/>
                <w:szCs w:val="22"/>
              </w:rPr>
              <w:t xml:space="preserve">Vansh Jain</w:t>
            </w:r>
          </w:p>
        </w:tc>
        <w:tc>
          <w:tcPr>
            <w:tcW w:type="dxa" w:w="4860"/>
            <w:tcBorders>
              <w:top w:val="single" w:color="C8D8F0" w:sz="1"/>
              <w:left w:val="single" w:color="C8D8F0" w:sz="1"/>
              <w:bottom w:val="single" w:color="C8D8F0" w:sz="1"/>
              <w:right w:val="single" w:color="C8D8F0" w:sz="1"/>
            </w:tcBorders>
            <w:shd w:fill="F4F6FB" w:val="clear"/>
            <w:tcMar>
              <w:top w:type="dxa" w:w="100"/>
              <w:left w:type="dxa" w:w="160"/>
              <w:bottom w:type="dxa" w:w="100"/>
              <w:right w:type="dxa" w:w="160"/>
            </w:tcMar>
          </w:tcPr>
          <w:p>
            <w:r>
              <w:rPr>
                <w:rFonts w:ascii="Arial" w:cs="Arial" w:eastAsia="Arial" w:hAnsi="Arial"/>
                <w:color w:val="2D3748"/>
                <w:sz w:val="22"/>
                <w:szCs w:val="22"/>
              </w:rPr>
              <w:t xml:space="preserve">2401010492</w:t>
            </w:r>
          </w:p>
        </w:tc>
      </w:tr>
      <w:tr>
        <w:tc>
          <w:tcPr>
            <w:tcW w:type="dxa" w:w="500"/>
            <w:tcBorders>
              <w:top w:val="single" w:color="C8D8F0" w:sz="1"/>
              <w:left w:val="single" w:color="C8D8F0" w:sz="1"/>
              <w:bottom w:val="single" w:color="C8D8F0" w:sz="1"/>
              <w:right w:val="single" w:color="C8D8F0" w:sz="1"/>
            </w:tcBorders>
            <w:shd w:fill="FFFFFF" w:val="clear"/>
            <w:tcMar>
              <w:top w:type="dxa" w:w="100"/>
              <w:left w:type="dxa" w:w="160"/>
              <w:bottom w:type="dxa" w:w="100"/>
              <w:right w:type="dxa" w:w="160"/>
            </w:tcMar>
          </w:tcPr>
          <w:p>
            <w:r>
              <w:rPr>
                <w:rFonts w:ascii="Arial" w:cs="Arial" w:eastAsia="Arial" w:hAnsi="Arial"/>
                <w:b/>
                <w:bCs/>
                <w:color w:val="1F3A8A"/>
                <w:sz w:val="22"/>
                <w:szCs w:val="22"/>
              </w:rPr>
              <w:t xml:space="preserve">4</w:t>
            </w:r>
          </w:p>
        </w:tc>
        <w:tc>
          <w:tcPr>
            <w:tcW w:type="dxa" w:w="4000"/>
            <w:tcBorders>
              <w:top w:val="single" w:color="C8D8F0" w:sz="1"/>
              <w:left w:val="single" w:color="C8D8F0" w:sz="1"/>
              <w:bottom w:val="single" w:color="C8D8F0" w:sz="1"/>
              <w:right w:val="single" w:color="C8D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Sushant Yadav</w:t>
            </w:r>
          </w:p>
        </w:tc>
        <w:tc>
          <w:tcPr>
            <w:tcW w:type="dxa" w:w="4860"/>
            <w:tcBorders>
              <w:top w:val="single" w:color="C8D8F0" w:sz="1"/>
              <w:left w:val="single" w:color="C8D8F0" w:sz="1"/>
              <w:bottom w:val="single" w:color="C8D8F0" w:sz="1"/>
              <w:right w:val="single" w:color="C8D8F0" w:sz="1"/>
            </w:tcBorders>
            <w:shd w:fill="FFFFFF" w:val="clear"/>
            <w:tcMar>
              <w:top w:type="dxa" w:w="100"/>
              <w:left w:type="dxa" w:w="160"/>
              <w:bottom w:type="dxa" w:w="100"/>
              <w:right w:type="dxa" w:w="160"/>
            </w:tcMar>
          </w:tcPr>
          <w:p>
            <w:r>
              <w:rPr>
                <w:rFonts w:ascii="Arial" w:cs="Arial" w:eastAsia="Arial" w:hAnsi="Arial"/>
                <w:color w:val="2D3748"/>
                <w:sz w:val="22"/>
                <w:szCs w:val="22"/>
              </w:rPr>
              <w:t xml:space="preserve">2401010469</w:t>
            </w:r>
          </w:p>
        </w:tc>
      </w:tr>
      <w:tr>
        <w:tc>
          <w:tcPr>
            <w:tcW w:type="dxa" w:w="500"/>
            <w:tcBorders>
              <w:top w:val="single" w:color="C8D8F0" w:sz="1"/>
              <w:left w:val="single" w:color="C8D8F0" w:sz="1"/>
              <w:bottom w:val="single" w:color="C8D8F0" w:sz="1"/>
              <w:right w:val="single" w:color="C8D8F0" w:sz="1"/>
            </w:tcBorders>
            <w:shd w:fill="F4F6FB" w:val="clear"/>
            <w:tcMar>
              <w:top w:type="dxa" w:w="100"/>
              <w:left w:type="dxa" w:w="160"/>
              <w:bottom w:type="dxa" w:w="100"/>
              <w:right w:type="dxa" w:w="160"/>
            </w:tcMar>
          </w:tcPr>
          <w:p>
            <w:r>
              <w:rPr>
                <w:rFonts w:ascii="Arial" w:cs="Arial" w:eastAsia="Arial" w:hAnsi="Arial"/>
                <w:b/>
                <w:bCs/>
                <w:color w:val="1F3A8A"/>
                <w:sz w:val="22"/>
                <w:szCs w:val="22"/>
              </w:rPr>
              <w:t xml:space="preserve">5</w:t>
            </w:r>
          </w:p>
        </w:tc>
        <w:tc>
          <w:tcPr>
            <w:tcW w:type="dxa" w:w="4000"/>
            <w:tcBorders>
              <w:top w:val="single" w:color="C8D8F0" w:sz="1"/>
              <w:left w:val="single" w:color="C8D8F0" w:sz="1"/>
              <w:bottom w:val="single" w:color="C8D8F0" w:sz="1"/>
              <w:right w:val="single" w:color="C8D8F0" w:sz="1"/>
            </w:tcBorders>
            <w:shd w:fill="F4F6FB" w:val="clear"/>
            <w:tcMar>
              <w:top w:type="dxa" w:w="100"/>
              <w:left w:type="dxa" w:w="160"/>
              <w:bottom w:type="dxa" w:w="100"/>
              <w:right w:type="dxa" w:w="160"/>
            </w:tcMar>
          </w:tcPr>
          <w:p>
            <w:r>
              <w:rPr>
                <w:rFonts w:ascii="Arial" w:cs="Arial" w:eastAsia="Arial" w:hAnsi="Arial"/>
                <w:b/>
                <w:bCs/>
                <w:color w:val="1A1A2E"/>
                <w:sz w:val="22"/>
                <w:szCs w:val="22"/>
              </w:rPr>
              <w:t xml:space="preserve">Aryan Bhargava</w:t>
            </w:r>
          </w:p>
        </w:tc>
        <w:tc>
          <w:tcPr>
            <w:tcW w:type="dxa" w:w="4860"/>
            <w:tcBorders>
              <w:top w:val="single" w:color="C8D8F0" w:sz="1"/>
              <w:left w:val="single" w:color="C8D8F0" w:sz="1"/>
              <w:bottom w:val="single" w:color="C8D8F0" w:sz="1"/>
              <w:right w:val="single" w:color="C8D8F0" w:sz="1"/>
            </w:tcBorders>
            <w:shd w:fill="F4F6FB" w:val="clear"/>
            <w:tcMar>
              <w:top w:type="dxa" w:w="100"/>
              <w:left w:type="dxa" w:w="160"/>
              <w:bottom w:type="dxa" w:w="100"/>
              <w:right w:type="dxa" w:w="160"/>
            </w:tcMar>
          </w:tcPr>
          <w:p>
            <w:r>
              <w:rPr>
                <w:rFonts w:ascii="Arial" w:cs="Arial" w:eastAsia="Arial" w:hAnsi="Arial"/>
                <w:color w:val="2D3748"/>
                <w:sz w:val="22"/>
                <w:szCs w:val="22"/>
              </w:rPr>
              <w:t xml:space="preserve">2401010100</w:t>
            </w:r>
          </w:p>
        </w:tc>
      </w:tr>
    </w:tbl>
    <w:p>
      <w:pPr>
        <w:spacing w:after="0" w:before="0"/>
      </w:pPr>
      <w:r>
        <w:rPr>
          <w:sz w:val="400"/>
          <w:szCs w:val="400"/>
        </w:rPr>
        <w:t xml:space="preserve"/>
      </w:r>
    </w:p>
    <w:p>
      <w:pPr>
        <w:pBdr>
          <w:bottom w:val="single" w:color="2E5BBA" w:sz="8" w:space="1"/>
        </w:pBdr>
        <w:spacing w:after="200" w:before="100"/>
      </w:pPr>
      <w:r>
        <w:t xml:space="preserve"/>
      </w:r>
    </w:p>
    <w:p>
      <w:pPr>
        <w:spacing w:after="0" w:before="120"/>
        <w:jc w:val="center"/>
      </w:pPr>
      <w:r>
        <w:rPr>
          <w:rFonts w:ascii="Arial" w:cs="Arial" w:eastAsia="Arial" w:hAnsi="Arial"/>
          <w:i/>
          <w:iCs/>
          <w:color w:val="8899BB"/>
          <w:sz w:val="18"/>
          <w:szCs w:val="18"/>
        </w:rPr>
        <w:t xml:space="preserve">Smart Expense &amp; Budget Management System</w:t>
      </w:r>
      <w:r>
        <w:rPr>
          <w:rFonts w:ascii="Arial" w:cs="Arial" w:eastAsia="Arial" w:hAnsi="Arial"/>
          <w:color w:val="AABBCC"/>
          <w:sz w:val="18"/>
          <w:szCs w:val="18"/>
        </w:rPr>
        <w:t xml:space="preserve">  |  System Design Documentation  |  Academic Year 2024–2025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decimal"/>
      <w:lvlText w:val="%1."/>
      <w:lvlJc w:val="left"/>
      <w:pPr>
        <w:ind w:left="640" w:hanging="320"/>
      </w:pPr>
    </w:lvl>
  </w:abstractNum>
  <w:abstractNum w:abstractNumId="5" w15:restartNumberingAfterBreak="0">
    <w:multiLevelType w:val="hybridMultilevel"/>
    <w:lvl w:ilvl="0" w15:tentative="1">
      <w:start w:val="1"/>
      <w:numFmt w:val="decimal"/>
      <w:lvlText w:val="%1."/>
      <w:lvlJc w:val="left"/>
      <w:pPr>
        <w:ind w:left="640" w:hanging="320"/>
      </w:pPr>
    </w:lvl>
  </w:abstractNum>
  <w:abstractNum w:abstractNumId="6"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8A"/>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2026-04-14T17:41:38.304Z</dcterms:created>
  <dcterms:modified xsi:type="dcterms:W3CDTF">2026-04-14T17:41:38.305Z</dcterms:modified>
</cp:coreProperties>
</file>

<file path=docProps/custom.xml><?xml version="1.0" encoding="utf-8"?>
<Properties xmlns="http://schemas.openxmlformats.org/officeDocument/2006/custom-properties" xmlns:vt="http://schemas.openxmlformats.org/officeDocument/2006/docPropsVTypes"/>
</file>