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B2395" w14:textId="684E8C46" w:rsidR="00C4473C" w:rsidRDefault="00DB5C77">
      <w:pPr>
        <w:rPr>
          <w:color w:val="000000"/>
        </w:rPr>
      </w:pPr>
      <w:proofErr w:type="spellStart"/>
      <w:r>
        <w:t>Gh</w:t>
      </w:r>
      <w:proofErr w:type="spellEnd"/>
      <w:r>
        <w:t xml:space="preserve"> </w:t>
      </w:r>
      <w:proofErr w:type="spellStart"/>
      <w:r>
        <w:t>jh</w:t>
      </w:r>
      <w:proofErr w:type="spellEnd"/>
      <w:r>
        <w:t xml:space="preserve"> </w:t>
      </w:r>
      <w:proofErr w:type="spellStart"/>
      <w:r>
        <w:t>jh</w:t>
      </w:r>
      <w:proofErr w:type="spellEnd"/>
      <w:r>
        <w:t xml:space="preserve"> </w:t>
      </w:r>
      <w:proofErr w:type="spellStart"/>
      <w:r>
        <w:t>jh</w:t>
      </w:r>
      <w:proofErr w:type="spellEnd"/>
      <w:r>
        <w:t xml:space="preserve"> </w:t>
      </w:r>
      <w:proofErr w:type="spellStart"/>
      <w:r>
        <w:t>jh</w:t>
      </w:r>
      <w:proofErr w:type="spellEnd"/>
      <w:r>
        <w:t xml:space="preserve"> </w:t>
      </w:r>
      <w:proofErr w:type="spellStart"/>
      <w:r>
        <w:t>jko</w:t>
      </w:r>
      <w:proofErr w:type="spellEnd"/>
      <w:r>
        <w:t xml:space="preserve">  </w:t>
      </w:r>
      <w:sdt>
        <w:sdtPr>
          <w:rPr>
            <w:color w:val="000000"/>
          </w:rPr>
          <w:tag w:val="MENDELEY_CITATION_v3_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"/>
          <w:id w:val="-746809005"/>
          <w:placeholder>
            <w:docPart w:val="DefaultPlaceholder_-1854013440"/>
          </w:placeholder>
        </w:sdtPr>
        <w:sdtContent>
          <w:r w:rsidRPr="00DB5C77">
            <w:rPr>
              <w:color w:val="000000"/>
            </w:rPr>
            <w:t>[1]</w:t>
          </w:r>
        </w:sdtContent>
      </w:sdt>
    </w:p>
    <w:tbl>
      <w:tblPr>
        <w:tblStyle w:val="TableGrid"/>
        <w:tblW w:w="0" w:type="auto"/>
        <w:tblLook w:val="04A0" w:firstRow="1" w:lastRow="0" w:firstColumn="1" w:lastColumn="0" w:noHBand="0" w:noVBand="1"/>
      </w:tblPr>
      <w:tblGrid>
        <w:gridCol w:w="598"/>
        <w:gridCol w:w="567"/>
        <w:gridCol w:w="5864"/>
        <w:gridCol w:w="2321"/>
      </w:tblGrid>
      <w:tr w:rsidR="00DB5C77" w14:paraId="691105F3" w14:textId="77777777" w:rsidTr="00DB5C77">
        <w:tc>
          <w:tcPr>
            <w:tcW w:w="598" w:type="dxa"/>
          </w:tcPr>
          <w:p w14:paraId="44FA0152" w14:textId="22863B41" w:rsidR="00DB5C77" w:rsidRDefault="00DB5C77">
            <w:pPr>
              <w:rPr>
                <w:color w:val="000000"/>
              </w:rPr>
            </w:pPr>
            <w:proofErr w:type="spellStart"/>
            <w:r>
              <w:rPr>
                <w:color w:val="000000"/>
              </w:rPr>
              <w:t>sno</w:t>
            </w:r>
            <w:proofErr w:type="spellEnd"/>
          </w:p>
        </w:tc>
        <w:sdt>
          <w:sdtPr>
            <w:rPr>
              <w:color w:val="000000"/>
            </w:rPr>
            <w:tag w:val="MENDELEY_CITATION_v3_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"/>
            <w:id w:val="-2039354141"/>
            <w:placeholder>
              <w:docPart w:val="DefaultPlaceholder_-1854013440"/>
            </w:placeholder>
          </w:sdtPr>
          <w:sdtContent>
            <w:tc>
              <w:tcPr>
                <w:tcW w:w="567" w:type="dxa"/>
              </w:tcPr>
              <w:p w14:paraId="4611863F" w14:textId="12BE93BD" w:rsidR="00DB5C77" w:rsidRDefault="00DB5C77">
                <w:pPr>
                  <w:rPr>
                    <w:color w:val="000000"/>
                  </w:rPr>
                </w:pPr>
                <w:r w:rsidRPr="00DB5C77">
                  <w:rPr>
                    <w:color w:val="000000"/>
                  </w:rPr>
                  <w:t>[1]</w:t>
                </w:r>
              </w:p>
            </w:tc>
          </w:sdtContent>
        </w:sdt>
        <w:tc>
          <w:tcPr>
            <w:tcW w:w="5864" w:type="dxa"/>
          </w:tcPr>
          <w:p w14:paraId="29580876" w14:textId="77777777" w:rsidR="00DB5C77" w:rsidRDefault="00DB5C77">
            <w:pPr>
              <w:rPr>
                <w:color w:val="000000"/>
              </w:rPr>
            </w:pPr>
          </w:p>
        </w:tc>
        <w:tc>
          <w:tcPr>
            <w:tcW w:w="2321" w:type="dxa"/>
          </w:tcPr>
          <w:p w14:paraId="31496E16" w14:textId="77777777" w:rsidR="00DB5C77" w:rsidRDefault="00DB5C77">
            <w:pPr>
              <w:rPr>
                <w:color w:val="000000"/>
              </w:rPr>
            </w:pPr>
          </w:p>
        </w:tc>
      </w:tr>
      <w:tr w:rsidR="00DB5C77" w14:paraId="1DC4D498" w14:textId="77777777" w:rsidTr="00DB5C77">
        <w:tc>
          <w:tcPr>
            <w:tcW w:w="598" w:type="dxa"/>
          </w:tcPr>
          <w:p w14:paraId="4D1E31D0" w14:textId="77777777" w:rsidR="00DB5C77" w:rsidRDefault="00DB5C77">
            <w:pPr>
              <w:rPr>
                <w:color w:val="000000"/>
              </w:rPr>
            </w:pPr>
          </w:p>
        </w:tc>
        <w:tc>
          <w:tcPr>
            <w:tcW w:w="567" w:type="dxa"/>
          </w:tcPr>
          <w:p w14:paraId="1A69E00B" w14:textId="77777777" w:rsidR="00DB5C77" w:rsidRDefault="00DB5C77">
            <w:pPr>
              <w:rPr>
                <w:color w:val="000000"/>
              </w:rPr>
            </w:pPr>
          </w:p>
        </w:tc>
        <w:tc>
          <w:tcPr>
            <w:tcW w:w="5864" w:type="dxa"/>
          </w:tcPr>
          <w:p w14:paraId="6AC4B38D" w14:textId="77777777" w:rsidR="00DB5C77" w:rsidRDefault="00DB5C77">
            <w:pPr>
              <w:rPr>
                <w:color w:val="000000"/>
              </w:rPr>
            </w:pPr>
          </w:p>
        </w:tc>
        <w:tc>
          <w:tcPr>
            <w:tcW w:w="2321" w:type="dxa"/>
          </w:tcPr>
          <w:p w14:paraId="172912D9" w14:textId="77777777" w:rsidR="00DB5C77" w:rsidRDefault="00DB5C77">
            <w:pPr>
              <w:rPr>
                <w:color w:val="000000"/>
              </w:rPr>
            </w:pPr>
          </w:p>
        </w:tc>
      </w:tr>
      <w:tr w:rsidR="00DB5C77" w14:paraId="0D5FA151" w14:textId="77777777" w:rsidTr="00DB5C77">
        <w:tc>
          <w:tcPr>
            <w:tcW w:w="598" w:type="dxa"/>
          </w:tcPr>
          <w:p w14:paraId="231C82D1" w14:textId="77777777" w:rsidR="00DB5C77" w:rsidRDefault="00DB5C77">
            <w:pPr>
              <w:rPr>
                <w:color w:val="000000"/>
              </w:rPr>
            </w:pPr>
          </w:p>
        </w:tc>
        <w:tc>
          <w:tcPr>
            <w:tcW w:w="567" w:type="dxa"/>
          </w:tcPr>
          <w:p w14:paraId="17D35D3A" w14:textId="77777777" w:rsidR="00DB5C77" w:rsidRDefault="00DB5C77">
            <w:pPr>
              <w:rPr>
                <w:color w:val="000000"/>
              </w:rPr>
            </w:pPr>
          </w:p>
        </w:tc>
        <w:tc>
          <w:tcPr>
            <w:tcW w:w="5864" w:type="dxa"/>
          </w:tcPr>
          <w:p w14:paraId="22AC309F" w14:textId="77777777" w:rsidR="00DB5C77" w:rsidRDefault="00DB5C77">
            <w:pPr>
              <w:rPr>
                <w:color w:val="000000"/>
              </w:rPr>
            </w:pPr>
          </w:p>
        </w:tc>
        <w:tc>
          <w:tcPr>
            <w:tcW w:w="2321" w:type="dxa"/>
          </w:tcPr>
          <w:p w14:paraId="42D2003B" w14:textId="77777777" w:rsidR="00DB5C77" w:rsidRDefault="00DB5C77">
            <w:pPr>
              <w:rPr>
                <w:color w:val="000000"/>
              </w:rPr>
            </w:pPr>
          </w:p>
        </w:tc>
      </w:tr>
      <w:tr w:rsidR="00DB5C77" w14:paraId="0BA0CFBE" w14:textId="77777777" w:rsidTr="00DB5C77">
        <w:tc>
          <w:tcPr>
            <w:tcW w:w="598" w:type="dxa"/>
          </w:tcPr>
          <w:p w14:paraId="28BC57A6" w14:textId="77777777" w:rsidR="00DB5C77" w:rsidRDefault="00DB5C77">
            <w:pPr>
              <w:rPr>
                <w:color w:val="000000"/>
              </w:rPr>
            </w:pPr>
          </w:p>
        </w:tc>
        <w:tc>
          <w:tcPr>
            <w:tcW w:w="567" w:type="dxa"/>
          </w:tcPr>
          <w:p w14:paraId="5C7B501F" w14:textId="77777777" w:rsidR="00DB5C77" w:rsidRDefault="00DB5C77">
            <w:pPr>
              <w:rPr>
                <w:color w:val="000000"/>
              </w:rPr>
            </w:pPr>
          </w:p>
        </w:tc>
        <w:tc>
          <w:tcPr>
            <w:tcW w:w="5864" w:type="dxa"/>
          </w:tcPr>
          <w:p w14:paraId="01BDA6C8" w14:textId="77777777" w:rsidR="00DB5C77" w:rsidRDefault="00DB5C77">
            <w:pPr>
              <w:rPr>
                <w:color w:val="000000"/>
              </w:rPr>
            </w:pPr>
          </w:p>
        </w:tc>
        <w:tc>
          <w:tcPr>
            <w:tcW w:w="2321" w:type="dxa"/>
          </w:tcPr>
          <w:p w14:paraId="63B40140" w14:textId="77777777" w:rsidR="00DB5C77" w:rsidRDefault="00DB5C77">
            <w:pPr>
              <w:rPr>
                <w:color w:val="000000"/>
              </w:rPr>
            </w:pPr>
          </w:p>
        </w:tc>
      </w:tr>
      <w:tr w:rsidR="00DB5C77" w14:paraId="4EE1AA85" w14:textId="77777777" w:rsidTr="00DB5C77">
        <w:tc>
          <w:tcPr>
            <w:tcW w:w="598" w:type="dxa"/>
          </w:tcPr>
          <w:p w14:paraId="334E6E30" w14:textId="77777777" w:rsidR="00DB5C77" w:rsidRDefault="00DB5C77">
            <w:pPr>
              <w:rPr>
                <w:color w:val="000000"/>
              </w:rPr>
            </w:pPr>
          </w:p>
        </w:tc>
        <w:tc>
          <w:tcPr>
            <w:tcW w:w="567" w:type="dxa"/>
          </w:tcPr>
          <w:p w14:paraId="62E5E9D2" w14:textId="77777777" w:rsidR="00DB5C77" w:rsidRDefault="00DB5C77">
            <w:pPr>
              <w:rPr>
                <w:color w:val="000000"/>
              </w:rPr>
            </w:pPr>
          </w:p>
        </w:tc>
        <w:tc>
          <w:tcPr>
            <w:tcW w:w="5864" w:type="dxa"/>
          </w:tcPr>
          <w:p w14:paraId="29481AF2" w14:textId="77777777" w:rsidR="00DB5C77" w:rsidRDefault="00DB5C77">
            <w:pPr>
              <w:rPr>
                <w:color w:val="000000"/>
              </w:rPr>
            </w:pPr>
          </w:p>
        </w:tc>
        <w:tc>
          <w:tcPr>
            <w:tcW w:w="2321" w:type="dxa"/>
          </w:tcPr>
          <w:p w14:paraId="4E3E80D8" w14:textId="77777777" w:rsidR="00DB5C77" w:rsidRDefault="00DB5C77">
            <w:pPr>
              <w:rPr>
                <w:color w:val="000000"/>
              </w:rPr>
            </w:pPr>
          </w:p>
        </w:tc>
      </w:tr>
      <w:tr w:rsidR="00DB5C77" w14:paraId="72DF836E" w14:textId="77777777" w:rsidTr="00DB5C77">
        <w:tc>
          <w:tcPr>
            <w:tcW w:w="598" w:type="dxa"/>
          </w:tcPr>
          <w:p w14:paraId="4257982B" w14:textId="77777777" w:rsidR="00DB5C77" w:rsidRDefault="00DB5C77">
            <w:pPr>
              <w:rPr>
                <w:color w:val="000000"/>
              </w:rPr>
            </w:pPr>
          </w:p>
        </w:tc>
        <w:tc>
          <w:tcPr>
            <w:tcW w:w="567" w:type="dxa"/>
          </w:tcPr>
          <w:p w14:paraId="35757A05" w14:textId="77777777" w:rsidR="00DB5C77" w:rsidRDefault="00DB5C77">
            <w:pPr>
              <w:rPr>
                <w:color w:val="000000"/>
              </w:rPr>
            </w:pPr>
          </w:p>
        </w:tc>
        <w:tc>
          <w:tcPr>
            <w:tcW w:w="5864" w:type="dxa"/>
          </w:tcPr>
          <w:p w14:paraId="76D6E7D5" w14:textId="77777777" w:rsidR="00DB5C77" w:rsidRDefault="00DB5C77">
            <w:pPr>
              <w:rPr>
                <w:color w:val="000000"/>
              </w:rPr>
            </w:pPr>
          </w:p>
        </w:tc>
        <w:tc>
          <w:tcPr>
            <w:tcW w:w="2321" w:type="dxa"/>
          </w:tcPr>
          <w:p w14:paraId="2D88C44D" w14:textId="77777777" w:rsidR="00DB5C77" w:rsidRDefault="00DB5C77">
            <w:pPr>
              <w:rPr>
                <w:color w:val="000000"/>
              </w:rPr>
            </w:pPr>
          </w:p>
        </w:tc>
      </w:tr>
    </w:tbl>
    <w:p w14:paraId="428358B8" w14:textId="77777777" w:rsidR="00DB5C77" w:rsidRDefault="00DB5C77">
      <w:pPr>
        <w:rPr>
          <w:color w:val="000000"/>
        </w:rPr>
      </w:pPr>
    </w:p>
    <w:p w14:paraId="4AD802A6" w14:textId="77777777" w:rsidR="00DB5C77" w:rsidRDefault="00DB5C77">
      <w:pPr>
        <w:rPr>
          <w:color w:val="000000"/>
        </w:rPr>
      </w:pPr>
    </w:p>
    <w:p w14:paraId="34126765" w14:textId="1452D2CA" w:rsidR="00DB5C77" w:rsidRDefault="00DB5C77">
      <w:pPr>
        <w:rPr>
          <w:color w:val="000000"/>
        </w:rPr>
      </w:pPr>
      <w:r>
        <w:rPr>
          <w:color w:val="000000"/>
        </w:rPr>
        <w:t>References</w:t>
      </w:r>
    </w:p>
    <w:sdt>
      <w:sdtPr>
        <w:rPr>
          <w:color w:val="000000"/>
        </w:rPr>
        <w:tag w:val="MENDELEY_BIBLIOGRAPHY"/>
        <w:id w:val="1336801651"/>
        <w:placeholder>
          <w:docPart w:val="DefaultPlaceholder_-1854013440"/>
        </w:placeholder>
      </w:sdtPr>
      <w:sdtContent>
        <w:p w14:paraId="647E4B30" w14:textId="77777777" w:rsidR="00DB5C77" w:rsidRDefault="00DB5C77">
          <w:pPr>
            <w:autoSpaceDE w:val="0"/>
            <w:autoSpaceDN w:val="0"/>
            <w:ind w:hanging="640"/>
            <w:divId w:val="2124035350"/>
            <w:rPr>
              <w:rFonts w:eastAsia="Times New Roman"/>
              <w:kern w:val="0"/>
              <w14:ligatures w14:val="none"/>
            </w:rPr>
          </w:pPr>
          <w:r>
            <w:rPr>
              <w:rFonts w:eastAsia="Times New Roman"/>
            </w:rPr>
            <w:t>[1]</w:t>
          </w:r>
          <w:r>
            <w:rPr>
              <w:rFonts w:eastAsia="Times New Roman"/>
            </w:rPr>
            <w:tab/>
            <w:t xml:space="preserve">S. Das, R. Ashrit, and M. W. Moncrieff, “Simulation of a Himalayan cloudburst event,” </w:t>
          </w:r>
          <w:r>
            <w:rPr>
              <w:rFonts w:eastAsia="Times New Roman"/>
              <w:i/>
              <w:iCs/>
            </w:rPr>
            <w:t>Journal of Earth System Science</w:t>
          </w:r>
          <w:r>
            <w:rPr>
              <w:rFonts w:eastAsia="Times New Roman"/>
            </w:rPr>
            <w:t xml:space="preserve">, vol. 115, no. 3, pp. 299–313, 2006, </w:t>
          </w:r>
          <w:proofErr w:type="spellStart"/>
          <w:r>
            <w:rPr>
              <w:rFonts w:eastAsia="Times New Roman"/>
            </w:rPr>
            <w:t>doi</w:t>
          </w:r>
          <w:proofErr w:type="spellEnd"/>
          <w:r>
            <w:rPr>
              <w:rFonts w:eastAsia="Times New Roman"/>
            </w:rPr>
            <w:t>: 10.1007/BF02702044/METRICS.</w:t>
          </w:r>
        </w:p>
        <w:p w14:paraId="713ED970" w14:textId="5C175F08" w:rsidR="00DB5C77" w:rsidRDefault="00DB5C77">
          <w:r>
            <w:rPr>
              <w:rFonts w:eastAsia="Times New Roman"/>
            </w:rPr>
            <w:t> </w:t>
          </w:r>
        </w:p>
      </w:sdtContent>
    </w:sdt>
    <w:sectPr w:rsidR="00DB5C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C77"/>
    <w:rsid w:val="00567223"/>
    <w:rsid w:val="00C4473C"/>
    <w:rsid w:val="00D63DD8"/>
    <w:rsid w:val="00DB5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7270F"/>
  <w15:chartTrackingRefBased/>
  <w15:docId w15:val="{36E3C61D-3624-4264-889C-194CE0CC7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C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C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C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C77"/>
    <w:rPr>
      <w:rFonts w:eastAsiaTheme="majorEastAsia" w:cstheme="majorBidi"/>
      <w:color w:val="272727" w:themeColor="text1" w:themeTint="D8"/>
    </w:rPr>
  </w:style>
  <w:style w:type="paragraph" w:styleId="Title">
    <w:name w:val="Title"/>
    <w:basedOn w:val="Normal"/>
    <w:next w:val="Normal"/>
    <w:link w:val="TitleChar"/>
    <w:uiPriority w:val="10"/>
    <w:qFormat/>
    <w:rsid w:val="00DB5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C77"/>
    <w:pPr>
      <w:spacing w:before="160"/>
      <w:jc w:val="center"/>
    </w:pPr>
    <w:rPr>
      <w:i/>
      <w:iCs/>
      <w:color w:val="404040" w:themeColor="text1" w:themeTint="BF"/>
    </w:rPr>
  </w:style>
  <w:style w:type="character" w:customStyle="1" w:styleId="QuoteChar">
    <w:name w:val="Quote Char"/>
    <w:basedOn w:val="DefaultParagraphFont"/>
    <w:link w:val="Quote"/>
    <w:uiPriority w:val="29"/>
    <w:rsid w:val="00DB5C77"/>
    <w:rPr>
      <w:i/>
      <w:iCs/>
      <w:color w:val="404040" w:themeColor="text1" w:themeTint="BF"/>
    </w:rPr>
  </w:style>
  <w:style w:type="paragraph" w:styleId="ListParagraph">
    <w:name w:val="List Paragraph"/>
    <w:basedOn w:val="Normal"/>
    <w:uiPriority w:val="34"/>
    <w:qFormat/>
    <w:rsid w:val="00DB5C77"/>
    <w:pPr>
      <w:ind w:left="720"/>
      <w:contextualSpacing/>
    </w:pPr>
  </w:style>
  <w:style w:type="character" w:styleId="IntenseEmphasis">
    <w:name w:val="Intense Emphasis"/>
    <w:basedOn w:val="DefaultParagraphFont"/>
    <w:uiPriority w:val="21"/>
    <w:qFormat/>
    <w:rsid w:val="00DB5C77"/>
    <w:rPr>
      <w:i/>
      <w:iCs/>
      <w:color w:val="0F4761" w:themeColor="accent1" w:themeShade="BF"/>
    </w:rPr>
  </w:style>
  <w:style w:type="paragraph" w:styleId="IntenseQuote">
    <w:name w:val="Intense Quote"/>
    <w:basedOn w:val="Normal"/>
    <w:next w:val="Normal"/>
    <w:link w:val="IntenseQuoteChar"/>
    <w:uiPriority w:val="30"/>
    <w:qFormat/>
    <w:rsid w:val="00DB5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C77"/>
    <w:rPr>
      <w:i/>
      <w:iCs/>
      <w:color w:val="0F4761" w:themeColor="accent1" w:themeShade="BF"/>
    </w:rPr>
  </w:style>
  <w:style w:type="character" w:styleId="IntenseReference">
    <w:name w:val="Intense Reference"/>
    <w:basedOn w:val="DefaultParagraphFont"/>
    <w:uiPriority w:val="32"/>
    <w:qFormat/>
    <w:rsid w:val="00DB5C77"/>
    <w:rPr>
      <w:b/>
      <w:bCs/>
      <w:smallCaps/>
      <w:color w:val="0F4761" w:themeColor="accent1" w:themeShade="BF"/>
      <w:spacing w:val="5"/>
    </w:rPr>
  </w:style>
  <w:style w:type="character" w:styleId="PlaceholderText">
    <w:name w:val="Placeholder Text"/>
    <w:basedOn w:val="DefaultParagraphFont"/>
    <w:uiPriority w:val="99"/>
    <w:semiHidden/>
    <w:rsid w:val="00DB5C77"/>
    <w:rPr>
      <w:color w:val="666666"/>
    </w:rPr>
  </w:style>
  <w:style w:type="table" w:styleId="TableGrid">
    <w:name w:val="Table Grid"/>
    <w:basedOn w:val="TableNormal"/>
    <w:uiPriority w:val="39"/>
    <w:rsid w:val="00DB5C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558037">
      <w:marLeft w:val="640"/>
      <w:marRight w:val="0"/>
      <w:marTop w:val="0"/>
      <w:marBottom w:val="0"/>
      <w:divBdr>
        <w:top w:val="none" w:sz="0" w:space="0" w:color="auto"/>
        <w:left w:val="none" w:sz="0" w:space="0" w:color="auto"/>
        <w:bottom w:val="none" w:sz="0" w:space="0" w:color="auto"/>
        <w:right w:val="none" w:sz="0" w:space="0" w:color="auto"/>
      </w:divBdr>
    </w:div>
    <w:div w:id="2124035350">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192112-5D83-43B9-889F-5C0DED387D09}"/>
      </w:docPartPr>
      <w:docPartBody>
        <w:p w:rsidR="00000000" w:rsidRDefault="00FB2073">
          <w:r w:rsidRPr="00777DD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073"/>
    <w:rsid w:val="00AE5A2C"/>
    <w:rsid w:val="00D63DD8"/>
    <w:rsid w:val="00FB2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207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6F6C767-0B53-4925-ACF8-6BE2C21F60F2}">
  <we:reference id="WA104382081" version="1.55.1.0" store="Omex" storeType="OMEX"/>
  <we:alternateReferences>
    <we:reference id="WA104382081" version="1.55.1.0" store="WA104382081" storeType="OMEX"/>
  </we:alternateReferences>
  <we:properties>
    <we:property name="MENDELEY_CITATIONS" value="[{&quot;citationID&quot;:&quot;MENDELEY_CITATION_295c8771-f0b8-452c-9598-b28375aeeaa5&quot;,&quot;properties&quot;:{&quot;noteIndex&quot;:0},&quot;isEdited&quot;:false,&quot;manualOverride&quot;:{&quot;isManuallyOverridden&quot;:false,&quot;citeprocText&quot;:&quot;[1]&quot;,&quot;manualOverrideText&quot;:&quot;&quot;},&quot;citationTag&quot;:&quot;MENDELEY_CITATION_v3_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&quot;,&quot;citationItems&quot;:[{&quot;id&quot;:&quot;1cfd724e-d281-3aa0-a12f-0ba1144ad5c3&quot;,&quot;itemData&quot;:{&quot;type&quot;:&quot;article-journal&quot;,&quot;id&quot;:&quot;1cfd724e-d281-3aa0-a12f-0ba1144ad5c3&quot;,&quot;title&quot;:&quot;Simulation of a Himalayan cloudburst event&quot;,&quot;author&quot;:[{&quot;family&quot;:&quot;Das&quot;,&quot;given&quot;:&quot;Someshwar&quot;,&quot;parse-names&quot;:false,&quot;dropping-particle&quot;:&quot;&quot;,&quot;non-dropping-particle&quot;:&quot;&quot;},{&quot;family&quot;:&quot;Ashrit&quot;,&quot;given&quot;:&quot;Raghavendra&quot;,&quot;parse-names&quot;:false,&quot;dropping-particle&quot;:&quot;&quot;,&quot;non-dropping-particle&quot;:&quot;&quot;},{&quot;family&quot;:&quot;Moncrieff&quot;,&quot;given&quot;:&quot;M. W.&quot;,&quot;parse-names&quot;:false,&quot;dropping-particle&quot;:&quot;&quot;,&quot;non-dropping-particle&quot;:&quot;&quot;}],&quot;container-title&quot;:&quot;Journal of Earth System Science&quot;,&quot;accessed&quot;:{&quot;date-parts&quot;:[[2025,9,13]]},&quot;DOI&quot;:&quot;10.1007/BF02702044/METRICS&quot;,&quot;ISSN&quot;:&quot;02534126&quot;,&quot;URL&quot;:&quot;https://link.springer.com/article/10.1007/BF02702044&quot;,&quot;issued&quot;:{&quot;date-parts&quot;:[[2006]]},&quot;page&quot;:&quot;299-313&quot;,&quot;abstract&quot;:&quot;Intense rainfall often leads to floods and landslides in the Himalayan region even with rainfall amounts that are considered comparatively moderate over the plains; for example, 'cloudbursts', which are devastating convective phenomena producing sudden high-intensity rainfall (∼10 cm per hour) over a small area. Early prediction and warning of such severe local weather systems is crucial to mitigate societal impact arising from the accompanying flash floods. We examine a cloudburst event in the Himalayan region at Shillagarh village in the early hours of 16 July 2003. The storm lasted for less than half an hour, followed by flash floods that affected hundreds of people. We examine the fidelity of MM5 configured with multiple-nested domains (81, 27, 9 and 3km grid-resolution) for predicting a cloudburst event with attention to horizontal resolution and the cloud microphysics parameterization. The MM5 model predicts the rainfall amount 24 hours in advance. However, the location of the cloudburst is displaced by tens of kilometers. © Printed in India.&quot;,&quot;publisher&quot;:&quot;Indian Academy of Sciences&quot;,&quot;issue&quot;:&quot;3&quot;,&quot;volume&quot;:&quot;115&quot;,&quot;container-title-short&quot;:&quot;&quot;},&quot;isTemporary&quot;:false}]},{&quot;citationID&quot;:&quot;MENDELEY_CITATION_0a7a733c-1c72-42be-8a6c-22cb9643840d&quot;,&quot;properties&quot;:{&quot;noteIndex&quot;:0},&quot;isEdited&quot;:false,&quot;manualOverride&quot;:{&quot;isManuallyOverridden&quot;:false,&quot;citeprocText&quot;:&quot;[1]&quot;,&quot;manualOverrideText&quot;:&quot;&quot;},&quot;citationTag&quot;:&quot;MENDELEY_CITATION_v3_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&quot;,&quot;citationItems&quot;:[{&quot;id&quot;:&quot;1cfd724e-d281-3aa0-a12f-0ba1144ad5c3&quot;,&quot;itemData&quot;:{&quot;type&quot;:&quot;article-journal&quot;,&quot;id&quot;:&quot;1cfd724e-d281-3aa0-a12f-0ba1144ad5c3&quot;,&quot;title&quot;:&quot;Simulation of a Himalayan cloudburst event&quot;,&quot;author&quot;:[{&quot;family&quot;:&quot;Das&quot;,&quot;given&quot;:&quot;Someshwar&quot;,&quot;parse-names&quot;:false,&quot;dropping-particle&quot;:&quot;&quot;,&quot;non-dropping-particle&quot;:&quot;&quot;},{&quot;family&quot;:&quot;Ashrit&quot;,&quot;given&quot;:&quot;Raghavendra&quot;,&quot;parse-names&quot;:false,&quot;dropping-particle&quot;:&quot;&quot;,&quot;non-dropping-particle&quot;:&quot;&quot;},{&quot;family&quot;:&quot;Moncrieff&quot;,&quot;given&quot;:&quot;M. W.&quot;,&quot;parse-names&quot;:false,&quot;dropping-particle&quot;:&quot;&quot;,&quot;non-dropping-particle&quot;:&quot;&quot;}],&quot;container-title&quot;:&quot;Journal of Earth System Science&quot;,&quot;accessed&quot;:{&quot;date-parts&quot;:[[2025,9,13]]},&quot;DOI&quot;:&quot;10.1007/BF02702044/METRICS&quot;,&quot;ISSN&quot;:&quot;02534126&quot;,&quot;URL&quot;:&quot;https://link.springer.com/article/10.1007/BF02702044&quot;,&quot;issued&quot;:{&quot;date-parts&quot;:[[2006]]},&quot;page&quot;:&quot;299-313&quot;,&quot;abstract&quot;:&quot;Intense rainfall often leads to floods and landslides in the Himalayan region even with rainfall amounts that are considered comparatively moderate over the plains; for example, 'cloudbursts', which are devastating convective phenomena producing sudden high-intensity rainfall (∼10 cm per hour) over a small area. Early prediction and warning of such severe local weather systems is crucial to mitigate societal impact arising from the accompanying flash floods. We examine a cloudburst event in the Himalayan region at Shillagarh village in the early hours of 16 July 2003. The storm lasted for less than half an hour, followed by flash floods that affected hundreds of people. We examine the fidelity of MM5 configured with multiple-nested domains (81, 27, 9 and 3km grid-resolution) for predicting a cloudburst event with attention to horizontal resolution and the cloud microphysics parameterization. The MM5 model predicts the rainfall amount 24 hours in advance. However, the location of the cloudburst is displaced by tens of kilometers. © Printed in India.&quot;,&quot;publisher&quot;:&quot;Indian Academy of Sciences&quot;,&quot;issue&quot;:&quot;3&quot;,&quot;volume&quot;:&quot;115&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D079B-80B3-446D-BE79-8EE07AC5A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86</Words>
  <Characters>187</Characters>
  <Application>Microsoft Office Word</Application>
  <DocSecurity>0</DocSecurity>
  <Lines>14</Lines>
  <Paragraphs>19</Paragraphs>
  <ScaleCrop>false</ScaleCrop>
  <Company/>
  <LinksUpToDate>false</LinksUpToDate>
  <CharactersWithSpaces>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Archit Rawat</dc:creator>
  <cp:keywords/>
  <dc:description/>
  <cp:lastModifiedBy>Archit Rawat</cp:lastModifiedBy>
  <cp:revision>1</cp:revision>
  <dcterms:created xsi:type="dcterms:W3CDTF">2025-09-13T09:58:00Z</dcterms:created>
  <dcterms:modified xsi:type="dcterms:W3CDTF">2025-09-13T10:02:00Z</dcterms:modified>
</cp:coreProperties>
</file>