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02" w:rsidRDefault="007B0902" w:rsidP="007B0902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bookmarkStart w:id="6" w:name="_Toc170344133"/>
      <w:bookmarkStart w:id="7" w:name="_Toc170475965"/>
      <w:bookmarkStart w:id="8" w:name="_Toc170747670"/>
      <w:bookmarkStart w:id="9" w:name="_Toc171442474"/>
      <w:r>
        <w:rPr>
          <w:noProof/>
        </w:rPr>
        <w:drawing>
          <wp:inline distT="0" distB="0" distL="0" distR="0" wp14:anchorId="1072B0F1" wp14:editId="1AFAD8A2">
            <wp:extent cx="2838450" cy="1287105"/>
            <wp:effectExtent l="0" t="0" r="0" b="8890"/>
            <wp:docPr id="7" name="Picture 7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B0902" w:rsidRDefault="007B0902" w:rsidP="007B0902">
      <w:pPr>
        <w:jc w:val="center"/>
        <w:rPr>
          <w:b/>
          <w:sz w:val="28"/>
        </w:rPr>
      </w:pPr>
      <w:bookmarkStart w:id="10" w:name="_Toc168493927"/>
      <w:bookmarkStart w:id="11" w:name="_Toc168494038"/>
      <w:bookmarkStart w:id="12" w:name="_Toc168681395"/>
      <w:bookmarkStart w:id="13" w:name="_Toc169018611"/>
      <w:bookmarkStart w:id="14" w:name="_Toc169099748"/>
      <w:bookmarkStart w:id="15" w:name="_Toc169194467"/>
      <w:bookmarkStart w:id="16" w:name="_Toc169526156"/>
      <w:bookmarkStart w:id="17" w:name="_Toc169624171"/>
    </w:p>
    <w:p w:rsidR="007B0902" w:rsidRPr="00DF16FE" w:rsidRDefault="007B0902" w:rsidP="007B0902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10"/>
      <w:bookmarkEnd w:id="11"/>
      <w:bookmarkEnd w:id="12"/>
      <w:bookmarkEnd w:id="13"/>
      <w:bookmarkEnd w:id="14"/>
      <w:bookmarkEnd w:id="15"/>
      <w:r w:rsidRPr="00DF16FE">
        <w:rPr>
          <w:b/>
          <w:sz w:val="28"/>
        </w:rPr>
        <w:t>on</w:t>
      </w:r>
      <w:bookmarkEnd w:id="16"/>
      <w:bookmarkEnd w:id="17"/>
    </w:p>
    <w:p w:rsidR="007B0902" w:rsidRDefault="007B0902" w:rsidP="007B0902">
      <w:pPr>
        <w:jc w:val="center"/>
        <w:rPr>
          <w:b/>
          <w:sz w:val="28"/>
        </w:rPr>
      </w:pPr>
      <w:r>
        <w:rPr>
          <w:b/>
          <w:sz w:val="28"/>
        </w:rPr>
        <w:t>CLOUD COMPUTING IN BANKING</w:t>
      </w:r>
    </w:p>
    <w:p w:rsidR="007B0902" w:rsidRDefault="007B0902" w:rsidP="007B0902">
      <w:pPr>
        <w:jc w:val="center"/>
        <w:rPr>
          <w:b/>
          <w:sz w:val="28"/>
        </w:rPr>
      </w:pPr>
      <w:bookmarkStart w:id="18" w:name="_GoBack"/>
      <w:bookmarkEnd w:id="18"/>
    </w:p>
    <w:p w:rsidR="007B0902" w:rsidRPr="00DF16FE" w:rsidRDefault="007B0902" w:rsidP="007B0902">
      <w:pPr>
        <w:jc w:val="center"/>
        <w:rPr>
          <w:b/>
          <w:sz w:val="28"/>
        </w:rPr>
      </w:pPr>
    </w:p>
    <w:p w:rsidR="007B0902" w:rsidRPr="00DF16FE" w:rsidRDefault="007B0902" w:rsidP="007B0902">
      <w:pPr>
        <w:jc w:val="center"/>
        <w:rPr>
          <w:b/>
          <w:sz w:val="28"/>
        </w:rPr>
      </w:pPr>
      <w:bookmarkStart w:id="19" w:name="_Toc168493929"/>
      <w:bookmarkStart w:id="20" w:name="_Toc168494040"/>
      <w:bookmarkStart w:id="21" w:name="_Toc168681398"/>
      <w:bookmarkStart w:id="22" w:name="_Toc169018613"/>
      <w:bookmarkStart w:id="23" w:name="_Toc169099751"/>
      <w:bookmarkStart w:id="24" w:name="_Toc169194470"/>
      <w:bookmarkStart w:id="25" w:name="_Toc169526158"/>
      <w:bookmarkStart w:id="26" w:name="_Toc169624173"/>
      <w:r w:rsidRPr="00DF16FE">
        <w:rPr>
          <w:b/>
          <w:sz w:val="28"/>
        </w:rPr>
        <w:t>Under Supervision of: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7B0902" w:rsidRPr="00DF16FE" w:rsidRDefault="007B0902" w:rsidP="007B0902">
      <w:pPr>
        <w:jc w:val="center"/>
        <w:rPr>
          <w:b/>
          <w:sz w:val="28"/>
        </w:rPr>
      </w:pPr>
      <w:bookmarkStart w:id="27" w:name="_Toc168493930"/>
      <w:bookmarkStart w:id="28" w:name="_Toc168494041"/>
      <w:bookmarkStart w:id="29" w:name="_Toc168681399"/>
      <w:bookmarkStart w:id="30" w:name="_Toc169018614"/>
      <w:bookmarkStart w:id="31" w:name="_Toc169099752"/>
      <w:bookmarkStart w:id="32" w:name="_Toc169194471"/>
      <w:bookmarkStart w:id="33" w:name="_Toc169526159"/>
      <w:bookmarkStart w:id="34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:rsidR="007B0902" w:rsidRDefault="007B0902" w:rsidP="007B0902">
      <w:pPr>
        <w:jc w:val="center"/>
        <w:rPr>
          <w:b/>
          <w:sz w:val="28"/>
        </w:rPr>
      </w:pPr>
      <w:bookmarkStart w:id="35" w:name="_Toc168493931"/>
      <w:bookmarkStart w:id="36" w:name="_Toc168494042"/>
      <w:bookmarkStart w:id="37" w:name="_Toc168681400"/>
      <w:bookmarkStart w:id="38" w:name="_Toc169018615"/>
      <w:bookmarkStart w:id="39" w:name="_Toc169099753"/>
      <w:bookmarkStart w:id="40" w:name="_Toc169194472"/>
      <w:bookmarkStart w:id="41" w:name="_Toc169526160"/>
      <w:bookmarkStart w:id="42" w:name="_Toc169624175"/>
    </w:p>
    <w:p w:rsidR="007B0902" w:rsidRPr="00DF16FE" w:rsidRDefault="007B0902" w:rsidP="007B0902">
      <w:pPr>
        <w:jc w:val="center"/>
        <w:rPr>
          <w:b/>
          <w:sz w:val="28"/>
        </w:rPr>
      </w:pPr>
    </w:p>
    <w:p w:rsidR="007B0902" w:rsidRPr="00DF16FE" w:rsidRDefault="007B0902" w:rsidP="007B0902">
      <w:pPr>
        <w:jc w:val="center"/>
        <w:rPr>
          <w:b/>
          <w:sz w:val="28"/>
        </w:rPr>
      </w:pPr>
      <w:r>
        <w:rPr>
          <w:b/>
          <w:sz w:val="28"/>
        </w:rPr>
        <w:t xml:space="preserve">Given </w:t>
      </w:r>
      <w:r w:rsidRPr="00DF16FE">
        <w:rPr>
          <w:b/>
          <w:sz w:val="28"/>
        </w:rPr>
        <w:t>On:</w:t>
      </w:r>
    </w:p>
    <w:p w:rsidR="007B0902" w:rsidRPr="00DF16FE" w:rsidRDefault="007B0902" w:rsidP="007B0902">
      <w:pPr>
        <w:jc w:val="center"/>
        <w:rPr>
          <w:b/>
          <w:sz w:val="28"/>
        </w:rPr>
      </w:pPr>
      <w:r>
        <w:rPr>
          <w:b/>
          <w:sz w:val="28"/>
        </w:rPr>
        <w:t>9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</w:t>
      </w:r>
      <w:r>
        <w:rPr>
          <w:b/>
          <w:sz w:val="28"/>
        </w:rPr>
        <w:t>ly</w:t>
      </w:r>
      <w:r w:rsidRPr="00DF16FE">
        <w:rPr>
          <w:b/>
          <w:sz w:val="28"/>
        </w:rPr>
        <w:t>, 2024</w:t>
      </w:r>
    </w:p>
    <w:p w:rsidR="007B0902" w:rsidRPr="00DF16FE" w:rsidRDefault="007B0902" w:rsidP="007B0902">
      <w:pPr>
        <w:jc w:val="center"/>
        <w:rPr>
          <w:b/>
          <w:sz w:val="28"/>
        </w:rPr>
      </w:pPr>
    </w:p>
    <w:p w:rsidR="007B0902" w:rsidRPr="00DF16FE" w:rsidRDefault="007B0902" w:rsidP="007B0902">
      <w:pPr>
        <w:jc w:val="center"/>
        <w:rPr>
          <w:b/>
          <w:sz w:val="28"/>
        </w:rPr>
      </w:pPr>
    </w:p>
    <w:p w:rsidR="007B0902" w:rsidRPr="00DF16FE" w:rsidRDefault="007B0902" w:rsidP="007B0902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B0902" w:rsidRDefault="007B0902" w:rsidP="007B0902">
      <w:pPr>
        <w:jc w:val="center"/>
        <w:rPr>
          <w:b/>
          <w:sz w:val="28"/>
        </w:rPr>
      </w:pPr>
      <w:bookmarkStart w:id="43" w:name="_Toc168493932"/>
      <w:bookmarkStart w:id="44" w:name="_Toc168494043"/>
      <w:bookmarkStart w:id="45" w:name="_Toc168681401"/>
      <w:bookmarkStart w:id="46" w:name="_Toc169018616"/>
      <w:bookmarkStart w:id="47" w:name="_Toc169099754"/>
      <w:bookmarkStart w:id="48" w:name="_Toc169194473"/>
      <w:bookmarkStart w:id="49" w:name="_Toc169526161"/>
      <w:bookmarkStart w:id="50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BE0183" w:rsidRDefault="00BE0183">
      <w:r>
        <w:br w:type="page"/>
      </w:r>
    </w:p>
    <w:p w:rsidR="000D6B90" w:rsidRDefault="00BE0183" w:rsidP="00BE0183">
      <w:pPr>
        <w:pStyle w:val="Heading1"/>
        <w:jc w:val="center"/>
      </w:pPr>
      <w:bookmarkStart w:id="51" w:name="_Toc171472087"/>
      <w:r>
        <w:lastRenderedPageBreak/>
        <w:t>Cloud Computing in Banking</w:t>
      </w:r>
      <w:bookmarkEnd w:id="51"/>
    </w:p>
    <w:p w:rsidR="001941A7" w:rsidRDefault="001941A7"/>
    <w:p w:rsidR="00BE0183" w:rsidRDefault="00BE0183">
      <w:r w:rsidRPr="00BE0183">
        <w:t>Cloud computing is the on-demand availability of computer system resources, especially data storage and computing power, without direct active management by the user.</w:t>
      </w:r>
    </w:p>
    <w:p w:rsidR="001941A7" w:rsidRDefault="001941A7">
      <w:r w:rsidRPr="001941A7">
        <w:t>Cloud adapting in banking and financial services involves the on-demand delivery of combined computing services, including data storage, services, data analytics, communication and networking, and applications. In this way, banks can quickly create tailor-made solutions on software infrastructure that regulates day-to-day operations.</w:t>
      </w:r>
    </w:p>
    <w:p w:rsidR="001941A7" w:rsidRPr="001941A7" w:rsidRDefault="001941A7" w:rsidP="001941A7">
      <w:r>
        <w:t>E</w:t>
      </w:r>
      <w:r w:rsidRPr="001941A7">
        <w:t>xamples of cloud computing in banking</w:t>
      </w:r>
      <w:r>
        <w:t>:</w:t>
      </w:r>
    </w:p>
    <w:p w:rsidR="001941A7" w:rsidRPr="001941A7" w:rsidRDefault="001941A7" w:rsidP="001941A7">
      <w:pPr>
        <w:numPr>
          <w:ilvl w:val="0"/>
          <w:numId w:val="1"/>
        </w:numPr>
      </w:pPr>
      <w:r w:rsidRPr="001941A7">
        <w:t>Wells Fargo cloud computing leverages MS Azure to stimulate digital transformation, focusing on business strategies.</w:t>
      </w:r>
    </w:p>
    <w:p w:rsidR="001941A7" w:rsidRPr="001941A7" w:rsidRDefault="001941A7" w:rsidP="001941A7">
      <w:pPr>
        <w:numPr>
          <w:ilvl w:val="0"/>
          <w:numId w:val="1"/>
        </w:numPr>
      </w:pPr>
      <w:r w:rsidRPr="001941A7">
        <w:t>Bank of America has reportedly saved $2 billion annually through its bank cloud strategy. The approach has helped the firm to decrease the cost of servers and data centers. </w:t>
      </w:r>
    </w:p>
    <w:p w:rsidR="001941A7" w:rsidRPr="001941A7" w:rsidRDefault="001941A7" w:rsidP="001941A7">
      <w:pPr>
        <w:rPr>
          <w:b/>
          <w:bCs/>
        </w:rPr>
      </w:pPr>
      <w:r w:rsidRPr="001941A7">
        <w:rPr>
          <w:b/>
          <w:bCs/>
        </w:rPr>
        <w:t>Benefits of Cloud Computing in Banking</w:t>
      </w:r>
      <w:r>
        <w:rPr>
          <w:b/>
          <w:bCs/>
        </w:rPr>
        <w:t>:</w:t>
      </w:r>
    </w:p>
    <w:p w:rsidR="001941A7" w:rsidRPr="001941A7" w:rsidRDefault="001941A7" w:rsidP="001941A7">
      <w:pPr>
        <w:numPr>
          <w:ilvl w:val="0"/>
          <w:numId w:val="2"/>
        </w:numPr>
      </w:pPr>
      <w:r w:rsidRPr="001941A7">
        <w:rPr>
          <w:b/>
          <w:bCs/>
        </w:rPr>
        <w:t>Cost Efficiency</w:t>
      </w:r>
      <w:r w:rsidRPr="001941A7">
        <w:t>: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Reduced IT Costs</w:t>
      </w:r>
      <w:r w:rsidRPr="001941A7">
        <w:t>: Banks can reduce their capital expenditures on hardware and software by using cloud services, paying only for what they use.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Scalability</w:t>
      </w:r>
      <w:r w:rsidRPr="001941A7">
        <w:t>: Cloud services can be scaled up or down based on demand, allowing banks to handle peak loads without maintaining excessive infrastructure.</w:t>
      </w:r>
    </w:p>
    <w:p w:rsidR="001941A7" w:rsidRPr="001941A7" w:rsidRDefault="001941A7" w:rsidP="001941A7">
      <w:pPr>
        <w:numPr>
          <w:ilvl w:val="0"/>
          <w:numId w:val="2"/>
        </w:numPr>
      </w:pPr>
      <w:r w:rsidRPr="001941A7">
        <w:rPr>
          <w:b/>
          <w:bCs/>
        </w:rPr>
        <w:t>Agility and Innovation</w:t>
      </w:r>
      <w:r w:rsidRPr="001941A7">
        <w:t>: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Faster Deployment</w:t>
      </w:r>
      <w:r w:rsidRPr="001941A7">
        <w:t>: Cloud platforms enable faster development and deployment of new applications and services, allowing banks to respond quickly to market changes.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Access to Advanced Technologies</w:t>
      </w:r>
      <w:r w:rsidRPr="001941A7">
        <w:t>: Banks can leverage advanced technologies such as artificial intelligence, machine learning, and big data analytics provided by cloud service providers.</w:t>
      </w:r>
    </w:p>
    <w:p w:rsidR="001941A7" w:rsidRPr="001941A7" w:rsidRDefault="001941A7" w:rsidP="001941A7">
      <w:pPr>
        <w:numPr>
          <w:ilvl w:val="0"/>
          <w:numId w:val="2"/>
        </w:numPr>
      </w:pPr>
      <w:r w:rsidRPr="001941A7">
        <w:rPr>
          <w:b/>
          <w:bCs/>
        </w:rPr>
        <w:t>Improved Customer Experience</w:t>
      </w:r>
      <w:r w:rsidRPr="001941A7">
        <w:t>: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24/7 Availability</w:t>
      </w:r>
      <w:r w:rsidRPr="001941A7">
        <w:t>: Cloud infrastructure ensures that banking services are available around the clock, enhancing customer satisfaction.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Personalization</w:t>
      </w:r>
      <w:r w:rsidRPr="001941A7">
        <w:t>: Cloud-based analytics can help banks offer personalized services and products based on customer data.</w:t>
      </w:r>
    </w:p>
    <w:p w:rsidR="001941A7" w:rsidRPr="001941A7" w:rsidRDefault="001941A7" w:rsidP="001941A7">
      <w:pPr>
        <w:numPr>
          <w:ilvl w:val="0"/>
          <w:numId w:val="2"/>
        </w:numPr>
      </w:pPr>
      <w:r w:rsidRPr="001941A7">
        <w:rPr>
          <w:b/>
          <w:bCs/>
        </w:rPr>
        <w:t>Security and Compliance</w:t>
      </w:r>
      <w:r w:rsidRPr="001941A7">
        <w:t>: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lastRenderedPageBreak/>
        <w:t>Enhanced Security</w:t>
      </w:r>
      <w:r w:rsidRPr="001941A7">
        <w:t>: Leading cloud providers invest heavily in security measures and compliance certifications, often exceeding the capabilities of individual banks.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Data Backup and Disaster Recovery</w:t>
      </w:r>
      <w:r w:rsidRPr="001941A7">
        <w:t>: Cloud services offer robust data backup and disaster recovery solutions, ensuring business continuity in case of data loss or cyber-attacks.</w:t>
      </w:r>
    </w:p>
    <w:p w:rsidR="001941A7" w:rsidRPr="001941A7" w:rsidRDefault="001941A7" w:rsidP="001941A7">
      <w:pPr>
        <w:numPr>
          <w:ilvl w:val="0"/>
          <w:numId w:val="2"/>
        </w:numPr>
      </w:pPr>
      <w:r w:rsidRPr="001941A7">
        <w:rPr>
          <w:b/>
          <w:bCs/>
        </w:rPr>
        <w:t>Operational Efficiency</w:t>
      </w:r>
      <w:r w:rsidRPr="001941A7">
        <w:t>:</w:t>
      </w:r>
    </w:p>
    <w:p w:rsidR="001941A7" w:rsidRPr="001941A7" w:rsidRDefault="001941A7" w:rsidP="001941A7">
      <w:pPr>
        <w:numPr>
          <w:ilvl w:val="1"/>
          <w:numId w:val="2"/>
        </w:numPr>
      </w:pPr>
      <w:r w:rsidRPr="001941A7">
        <w:rPr>
          <w:b/>
          <w:bCs/>
        </w:rPr>
        <w:t>Automation</w:t>
      </w:r>
      <w:r w:rsidRPr="001941A7">
        <w:t>: Cloud platforms support the automation of routine tasks, reducing human error and improving efficiency.</w:t>
      </w:r>
    </w:p>
    <w:p w:rsidR="00BA27A3" w:rsidRDefault="001941A7" w:rsidP="00BA27A3">
      <w:pPr>
        <w:numPr>
          <w:ilvl w:val="1"/>
          <w:numId w:val="2"/>
        </w:numPr>
      </w:pPr>
      <w:r w:rsidRPr="001941A7">
        <w:rPr>
          <w:b/>
          <w:bCs/>
        </w:rPr>
        <w:t>Collaboration</w:t>
      </w:r>
      <w:r w:rsidRPr="001941A7">
        <w:t>: Cloud-based collaboration tools facilitate better communication and teamwork among employees, regardless of their location.</w:t>
      </w:r>
    </w:p>
    <w:p w:rsidR="00BA27A3" w:rsidRPr="001941A7" w:rsidRDefault="00BA27A3" w:rsidP="00BA27A3">
      <w:pPr>
        <w:numPr>
          <w:ilvl w:val="1"/>
          <w:numId w:val="2"/>
        </w:numPr>
      </w:pPr>
      <w:r w:rsidRPr="00BA27A3">
        <w:rPr>
          <w:rFonts w:eastAsia="Times New Roman" w:cstheme="minorHAnsi"/>
          <w:b/>
          <w:bCs/>
        </w:rPr>
        <w:t>Green IT</w:t>
      </w:r>
      <w:r w:rsidRPr="00BA27A3">
        <w:rPr>
          <w:rFonts w:eastAsia="Times New Roman" w:cstheme="minorHAnsi"/>
        </w:rPr>
        <w:t>:</w:t>
      </w:r>
      <w:r>
        <w:rPr>
          <w:rFonts w:eastAsia="Times New Roman" w:cstheme="minorHAnsi"/>
        </w:rPr>
        <w:t xml:space="preserve"> </w:t>
      </w:r>
      <w:r w:rsidRPr="00BA27A3">
        <w:rPr>
          <w:rFonts w:eastAsia="Times New Roman" w:cstheme="minorHAnsi"/>
        </w:rPr>
        <w:t>Reduces energy consumption and carbon footprint by optimizing computing power and minimizing idle time.</w:t>
      </w:r>
    </w:p>
    <w:p w:rsidR="001941A7" w:rsidRPr="001941A7" w:rsidRDefault="001941A7" w:rsidP="001941A7">
      <w:pPr>
        <w:rPr>
          <w:b/>
          <w:bCs/>
        </w:rPr>
      </w:pPr>
      <w:r w:rsidRPr="001941A7">
        <w:rPr>
          <w:b/>
          <w:bCs/>
        </w:rPr>
        <w:t>Applications of Cloud Computing in Banking</w:t>
      </w:r>
      <w:r w:rsidR="00BA27A3">
        <w:rPr>
          <w:b/>
          <w:bCs/>
        </w:rPr>
        <w:t>:</w:t>
      </w:r>
    </w:p>
    <w:p w:rsidR="001941A7" w:rsidRPr="001941A7" w:rsidRDefault="001941A7" w:rsidP="001941A7">
      <w:pPr>
        <w:numPr>
          <w:ilvl w:val="0"/>
          <w:numId w:val="3"/>
        </w:numPr>
      </w:pPr>
      <w:r w:rsidRPr="001941A7">
        <w:rPr>
          <w:b/>
          <w:bCs/>
        </w:rPr>
        <w:t>Core Banking Systems</w:t>
      </w:r>
      <w:r w:rsidRPr="001941A7">
        <w:t>:</w:t>
      </w:r>
      <w:r>
        <w:t xml:space="preserve"> </w:t>
      </w:r>
      <w:r w:rsidRPr="001941A7">
        <w:t>Transitioning core banking systems to the cloud allows banks to modernize their legacy systems, improve performance, and reduce maintenance costs.</w:t>
      </w:r>
    </w:p>
    <w:p w:rsidR="001941A7" w:rsidRPr="001941A7" w:rsidRDefault="001941A7" w:rsidP="001941A7">
      <w:pPr>
        <w:numPr>
          <w:ilvl w:val="0"/>
          <w:numId w:val="3"/>
        </w:numPr>
      </w:pPr>
      <w:r w:rsidRPr="001941A7">
        <w:rPr>
          <w:b/>
          <w:bCs/>
        </w:rPr>
        <w:t>Mobile and Internet Banking</w:t>
      </w:r>
      <w:r w:rsidRPr="001941A7">
        <w:t>:</w:t>
      </w:r>
      <w:r>
        <w:t xml:space="preserve"> </w:t>
      </w:r>
      <w:r w:rsidRPr="001941A7">
        <w:t>Cloud computing supports the development and operation of mobile and internet banking applications, providing a seamless user experience.</w:t>
      </w:r>
    </w:p>
    <w:p w:rsidR="001941A7" w:rsidRPr="001941A7" w:rsidRDefault="001941A7" w:rsidP="001941A7">
      <w:pPr>
        <w:numPr>
          <w:ilvl w:val="0"/>
          <w:numId w:val="3"/>
        </w:numPr>
      </w:pPr>
      <w:r w:rsidRPr="001941A7">
        <w:rPr>
          <w:b/>
          <w:bCs/>
        </w:rPr>
        <w:t>Data Analytics and Insights</w:t>
      </w:r>
      <w:r w:rsidRPr="001941A7">
        <w:t>:</w:t>
      </w:r>
      <w:r>
        <w:t xml:space="preserve"> </w:t>
      </w:r>
      <w:r w:rsidRPr="001941A7">
        <w:t>Banks can use cloud-based analytics to gain insights from vast amounts of customer data, improving decision-making and strategic planning.</w:t>
      </w:r>
    </w:p>
    <w:p w:rsidR="001941A7" w:rsidRPr="001941A7" w:rsidRDefault="001941A7" w:rsidP="001941A7">
      <w:pPr>
        <w:numPr>
          <w:ilvl w:val="0"/>
          <w:numId w:val="3"/>
        </w:numPr>
      </w:pPr>
      <w:r w:rsidRPr="001941A7">
        <w:rPr>
          <w:b/>
          <w:bCs/>
        </w:rPr>
        <w:t>Risk Management</w:t>
      </w:r>
      <w:r w:rsidRPr="001941A7">
        <w:t>:</w:t>
      </w:r>
      <w:r>
        <w:t xml:space="preserve"> </w:t>
      </w:r>
      <w:r w:rsidRPr="001941A7">
        <w:t>Cloud platforms enable banks to implement advanced risk management solutions, analyzing large datasets to identify and mitigate risks.</w:t>
      </w:r>
    </w:p>
    <w:p w:rsidR="001941A7" w:rsidRDefault="001941A7" w:rsidP="001941A7">
      <w:pPr>
        <w:numPr>
          <w:ilvl w:val="0"/>
          <w:numId w:val="3"/>
        </w:numPr>
      </w:pPr>
      <w:r w:rsidRPr="001941A7">
        <w:rPr>
          <w:b/>
          <w:bCs/>
        </w:rPr>
        <w:t>Regulatory Compliance</w:t>
      </w:r>
      <w:r w:rsidRPr="001941A7">
        <w:t>:</w:t>
      </w:r>
      <w:r>
        <w:t xml:space="preserve"> </w:t>
      </w:r>
      <w:r w:rsidRPr="001941A7">
        <w:t>Cloud computing helps banks comply with regulatory requirements by providing tools for data governance, audit trails, and reporting.</w:t>
      </w:r>
    </w:p>
    <w:p w:rsidR="00BA27A3" w:rsidRPr="00BA27A3" w:rsidRDefault="00BA27A3" w:rsidP="00BA27A3">
      <w:pPr>
        <w:rPr>
          <w:b/>
        </w:rPr>
      </w:pPr>
      <w:r w:rsidRPr="00BA27A3">
        <w:rPr>
          <w:b/>
        </w:rPr>
        <w:t>Cloud Service Models in Banking</w:t>
      </w:r>
      <w:r>
        <w:rPr>
          <w:b/>
        </w:rPr>
        <w:t>:</w:t>
      </w:r>
    </w:p>
    <w:p w:rsidR="00BA27A3" w:rsidRPr="00BA27A3" w:rsidRDefault="00BA27A3" w:rsidP="00BA27A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27A3">
        <w:rPr>
          <w:rStyle w:val="Strong"/>
          <w:rFonts w:asciiTheme="minorHAnsi" w:hAnsiTheme="minorHAnsi" w:cstheme="minorHAnsi"/>
          <w:sz w:val="22"/>
          <w:szCs w:val="22"/>
        </w:rPr>
        <w:t>Business Process-as-a-Service (</w:t>
      </w:r>
      <w:proofErr w:type="spellStart"/>
      <w:r w:rsidRPr="00BA27A3">
        <w:rPr>
          <w:rStyle w:val="Strong"/>
          <w:rFonts w:asciiTheme="minorHAnsi" w:hAnsiTheme="minorHAnsi" w:cstheme="minorHAnsi"/>
          <w:sz w:val="22"/>
          <w:szCs w:val="22"/>
        </w:rPr>
        <w:t>BPaaS</w:t>
      </w:r>
      <w:proofErr w:type="spellEnd"/>
      <w:r w:rsidRPr="00BA27A3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BA27A3">
        <w:rPr>
          <w:rFonts w:asciiTheme="minorHAnsi" w:hAnsiTheme="minorHAnsi" w:cstheme="minorHAnsi"/>
          <w:sz w:val="22"/>
          <w:szCs w:val="22"/>
        </w:rPr>
        <w:t>: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Utilizes the cloud for standard business processes like billing, payroll, and human resources.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Combines other service models with process expertise.</w:t>
      </w:r>
    </w:p>
    <w:p w:rsidR="00BA27A3" w:rsidRPr="00BA27A3" w:rsidRDefault="00BA27A3" w:rsidP="00BA27A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27A3">
        <w:rPr>
          <w:rStyle w:val="Strong"/>
          <w:rFonts w:asciiTheme="minorHAnsi" w:hAnsiTheme="minorHAnsi" w:cstheme="minorHAnsi"/>
          <w:sz w:val="22"/>
          <w:szCs w:val="22"/>
        </w:rPr>
        <w:t>Software-as-a-Service (</w:t>
      </w:r>
      <w:proofErr w:type="spellStart"/>
      <w:r w:rsidRPr="00BA27A3">
        <w:rPr>
          <w:rStyle w:val="Strong"/>
          <w:rFonts w:asciiTheme="minorHAnsi" w:hAnsiTheme="minorHAnsi" w:cstheme="minorHAnsi"/>
          <w:sz w:val="22"/>
          <w:szCs w:val="22"/>
        </w:rPr>
        <w:t>SaaS</w:t>
      </w:r>
      <w:proofErr w:type="spellEnd"/>
      <w:r w:rsidRPr="00BA27A3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BA27A3">
        <w:rPr>
          <w:rFonts w:asciiTheme="minorHAnsi" w:hAnsiTheme="minorHAnsi" w:cstheme="minorHAnsi"/>
          <w:sz w:val="22"/>
          <w:szCs w:val="22"/>
        </w:rPr>
        <w:t>: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Business software and data are hosted by a cloud provider and accessed via a web browser.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Applicable for software like accounting, CRM, ERP, invoicing, HR management, content management, and service desk management.</w:t>
      </w:r>
    </w:p>
    <w:p w:rsidR="00BA27A3" w:rsidRPr="00BA27A3" w:rsidRDefault="00BA27A3" w:rsidP="00BA27A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27A3">
        <w:rPr>
          <w:rStyle w:val="Strong"/>
          <w:rFonts w:asciiTheme="minorHAnsi" w:hAnsiTheme="minorHAnsi" w:cstheme="minorHAnsi"/>
          <w:sz w:val="22"/>
          <w:szCs w:val="22"/>
        </w:rPr>
        <w:t>Platform-as-a-Service (</w:t>
      </w:r>
      <w:proofErr w:type="spellStart"/>
      <w:r w:rsidRPr="00BA27A3">
        <w:rPr>
          <w:rStyle w:val="Strong"/>
          <w:rFonts w:asciiTheme="minorHAnsi" w:hAnsiTheme="minorHAnsi" w:cstheme="minorHAnsi"/>
          <w:sz w:val="22"/>
          <w:szCs w:val="22"/>
        </w:rPr>
        <w:t>PaaS</w:t>
      </w:r>
      <w:proofErr w:type="spellEnd"/>
      <w:r w:rsidRPr="00BA27A3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BA27A3">
        <w:rPr>
          <w:rFonts w:asciiTheme="minorHAnsi" w:hAnsiTheme="minorHAnsi" w:cstheme="minorHAnsi"/>
          <w:sz w:val="22"/>
          <w:szCs w:val="22"/>
        </w:rPr>
        <w:t>: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lastRenderedPageBreak/>
        <w:t>Provides a complete platform for application, interface, and database development, storage, and testing.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Streamlines development, maintenance, and support of custom applications, reducing IT costs and hardware/software needs.</w:t>
      </w:r>
    </w:p>
    <w:p w:rsidR="00BA27A3" w:rsidRPr="00BA27A3" w:rsidRDefault="00BA27A3" w:rsidP="00BA27A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A27A3">
        <w:rPr>
          <w:rStyle w:val="Strong"/>
          <w:rFonts w:asciiTheme="minorHAnsi" w:hAnsiTheme="minorHAnsi" w:cstheme="minorHAnsi"/>
          <w:sz w:val="22"/>
          <w:szCs w:val="22"/>
        </w:rPr>
        <w:t>Infrastructure-as-a-Service (</w:t>
      </w:r>
      <w:proofErr w:type="spellStart"/>
      <w:r w:rsidRPr="00BA27A3">
        <w:rPr>
          <w:rStyle w:val="Strong"/>
          <w:rFonts w:asciiTheme="minorHAnsi" w:hAnsiTheme="minorHAnsi" w:cstheme="minorHAnsi"/>
          <w:sz w:val="22"/>
          <w:szCs w:val="22"/>
        </w:rPr>
        <w:t>IaaS</w:t>
      </w:r>
      <w:proofErr w:type="spellEnd"/>
      <w:r w:rsidRPr="00BA27A3">
        <w:rPr>
          <w:rStyle w:val="Strong"/>
          <w:rFonts w:asciiTheme="minorHAnsi" w:hAnsiTheme="minorHAnsi" w:cstheme="minorHAnsi"/>
          <w:sz w:val="22"/>
          <w:szCs w:val="22"/>
        </w:rPr>
        <w:t>)</w:t>
      </w:r>
      <w:r w:rsidRPr="00BA27A3">
        <w:rPr>
          <w:rFonts w:asciiTheme="minorHAnsi" w:hAnsiTheme="minorHAnsi" w:cstheme="minorHAnsi"/>
          <w:sz w:val="22"/>
          <w:szCs w:val="22"/>
        </w:rPr>
        <w:t>: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Offers servers, software, data center space, and network equipment as an outsourced service.</w:t>
      </w:r>
    </w:p>
    <w:p w:rsidR="00BA27A3" w:rsidRPr="00BA27A3" w:rsidRDefault="00BA27A3" w:rsidP="00BA27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A27A3">
        <w:rPr>
          <w:rFonts w:cstheme="minorHAnsi"/>
        </w:rPr>
        <w:t>Eliminates the need for banks to purchase and maintain their own IT infrastructure.</w:t>
      </w:r>
    </w:p>
    <w:p w:rsidR="00BA27A3" w:rsidRPr="00BA27A3" w:rsidRDefault="00BA27A3" w:rsidP="00BA27A3">
      <w:pPr>
        <w:rPr>
          <w:b/>
          <w:bCs/>
        </w:rPr>
      </w:pPr>
      <w:r w:rsidRPr="00BA27A3">
        <w:rPr>
          <w:b/>
          <w:bCs/>
        </w:rPr>
        <w:t>Cloud Deployment Models in Banking</w:t>
      </w:r>
      <w:r w:rsidR="005C290A">
        <w:rPr>
          <w:b/>
          <w:bCs/>
        </w:rPr>
        <w:t>:</w:t>
      </w:r>
    </w:p>
    <w:p w:rsidR="00BA27A3" w:rsidRPr="00BA27A3" w:rsidRDefault="00BA27A3" w:rsidP="005C290A">
      <w:pPr>
        <w:numPr>
          <w:ilvl w:val="0"/>
          <w:numId w:val="9"/>
        </w:numPr>
      </w:pPr>
      <w:r w:rsidRPr="005C290A">
        <w:rPr>
          <w:b/>
          <w:bCs/>
        </w:rPr>
        <w:t>Private Cloud</w:t>
      </w:r>
      <w:r w:rsidRPr="00BA27A3">
        <w:t>:</w:t>
      </w:r>
      <w:r w:rsidR="005C290A">
        <w:t xml:space="preserve"> </w:t>
      </w:r>
      <w:r w:rsidRPr="00BA27A3">
        <w:t>Operated for a specific bank, managed by the bank or a third party on-p</w:t>
      </w:r>
      <w:r w:rsidR="005C290A">
        <w:t>remises and o</w:t>
      </w:r>
      <w:r w:rsidRPr="00BA27A3">
        <w:t>ffers higher control, flexibility, and security within the bank's firewall.</w:t>
      </w:r>
    </w:p>
    <w:p w:rsidR="00BA27A3" w:rsidRPr="00BA27A3" w:rsidRDefault="00BA27A3" w:rsidP="005C290A">
      <w:pPr>
        <w:numPr>
          <w:ilvl w:val="0"/>
          <w:numId w:val="9"/>
        </w:numPr>
      </w:pPr>
      <w:r w:rsidRPr="005C290A">
        <w:rPr>
          <w:b/>
          <w:bCs/>
        </w:rPr>
        <w:t>Public Cloud</w:t>
      </w:r>
      <w:r w:rsidRPr="00BA27A3">
        <w:t>:</w:t>
      </w:r>
      <w:r w:rsidR="005C290A">
        <w:t xml:space="preserve"> </w:t>
      </w:r>
      <w:r w:rsidRPr="00BA27A3">
        <w:t>Shared infrastructure open to the entire banking industry, ow</w:t>
      </w:r>
      <w:r w:rsidR="005C290A">
        <w:t>ned by a cloud service provider and s</w:t>
      </w:r>
      <w:r w:rsidRPr="00BA27A3">
        <w:t>uitable for banks seeking economies of scale.</w:t>
      </w:r>
    </w:p>
    <w:p w:rsidR="00BA27A3" w:rsidRDefault="00BA27A3" w:rsidP="005C290A">
      <w:pPr>
        <w:numPr>
          <w:ilvl w:val="0"/>
          <w:numId w:val="9"/>
        </w:numPr>
      </w:pPr>
      <w:r w:rsidRPr="005C290A">
        <w:rPr>
          <w:b/>
          <w:bCs/>
        </w:rPr>
        <w:t>Hybrid Cloud</w:t>
      </w:r>
      <w:r w:rsidRPr="00BA27A3">
        <w:t>:</w:t>
      </w:r>
      <w:r w:rsidR="005C290A">
        <w:t xml:space="preserve"> </w:t>
      </w:r>
      <w:r w:rsidRPr="00BA27A3">
        <w:t>Combines private and public clouds for different business use cases.</w:t>
      </w:r>
    </w:p>
    <w:p w:rsidR="006F20FC" w:rsidRDefault="00EB4908" w:rsidP="006F20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EB5E616" wp14:editId="1348B063">
            <wp:simplePos x="0" y="0"/>
            <wp:positionH relativeFrom="column">
              <wp:posOffset>237490</wp:posOffset>
            </wp:positionH>
            <wp:positionV relativeFrom="paragraph">
              <wp:posOffset>240030</wp:posOffset>
            </wp:positionV>
            <wp:extent cx="5486400" cy="3200400"/>
            <wp:effectExtent l="0" t="0" r="0" b="0"/>
            <wp:wrapTight wrapText="bothSides">
              <wp:wrapPolygon edited="0">
                <wp:start x="4425" y="771"/>
                <wp:lineTo x="4425" y="2057"/>
                <wp:lineTo x="7725" y="3086"/>
                <wp:lineTo x="10800" y="3086"/>
                <wp:lineTo x="10800" y="7200"/>
                <wp:lineTo x="7800" y="7843"/>
                <wp:lineTo x="7800" y="8614"/>
                <wp:lineTo x="10800" y="9257"/>
                <wp:lineTo x="10875" y="11314"/>
                <wp:lineTo x="6450" y="12214"/>
                <wp:lineTo x="6450" y="12986"/>
                <wp:lineTo x="11250" y="13371"/>
                <wp:lineTo x="11250" y="13886"/>
                <wp:lineTo x="20250" y="13886"/>
                <wp:lineTo x="20400" y="11571"/>
                <wp:lineTo x="19425" y="11314"/>
                <wp:lineTo x="10800" y="11314"/>
                <wp:lineTo x="20100" y="10414"/>
                <wp:lineTo x="20100" y="9643"/>
                <wp:lineTo x="10725" y="9257"/>
                <wp:lineTo x="10800" y="3086"/>
                <wp:lineTo x="16950" y="2186"/>
                <wp:lineTo x="17175" y="1157"/>
                <wp:lineTo x="15375" y="771"/>
                <wp:lineTo x="4425" y="771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0FC">
        <w:t xml:space="preserve">As of 2023, </w:t>
      </w:r>
    </w:p>
    <w:p w:rsidR="006F20FC" w:rsidRPr="00BA27A3" w:rsidRDefault="006F20FC" w:rsidP="006F20FC"/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EB4908" w:rsidRDefault="00EB4908" w:rsidP="00BA27A3">
      <w:pPr>
        <w:rPr>
          <w:b/>
          <w:bCs/>
        </w:rPr>
      </w:pPr>
    </w:p>
    <w:p w:rsidR="00BA27A3" w:rsidRPr="00BA27A3" w:rsidRDefault="00BA27A3" w:rsidP="00BA27A3">
      <w:pPr>
        <w:rPr>
          <w:b/>
          <w:bCs/>
        </w:rPr>
      </w:pPr>
      <w:r w:rsidRPr="00BA27A3">
        <w:rPr>
          <w:b/>
          <w:bCs/>
        </w:rPr>
        <w:t>Cloud Operating Models in Banking</w:t>
      </w:r>
      <w:r w:rsidR="005C290A">
        <w:rPr>
          <w:b/>
          <w:bCs/>
        </w:rPr>
        <w:t>:</w:t>
      </w:r>
    </w:p>
    <w:p w:rsidR="00BA27A3" w:rsidRPr="00BA27A3" w:rsidRDefault="00BA27A3" w:rsidP="005C290A">
      <w:pPr>
        <w:numPr>
          <w:ilvl w:val="0"/>
          <w:numId w:val="8"/>
        </w:numPr>
      </w:pPr>
      <w:r w:rsidRPr="00BA27A3">
        <w:rPr>
          <w:b/>
          <w:bCs/>
        </w:rPr>
        <w:t>Virtual Captives</w:t>
      </w:r>
      <w:r w:rsidRPr="00BA27A3">
        <w:t>:</w:t>
      </w:r>
      <w:r w:rsidR="005C290A">
        <w:t xml:space="preserve"> </w:t>
      </w:r>
      <w:r w:rsidRPr="00BA27A3">
        <w:t>Dedicated pool of centers and resources available on demand to support cloud operations.</w:t>
      </w:r>
    </w:p>
    <w:p w:rsidR="00BA27A3" w:rsidRPr="00BA27A3" w:rsidRDefault="00BA27A3" w:rsidP="005C290A">
      <w:pPr>
        <w:numPr>
          <w:ilvl w:val="0"/>
          <w:numId w:val="8"/>
        </w:numPr>
      </w:pPr>
      <w:r w:rsidRPr="00BA27A3">
        <w:rPr>
          <w:b/>
          <w:bCs/>
        </w:rPr>
        <w:t>Staff Augmentation</w:t>
      </w:r>
      <w:r w:rsidRPr="00BA27A3">
        <w:t>:</w:t>
      </w:r>
      <w:r w:rsidR="005C290A">
        <w:t xml:space="preserve"> </w:t>
      </w:r>
      <w:r w:rsidRPr="00BA27A3">
        <w:t>Banks hire skilled personnel to manage cloud operations internally, providing flexibility for real-time demands.</w:t>
      </w:r>
    </w:p>
    <w:p w:rsidR="00BA27A3" w:rsidRPr="00BA27A3" w:rsidRDefault="00BA27A3" w:rsidP="005C290A">
      <w:pPr>
        <w:numPr>
          <w:ilvl w:val="0"/>
          <w:numId w:val="8"/>
        </w:numPr>
      </w:pPr>
      <w:r w:rsidRPr="00BA27A3">
        <w:rPr>
          <w:b/>
          <w:bCs/>
        </w:rPr>
        <w:lastRenderedPageBreak/>
        <w:t>Outsourcing Vendors</w:t>
      </w:r>
      <w:r w:rsidRPr="00BA27A3">
        <w:t>:</w:t>
      </w:r>
      <w:r w:rsidR="005C290A">
        <w:t xml:space="preserve"> </w:t>
      </w:r>
      <w:r w:rsidRPr="00BA27A3">
        <w:t>Offshore facilities and staff manage cloud operations, often serving multiple banks.</w:t>
      </w:r>
    </w:p>
    <w:p w:rsidR="00B51196" w:rsidRPr="00B51196" w:rsidRDefault="00B51196" w:rsidP="00B51196">
      <w:pPr>
        <w:rPr>
          <w:b/>
        </w:rPr>
      </w:pPr>
      <w:r w:rsidRPr="00B51196">
        <w:rPr>
          <w:b/>
        </w:rPr>
        <w:t>Challenges of Cloud Adoption in Banks</w:t>
      </w:r>
      <w:r>
        <w:rPr>
          <w:b/>
        </w:rPr>
        <w:t>: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Latency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It is the p</w:t>
      </w:r>
      <w:r w:rsidRPr="00B51196">
        <w:rPr>
          <w:rFonts w:asciiTheme="minorHAnsi" w:hAnsiTheme="minorHAnsi" w:cstheme="minorHAnsi"/>
          <w:sz w:val="22"/>
          <w:szCs w:val="22"/>
        </w:rPr>
        <w:t xml:space="preserve">hysical distance between data centers and cloud providers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Pr="00B51196">
        <w:rPr>
          <w:rFonts w:asciiTheme="minorHAnsi" w:hAnsiTheme="minorHAnsi" w:cstheme="minorHAnsi"/>
          <w:sz w:val="22"/>
          <w:szCs w:val="22"/>
        </w:rPr>
        <w:t>can cause delays in core banking act</w:t>
      </w:r>
      <w:r>
        <w:rPr>
          <w:rFonts w:asciiTheme="minorHAnsi" w:hAnsiTheme="minorHAnsi" w:cstheme="minorHAnsi"/>
          <w:sz w:val="22"/>
          <w:szCs w:val="22"/>
        </w:rPr>
        <w:t xml:space="preserve">ivities like card authorization. </w:t>
      </w:r>
      <w:r w:rsidRPr="00B51196">
        <w:rPr>
          <w:rFonts w:asciiTheme="minorHAnsi" w:hAnsiTheme="minorHAnsi" w:cstheme="minorHAnsi"/>
          <w:sz w:val="22"/>
          <w:szCs w:val="22"/>
        </w:rPr>
        <w:t>Transitioning systems from data centers to the cloud can introduce additional latency.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Data Residency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I</w:t>
      </w:r>
      <w:r w:rsidRPr="00B51196">
        <w:rPr>
          <w:rFonts w:asciiTheme="minorHAnsi" w:hAnsiTheme="minorHAnsi" w:cstheme="minorHAnsi"/>
          <w:sz w:val="22"/>
          <w:szCs w:val="22"/>
        </w:rPr>
        <w:t>ssues of "data ownership" arise when data is hosted on the cloud.</w:t>
      </w:r>
      <w:r>
        <w:rPr>
          <w:rFonts w:asciiTheme="minorHAnsi" w:hAnsiTheme="minorHAnsi" w:cstheme="minorHAnsi"/>
          <w:sz w:val="22"/>
          <w:szCs w:val="22"/>
        </w:rPr>
        <w:t xml:space="preserve"> Also r</w:t>
      </w:r>
      <w:r w:rsidRPr="00B51196">
        <w:rPr>
          <w:rFonts w:asciiTheme="minorHAnsi" w:hAnsiTheme="minorHAnsi" w:cstheme="minorHAnsi"/>
          <w:sz w:val="22"/>
          <w:szCs w:val="22"/>
        </w:rPr>
        <w:t>egulatory compliance challenges due to government-mandated limits on data storage locations.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Resilience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Although less frequent than traditional IT outages, cloud outages can be more widespread and impactful.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Banks face high-level data security risks and downtime that are difficult to manage in real-time.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Security and Compliance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This means e</w:t>
      </w:r>
      <w:r w:rsidRPr="00B51196">
        <w:rPr>
          <w:rFonts w:asciiTheme="minorHAnsi" w:hAnsiTheme="minorHAnsi" w:cstheme="minorHAnsi"/>
          <w:sz w:val="22"/>
          <w:szCs w:val="22"/>
        </w:rPr>
        <w:t>nsuring cloud providers meet stringent security standards and co</w:t>
      </w:r>
      <w:r>
        <w:rPr>
          <w:rFonts w:asciiTheme="minorHAnsi" w:hAnsiTheme="minorHAnsi" w:cstheme="minorHAnsi"/>
          <w:sz w:val="22"/>
          <w:szCs w:val="22"/>
        </w:rPr>
        <w:t>mply with financial regulations and m</w:t>
      </w:r>
      <w:r w:rsidRPr="00B51196">
        <w:rPr>
          <w:rFonts w:asciiTheme="minorHAnsi" w:hAnsiTheme="minorHAnsi" w:cstheme="minorHAnsi"/>
          <w:sz w:val="22"/>
          <w:szCs w:val="22"/>
        </w:rPr>
        <w:t>anaging sensitive customer data while adhering to industry regulations.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Vendor Lock-In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Dependence on a single cloud provider can make it challenging to switch providers or move services back on-premises.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Integration with Legacy Systems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Integrating cloud services with existing legacy systems can be complex and costly.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Skills and Expertise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Banks need to invest in training or hiring personnel with cloud expertise to manage cloud operations effectively.</w:t>
      </w:r>
    </w:p>
    <w:p w:rsidR="00B51196" w:rsidRPr="00B51196" w:rsidRDefault="00B51196" w:rsidP="00B5119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B51196">
        <w:rPr>
          <w:rStyle w:val="Strong"/>
          <w:rFonts w:asciiTheme="minorHAnsi" w:hAnsiTheme="minorHAnsi" w:cstheme="minorHAnsi"/>
          <w:sz w:val="22"/>
          <w:szCs w:val="22"/>
        </w:rPr>
        <w:t>Cost Management</w:t>
      </w:r>
      <w:r w:rsidRPr="00B5119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1196">
        <w:rPr>
          <w:rFonts w:asciiTheme="minorHAnsi" w:hAnsiTheme="minorHAnsi" w:cstheme="minorHAnsi"/>
          <w:sz w:val="22"/>
          <w:szCs w:val="22"/>
        </w:rPr>
        <w:t>Managing and predicting costs in a pay-as-you-go model can be challenging without proper oversight and planning.</w:t>
      </w:r>
    </w:p>
    <w:p w:rsidR="006F20FC" w:rsidRPr="006F20FC" w:rsidRDefault="006F20FC" w:rsidP="006F20FC">
      <w:pPr>
        <w:rPr>
          <w:rFonts w:cstheme="minorHAnsi"/>
          <w:b/>
          <w:bCs/>
        </w:rPr>
      </w:pPr>
      <w:r w:rsidRPr="006F20FC">
        <w:rPr>
          <w:rFonts w:cstheme="minorHAnsi"/>
          <w:b/>
          <w:bCs/>
        </w:rPr>
        <w:t>Examples of Banks Using Cloud Computing</w:t>
      </w:r>
      <w:r w:rsidR="00EB4908">
        <w:rPr>
          <w:rFonts w:cstheme="minorHAnsi"/>
          <w:b/>
          <w:bCs/>
        </w:rPr>
        <w:t>:</w:t>
      </w:r>
    </w:p>
    <w:p w:rsidR="006F20FC" w:rsidRPr="006F20FC" w:rsidRDefault="006F20FC" w:rsidP="006F20F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F20FC">
        <w:rPr>
          <w:rFonts w:cstheme="minorHAnsi"/>
          <w:b/>
          <w:bCs/>
        </w:rPr>
        <w:t>JPMorgan Chase</w:t>
      </w:r>
      <w:r>
        <w:rPr>
          <w:rFonts w:cstheme="minorHAnsi"/>
          <w:b/>
          <w:bCs/>
        </w:rPr>
        <w:t>:</w:t>
      </w:r>
    </w:p>
    <w:p w:rsidR="006F20FC" w:rsidRPr="006F20FC" w:rsidRDefault="006F20FC" w:rsidP="006F20FC">
      <w:pPr>
        <w:numPr>
          <w:ilvl w:val="0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Adoption of Public Cloud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Partnered with AWS</w:t>
      </w:r>
      <w:r w:rsidRPr="006F20FC">
        <w:rPr>
          <w:rFonts w:cstheme="minorHAnsi"/>
        </w:rPr>
        <w:t>: JPMorgan Chase has collaborated with Amazon Web Services (AWS) to leverage its cloud infrastructure for various applications.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Use Case</w:t>
      </w:r>
      <w:r w:rsidRPr="006F20FC">
        <w:rPr>
          <w:rFonts w:cstheme="minorHAnsi"/>
        </w:rPr>
        <w:t>: Migrated its big data and analytics platforms to AWS to process large volumes of data efficiently.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Enhanced data processing speed, reduced costs, and improved scalability.</w:t>
      </w:r>
    </w:p>
    <w:p w:rsidR="006F20FC" w:rsidRPr="006F20FC" w:rsidRDefault="006F20FC" w:rsidP="006F20FC">
      <w:pPr>
        <w:numPr>
          <w:ilvl w:val="0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Private Cloud Development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Internal Cloud Platform</w:t>
      </w:r>
      <w:r w:rsidRPr="006F20FC">
        <w:rPr>
          <w:rFonts w:cstheme="minorHAnsi"/>
        </w:rPr>
        <w:t>: Developed an internal cloud platform called Gaia.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t>Use Case</w:t>
      </w:r>
      <w:r w:rsidRPr="006F20FC">
        <w:rPr>
          <w:rFonts w:cstheme="minorHAnsi"/>
        </w:rPr>
        <w:t>: Gaia supports the bank's risk management, fraud detection, and compliance functions.</w:t>
      </w:r>
    </w:p>
    <w:p w:rsidR="006F20FC" w:rsidRPr="006F20FC" w:rsidRDefault="006F20FC" w:rsidP="006F20FC">
      <w:pPr>
        <w:numPr>
          <w:ilvl w:val="1"/>
          <w:numId w:val="11"/>
        </w:numPr>
        <w:rPr>
          <w:rFonts w:cstheme="minorHAnsi"/>
        </w:rPr>
      </w:pPr>
      <w:r w:rsidRPr="006F20FC">
        <w:rPr>
          <w:rFonts w:cstheme="minorHAnsi"/>
          <w:b/>
          <w:bCs/>
        </w:rPr>
        <w:lastRenderedPageBreak/>
        <w:t>Benefits</w:t>
      </w:r>
      <w:r w:rsidRPr="006F20FC">
        <w:rPr>
          <w:rFonts w:cstheme="minorHAnsi"/>
        </w:rPr>
        <w:t>: Increased control over sensitive data and operations, improved flexibility and security.</w:t>
      </w:r>
    </w:p>
    <w:p w:rsidR="006F20FC" w:rsidRPr="006F20FC" w:rsidRDefault="006F20FC" w:rsidP="006F20F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F20FC">
        <w:rPr>
          <w:rFonts w:cstheme="minorHAnsi"/>
          <w:b/>
          <w:bCs/>
        </w:rPr>
        <w:t>Goldman Sachs</w:t>
      </w:r>
    </w:p>
    <w:p w:rsidR="006F20FC" w:rsidRPr="006F20FC" w:rsidRDefault="006F20FC" w:rsidP="006F20FC">
      <w:pPr>
        <w:numPr>
          <w:ilvl w:val="0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Cloud-native Platform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Partnership with AWS</w:t>
      </w:r>
      <w:r w:rsidRPr="006F20FC">
        <w:rPr>
          <w:rFonts w:cstheme="minorHAnsi"/>
        </w:rPr>
        <w:t>: Uses AWS for its data lake and cloud-native services.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Use Case</w:t>
      </w:r>
      <w:r w:rsidRPr="006F20FC">
        <w:rPr>
          <w:rFonts w:cstheme="minorHAnsi"/>
        </w:rPr>
        <w:t>: Developed a cloud-based data management and analytics platform to support trading and risk management.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Improved data accessibility, real-time analytics, and reduced operational costs.</w:t>
      </w:r>
    </w:p>
    <w:p w:rsidR="006F20FC" w:rsidRPr="006F20FC" w:rsidRDefault="006F20FC" w:rsidP="006F20FC">
      <w:pPr>
        <w:numPr>
          <w:ilvl w:val="0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Open Source Contributions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Legend Platform</w:t>
      </w:r>
      <w:r w:rsidRPr="006F20FC">
        <w:rPr>
          <w:rFonts w:cstheme="minorHAnsi"/>
        </w:rPr>
        <w:t>: Launched Legend, an open-source data modeling platform, to enhance collaboration and innovation in financial services.</w:t>
      </w:r>
    </w:p>
    <w:p w:rsid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Promotes industry-wide standardization and</w:t>
      </w:r>
      <w:r>
        <w:rPr>
          <w:rFonts w:cstheme="minorHAnsi"/>
        </w:rPr>
        <w:t xml:space="preserve"> improves data interoperability.</w:t>
      </w:r>
    </w:p>
    <w:p w:rsidR="006F20FC" w:rsidRPr="006F20FC" w:rsidRDefault="006F20FC" w:rsidP="006F20F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F20FC">
        <w:rPr>
          <w:rFonts w:cstheme="minorHAnsi"/>
          <w:b/>
          <w:bCs/>
        </w:rPr>
        <w:t>Bank of America</w:t>
      </w:r>
      <w:r>
        <w:rPr>
          <w:rFonts w:cstheme="minorHAnsi"/>
          <w:b/>
          <w:bCs/>
        </w:rPr>
        <w:t>:</w:t>
      </w:r>
    </w:p>
    <w:p w:rsidR="006F20FC" w:rsidRPr="006F20FC" w:rsidRDefault="006F20FC" w:rsidP="006F20FC">
      <w:pPr>
        <w:numPr>
          <w:ilvl w:val="0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Hybrid Cloud Strategy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Partnership with IBM</w:t>
      </w:r>
      <w:r w:rsidRPr="006F20FC">
        <w:rPr>
          <w:rFonts w:cstheme="minorHAnsi"/>
        </w:rPr>
        <w:t>: Bank of America has partnered with IBM to build a hybrid cloud solution using IBM Cloud.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Use Case</w:t>
      </w:r>
      <w:r w:rsidRPr="006F20FC">
        <w:rPr>
          <w:rFonts w:cstheme="minorHAnsi"/>
        </w:rPr>
        <w:t>: The bank uses the hybrid cloud for regulatory workloads and to support its digital banking initiatives.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Enhanced compliance, data security, and operational efficiency.</w:t>
      </w:r>
    </w:p>
    <w:p w:rsidR="006F20FC" w:rsidRPr="006F20FC" w:rsidRDefault="006F20FC" w:rsidP="006F20FC">
      <w:pPr>
        <w:numPr>
          <w:ilvl w:val="0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Focus on Security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Data Encryption and Monitoring</w:t>
      </w:r>
      <w:r w:rsidRPr="006F20FC">
        <w:rPr>
          <w:rFonts w:cstheme="minorHAnsi"/>
        </w:rPr>
        <w:t>: Implements advanced encryption and continuous monitoring for data security.</w:t>
      </w:r>
    </w:p>
    <w:p w:rsidR="006F20FC" w:rsidRPr="006F20FC" w:rsidRDefault="006F20FC" w:rsidP="006F20FC">
      <w:pPr>
        <w:numPr>
          <w:ilvl w:val="1"/>
          <w:numId w:val="13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Ensures compliance with financial regulations and protects customer data.</w:t>
      </w:r>
    </w:p>
    <w:p w:rsidR="006F20FC" w:rsidRPr="006F20FC" w:rsidRDefault="006F20FC" w:rsidP="006F20FC">
      <w:pPr>
        <w:pStyle w:val="ListParagraph"/>
        <w:numPr>
          <w:ilvl w:val="0"/>
          <w:numId w:val="19"/>
        </w:numPr>
        <w:rPr>
          <w:rFonts w:cstheme="minorHAnsi"/>
          <w:b/>
          <w:bCs/>
        </w:rPr>
      </w:pPr>
      <w:r w:rsidRPr="006F20FC">
        <w:rPr>
          <w:rFonts w:cstheme="minorHAnsi"/>
          <w:b/>
          <w:bCs/>
        </w:rPr>
        <w:t>Capital One</w:t>
      </w:r>
      <w:r>
        <w:rPr>
          <w:rFonts w:cstheme="minorHAnsi"/>
          <w:b/>
          <w:bCs/>
        </w:rPr>
        <w:t>:</w:t>
      </w:r>
    </w:p>
    <w:p w:rsidR="006F20FC" w:rsidRPr="006F20FC" w:rsidRDefault="006F20FC" w:rsidP="006F20FC">
      <w:pPr>
        <w:numPr>
          <w:ilvl w:val="0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>Cloud-first Strategy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>Partnership with AWS</w:t>
      </w:r>
      <w:r w:rsidRPr="006F20FC">
        <w:rPr>
          <w:rFonts w:cstheme="minorHAnsi"/>
        </w:rPr>
        <w:t xml:space="preserve">: Fully </w:t>
      </w:r>
      <w:proofErr w:type="gramStart"/>
      <w:r w:rsidRPr="006F20FC">
        <w:rPr>
          <w:rFonts w:cstheme="minorHAnsi"/>
        </w:rPr>
        <w:t>migrated</w:t>
      </w:r>
      <w:proofErr w:type="gramEnd"/>
      <w:r w:rsidRPr="006F20FC">
        <w:rPr>
          <w:rFonts w:cstheme="minorHAnsi"/>
        </w:rPr>
        <w:t xml:space="preserve"> its data centers to AWS, becoming one of the first major banks to go all-in on the cloud.</w:t>
      </w:r>
    </w:p>
    <w:p w:rsidR="006F20FC" w:rsidRPr="006F20FC" w:rsidRDefault="006F20FC" w:rsidP="006F20FC">
      <w:pPr>
        <w:numPr>
          <w:ilvl w:val="1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lastRenderedPageBreak/>
        <w:t>Use Case</w:t>
      </w:r>
      <w:r w:rsidRPr="006F20FC">
        <w:rPr>
          <w:rFonts w:cstheme="minorHAnsi"/>
        </w:rPr>
        <w:t>: Uses AWS for various applications, including mobile banking, machine learning, and data analytics.</w:t>
      </w:r>
    </w:p>
    <w:p w:rsidR="006F20FC" w:rsidRPr="006F20FC" w:rsidRDefault="006F20FC" w:rsidP="006F20FC">
      <w:pPr>
        <w:numPr>
          <w:ilvl w:val="1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Increased innovation, cost savings, and enhanced customer experience.</w:t>
      </w:r>
    </w:p>
    <w:p w:rsidR="006F20FC" w:rsidRPr="006F20FC" w:rsidRDefault="006F20FC" w:rsidP="006F20FC">
      <w:pPr>
        <w:numPr>
          <w:ilvl w:val="0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 xml:space="preserve">Focus on </w:t>
      </w:r>
      <w:proofErr w:type="spellStart"/>
      <w:r w:rsidRPr="006F20FC">
        <w:rPr>
          <w:rFonts w:cstheme="minorHAnsi"/>
          <w:b/>
          <w:bCs/>
        </w:rPr>
        <w:t>DevOps</w:t>
      </w:r>
      <w:proofErr w:type="spellEnd"/>
      <w:r w:rsidRPr="006F20FC">
        <w:rPr>
          <w:rFonts w:cstheme="minorHAnsi"/>
          <w:b/>
          <w:bCs/>
        </w:rPr>
        <w:t xml:space="preserve"> and Automation</w:t>
      </w:r>
      <w:r w:rsidRPr="006F20FC">
        <w:rPr>
          <w:rFonts w:cstheme="minorHAnsi"/>
        </w:rPr>
        <w:t>:</w:t>
      </w:r>
    </w:p>
    <w:p w:rsidR="006F20FC" w:rsidRPr="006F20FC" w:rsidRDefault="006F20FC" w:rsidP="006F20FC">
      <w:pPr>
        <w:numPr>
          <w:ilvl w:val="1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>Automated Pipelines</w:t>
      </w:r>
      <w:r w:rsidRPr="006F20FC">
        <w:rPr>
          <w:rFonts w:cstheme="minorHAnsi"/>
        </w:rPr>
        <w:t>: Implemented automated CI/CD pipelines using AWS tools.</w:t>
      </w:r>
    </w:p>
    <w:p w:rsidR="006F20FC" w:rsidRPr="006F20FC" w:rsidRDefault="006F20FC" w:rsidP="006F20FC">
      <w:pPr>
        <w:numPr>
          <w:ilvl w:val="1"/>
          <w:numId w:val="15"/>
        </w:numPr>
        <w:rPr>
          <w:rFonts w:cstheme="minorHAnsi"/>
        </w:rPr>
      </w:pPr>
      <w:r w:rsidRPr="006F20FC">
        <w:rPr>
          <w:rFonts w:cstheme="minorHAnsi"/>
          <w:b/>
          <w:bCs/>
        </w:rPr>
        <w:t>Benefits</w:t>
      </w:r>
      <w:r w:rsidRPr="006F20FC">
        <w:rPr>
          <w:rFonts w:cstheme="minorHAnsi"/>
        </w:rPr>
        <w:t>: Accelerated software development cycles and improved deployment efficiency.</w:t>
      </w:r>
    </w:p>
    <w:p w:rsidR="001941A7" w:rsidRDefault="00EB4908">
      <w:pPr>
        <w:rPr>
          <w:rFonts w:cstheme="minorHAnsi"/>
          <w:b/>
        </w:rPr>
      </w:pPr>
      <w:r w:rsidRPr="00EB4908">
        <w:rPr>
          <w:rFonts w:cstheme="minorHAnsi"/>
          <w:b/>
        </w:rPr>
        <w:t>Data Points:</w:t>
      </w:r>
    </w:p>
    <w:p w:rsid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In 2023, approximately 87% of banks globally were using some form of cloud services, up from 80% in 2020.</w:t>
      </w:r>
    </w:p>
    <w:p w:rsidR="00EB4908" w:rsidRP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Cloud computing has helped reduce carbon emissions in the banking sector by an estimated 18% since 2019.</w:t>
      </w:r>
    </w:p>
    <w:p w:rsidR="00EB4908" w:rsidRP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72% of banks cite environmental sustainability as a key driver for cloud adoption.</w:t>
      </w:r>
    </w:p>
    <w:p w:rsid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Energy efficiency improvements through cloud usage range from 25% to 50% compared to traditional on-premises data centers.</w:t>
      </w:r>
    </w:p>
    <w:p w:rsidR="00EB4908" w:rsidRP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68% of banks reported increased confidence in cloud security compared to on-premises solutions in 2023.</w:t>
      </w:r>
    </w:p>
    <w:p w:rsidR="00EB4908" w:rsidRDefault="00EB4908" w:rsidP="00EB4908">
      <w:pPr>
        <w:pStyle w:val="ListParagraph"/>
        <w:numPr>
          <w:ilvl w:val="0"/>
          <w:numId w:val="20"/>
        </w:numPr>
        <w:rPr>
          <w:rFonts w:cstheme="minorHAnsi"/>
        </w:rPr>
      </w:pPr>
      <w:r w:rsidRPr="00EB4908">
        <w:rPr>
          <w:rFonts w:cstheme="minorHAnsi"/>
        </w:rPr>
        <w:t>Investment in cloud security by banks has grown by an average of 15% year-over-year since 2020.</w:t>
      </w:r>
    </w:p>
    <w:p w:rsidR="00EB4908" w:rsidRDefault="00AB6793" w:rsidP="00EB4908">
      <w:pPr>
        <w:rPr>
          <w:b/>
        </w:rPr>
      </w:pPr>
      <w:r>
        <w:rPr>
          <w:b/>
        </w:rPr>
        <w:t>Reasons for</w:t>
      </w:r>
      <w:r w:rsidR="00EB4908" w:rsidRPr="00EB4908">
        <w:rPr>
          <w:b/>
        </w:rPr>
        <w:t xml:space="preserve"> </w:t>
      </w:r>
      <w:r w:rsidR="00EB4908" w:rsidRPr="00EB4908">
        <w:rPr>
          <w:b/>
        </w:rPr>
        <w:t>Adoption</w:t>
      </w:r>
      <w:r w:rsidR="00EB4908" w:rsidRPr="00EB4908">
        <w:rPr>
          <w:b/>
        </w:rPr>
        <w:t xml:space="preserve"> of Cloud Computing by banks:</w:t>
      </w:r>
    </w:p>
    <w:p w:rsidR="00AB6793" w:rsidRDefault="00EB4908" w:rsidP="00EB4908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783283" cy="3206338"/>
            <wp:effectExtent l="0" t="0" r="825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B0902" w:rsidRDefault="007B0902" w:rsidP="007B0902">
      <w:pPr>
        <w:rPr>
          <w:b/>
        </w:rPr>
      </w:pPr>
      <w:r>
        <w:rPr>
          <w:rFonts w:cstheme="min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ADDB4C" wp14:editId="21C2C7A8">
            <wp:simplePos x="0" y="0"/>
            <wp:positionH relativeFrom="column">
              <wp:posOffset>106680</wp:posOffset>
            </wp:positionH>
            <wp:positionV relativeFrom="paragraph">
              <wp:posOffset>225425</wp:posOffset>
            </wp:positionV>
            <wp:extent cx="5901690" cy="3514725"/>
            <wp:effectExtent l="0" t="0" r="3810" b="0"/>
            <wp:wrapTight wrapText="bothSides">
              <wp:wrapPolygon edited="0">
                <wp:start x="14363" y="585"/>
                <wp:lineTo x="5996" y="820"/>
                <wp:lineTo x="5996" y="1873"/>
                <wp:lineTo x="10807" y="2693"/>
                <wp:lineTo x="1534" y="2810"/>
                <wp:lineTo x="1116" y="2927"/>
                <wp:lineTo x="1116" y="5854"/>
                <wp:lineTo x="1604" y="6439"/>
                <wp:lineTo x="1394" y="6556"/>
                <wp:lineTo x="558" y="7259"/>
                <wp:lineTo x="488" y="11239"/>
                <wp:lineTo x="837" y="12059"/>
                <wp:lineTo x="1255" y="12059"/>
                <wp:lineTo x="1185" y="13463"/>
                <wp:lineTo x="1534" y="13932"/>
                <wp:lineTo x="1394" y="14400"/>
                <wp:lineTo x="1394" y="16039"/>
                <wp:lineTo x="2649" y="17678"/>
                <wp:lineTo x="2371" y="17795"/>
                <wp:lineTo x="2440" y="18380"/>
                <wp:lineTo x="3626" y="19551"/>
                <wp:lineTo x="3626" y="21424"/>
                <wp:lineTo x="21544" y="21424"/>
                <wp:lineTo x="21544" y="6907"/>
                <wp:lineTo x="9134" y="6439"/>
                <wp:lineTo x="9273" y="5854"/>
                <wp:lineTo x="8436" y="5502"/>
                <wp:lineTo x="5369" y="4566"/>
                <wp:lineTo x="10807" y="2693"/>
                <wp:lineTo x="15478" y="1873"/>
                <wp:lineTo x="15688" y="1171"/>
                <wp:lineTo x="14781" y="585"/>
                <wp:lineTo x="14363" y="585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Reasons for</w:t>
      </w:r>
      <w:r w:rsidRPr="00EB4908">
        <w:rPr>
          <w:b/>
        </w:rPr>
        <w:t xml:space="preserve"> </w:t>
      </w:r>
      <w:r>
        <w:rPr>
          <w:b/>
        </w:rPr>
        <w:t>Non-</w:t>
      </w:r>
      <w:r w:rsidRPr="00EB4908">
        <w:rPr>
          <w:b/>
        </w:rPr>
        <w:t>Adoption of Cloud Computing by banks:</w:t>
      </w:r>
    </w:p>
    <w:p w:rsidR="007B0902" w:rsidRDefault="007B0902" w:rsidP="00EB4908">
      <w:pPr>
        <w:rPr>
          <w:rFonts w:cstheme="minorHAnsi"/>
          <w:b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Pr="007B0902" w:rsidRDefault="007B0902" w:rsidP="007B0902">
      <w:pPr>
        <w:rPr>
          <w:rFonts w:cstheme="minorHAnsi"/>
        </w:rPr>
      </w:pPr>
    </w:p>
    <w:p w:rsidR="007B0902" w:rsidRDefault="007B0902" w:rsidP="007B0902">
      <w:pPr>
        <w:rPr>
          <w:rFonts w:cstheme="minorHAnsi"/>
        </w:rPr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7B0902" w:rsidRDefault="007B0902" w:rsidP="007B0902">
      <w:pPr>
        <w:pStyle w:val="Title"/>
        <w:jc w:val="right"/>
      </w:pPr>
    </w:p>
    <w:p w:rsidR="00EB4908" w:rsidRPr="007B0902" w:rsidRDefault="007B0902" w:rsidP="007B0902">
      <w:pPr>
        <w:pStyle w:val="Title"/>
        <w:jc w:val="right"/>
      </w:pPr>
      <w:r>
        <w:t>Thank You</w:t>
      </w:r>
    </w:p>
    <w:sectPr w:rsidR="00EB4908" w:rsidRPr="007B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C3C"/>
    <w:multiLevelType w:val="multilevel"/>
    <w:tmpl w:val="C6261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E1744A9"/>
    <w:multiLevelType w:val="multilevel"/>
    <w:tmpl w:val="B5C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38F1"/>
    <w:multiLevelType w:val="multilevel"/>
    <w:tmpl w:val="73A4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B0E75"/>
    <w:multiLevelType w:val="multilevel"/>
    <w:tmpl w:val="B86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72395F"/>
    <w:multiLevelType w:val="multilevel"/>
    <w:tmpl w:val="7E2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C2A3D"/>
    <w:multiLevelType w:val="multilevel"/>
    <w:tmpl w:val="4BD0F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7916679"/>
    <w:multiLevelType w:val="multilevel"/>
    <w:tmpl w:val="0000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CF17B8"/>
    <w:multiLevelType w:val="multilevel"/>
    <w:tmpl w:val="6154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E95F0A"/>
    <w:multiLevelType w:val="multilevel"/>
    <w:tmpl w:val="A4E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655B61"/>
    <w:multiLevelType w:val="hybridMultilevel"/>
    <w:tmpl w:val="C2BE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F7FB2"/>
    <w:multiLevelType w:val="multilevel"/>
    <w:tmpl w:val="2FA6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B920C8"/>
    <w:multiLevelType w:val="multilevel"/>
    <w:tmpl w:val="B7F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F6DB1"/>
    <w:multiLevelType w:val="multilevel"/>
    <w:tmpl w:val="D58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9A5C53"/>
    <w:multiLevelType w:val="multilevel"/>
    <w:tmpl w:val="0A2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72007D"/>
    <w:multiLevelType w:val="multilevel"/>
    <w:tmpl w:val="0A2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94BF5"/>
    <w:multiLevelType w:val="multilevel"/>
    <w:tmpl w:val="9BE6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9D453B"/>
    <w:multiLevelType w:val="hybridMultilevel"/>
    <w:tmpl w:val="7B700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B6D6F"/>
    <w:multiLevelType w:val="multilevel"/>
    <w:tmpl w:val="396E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F50518"/>
    <w:multiLevelType w:val="multilevel"/>
    <w:tmpl w:val="558083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7EFB3297"/>
    <w:multiLevelType w:val="multilevel"/>
    <w:tmpl w:val="32C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7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13"/>
  </w:num>
  <w:num w:numId="10">
    <w:abstractNumId w:val="15"/>
  </w:num>
  <w:num w:numId="11">
    <w:abstractNumId w:val="0"/>
  </w:num>
  <w:num w:numId="12">
    <w:abstractNumId w:val="8"/>
  </w:num>
  <w:num w:numId="13">
    <w:abstractNumId w:val="18"/>
  </w:num>
  <w:num w:numId="14">
    <w:abstractNumId w:val="19"/>
  </w:num>
  <w:num w:numId="15">
    <w:abstractNumId w:val="5"/>
  </w:num>
  <w:num w:numId="16">
    <w:abstractNumId w:val="12"/>
  </w:num>
  <w:num w:numId="17">
    <w:abstractNumId w:val="4"/>
  </w:num>
  <w:num w:numId="18">
    <w:abstractNumId w:val="16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83"/>
    <w:rsid w:val="000D6B90"/>
    <w:rsid w:val="001941A7"/>
    <w:rsid w:val="005C290A"/>
    <w:rsid w:val="006F20FC"/>
    <w:rsid w:val="007B0902"/>
    <w:rsid w:val="00AB6793"/>
    <w:rsid w:val="00B51196"/>
    <w:rsid w:val="00BA27A3"/>
    <w:rsid w:val="00BE0183"/>
    <w:rsid w:val="00E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A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7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2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9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9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0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BA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7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F2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0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90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9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0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Cloud Development Model Usage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Percentage</c:v>
                </c:pt>
              </c:strCache>
            </c:strRef>
          </c:tx>
          <c:dLbls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Hybrid</c:v>
                </c:pt>
                <c:pt idx="1">
                  <c:v>Public</c:v>
                </c:pt>
                <c:pt idx="2">
                  <c:v>Private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25</c:v>
                </c:pt>
                <c:pt idx="2">
                  <c:v>15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8574146981627302"/>
          <c:y val="0.43389482564679416"/>
          <c:w val="0.20036964129483814"/>
          <c:h val="0.2355430571178602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Reasons for Adoption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Increased agility and scalability</c:v>
                </c:pt>
                <c:pt idx="1">
                  <c:v>Cost reduction</c:v>
                </c:pt>
                <c:pt idx="2">
                  <c:v>Enhanced customer experience</c:v>
                </c:pt>
                <c:pt idx="3">
                  <c:v>Improved data analytics capabilities</c:v>
                </c:pt>
                <c:pt idx="4">
                  <c:v>Better security and compliance management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92</c:v>
                </c:pt>
                <c:pt idx="1">
                  <c:v>88</c:v>
                </c:pt>
                <c:pt idx="2">
                  <c:v>85</c:v>
                </c:pt>
                <c:pt idx="3">
                  <c:v>82</c:v>
                </c:pt>
                <c:pt idx="4">
                  <c:v>78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329153536"/>
        <c:axId val="329155712"/>
      </c:barChart>
      <c:catAx>
        <c:axId val="329153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Reasons</a:t>
                </a:r>
              </a:p>
            </c:rich>
          </c:tx>
          <c:overlay val="0"/>
        </c:title>
        <c:majorTickMark val="none"/>
        <c:minorTickMark val="none"/>
        <c:tickLblPos val="nextTo"/>
        <c:crossAx val="329155712"/>
        <c:crosses val="autoZero"/>
        <c:auto val="1"/>
        <c:lblAlgn val="ctr"/>
        <c:lblOffset val="100"/>
        <c:noMultiLvlLbl val="0"/>
      </c:catAx>
      <c:valAx>
        <c:axId val="32915571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291535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6"/>
    </mc:Choice>
    <mc:Fallback>
      <c:style val="1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Reasons</a:t>
            </a:r>
            <a:r>
              <a:rPr lang="en-US" baseline="0"/>
              <a:t> For Non - Adoption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Data security and privacy concerns</c:v>
                </c:pt>
                <c:pt idx="1">
                  <c:v>Regulatory compliance challenges</c:v>
                </c:pt>
                <c:pt idx="2">
                  <c:v>Legacy system integration difficulties</c:v>
                </c:pt>
                <c:pt idx="3">
                  <c:v>Lack of in-house cloud expertise</c:v>
                </c:pt>
                <c:pt idx="4">
                  <c:v>Cost of migration and training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45</c:v>
                </c:pt>
                <c:pt idx="1">
                  <c:v>40</c:v>
                </c:pt>
                <c:pt idx="2">
                  <c:v>35</c:v>
                </c:pt>
                <c:pt idx="3">
                  <c:v>30</c:v>
                </c:pt>
                <c:pt idx="4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307655808"/>
        <c:axId val="307657728"/>
      </c:barChart>
      <c:catAx>
        <c:axId val="307655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Reasons</a:t>
                </a:r>
              </a:p>
            </c:rich>
          </c:tx>
          <c:overlay val="0"/>
        </c:title>
        <c:majorTickMark val="none"/>
        <c:minorTickMark val="none"/>
        <c:tickLblPos val="nextTo"/>
        <c:crossAx val="307657728"/>
        <c:crosses val="autoZero"/>
        <c:auto val="1"/>
        <c:lblAlgn val="ctr"/>
        <c:lblOffset val="100"/>
        <c:noMultiLvlLbl val="0"/>
      </c:catAx>
      <c:valAx>
        <c:axId val="3076577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765580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7C506-D7B1-4ADB-BC40-836904A9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2024-07-09T18:58:00Z</dcterms:created>
  <dcterms:modified xsi:type="dcterms:W3CDTF">2024-07-09T21:19:00Z</dcterms:modified>
</cp:coreProperties>
</file>