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CF" w:rsidRDefault="001831CF" w:rsidP="001831CF">
      <w:pPr>
        <w:pStyle w:val="Heading1"/>
        <w:spacing w:line="480" w:lineRule="auto"/>
        <w:jc w:val="center"/>
      </w:pPr>
      <w:bookmarkStart w:id="0" w:name="_Toc168681394"/>
      <w:bookmarkStart w:id="1" w:name="_Toc169018610"/>
      <w:bookmarkStart w:id="2" w:name="_Toc169099747"/>
      <w:bookmarkStart w:id="3" w:name="_Toc169194466"/>
      <w:bookmarkStart w:id="4" w:name="_Toc169526155"/>
      <w:bookmarkStart w:id="5" w:name="_Toc169624170"/>
      <w:bookmarkStart w:id="6" w:name="_Toc170344133"/>
      <w:bookmarkStart w:id="7" w:name="_Toc170475965"/>
      <w:bookmarkStart w:id="8" w:name="_Toc170747670"/>
      <w:bookmarkStart w:id="9" w:name="_Toc171442474"/>
      <w:r>
        <w:rPr>
          <w:noProof/>
        </w:rPr>
        <w:drawing>
          <wp:inline distT="0" distB="0" distL="0" distR="0" wp14:anchorId="665B03C3" wp14:editId="4CAC4D0B">
            <wp:extent cx="2838450" cy="1287105"/>
            <wp:effectExtent l="0" t="0" r="0" b="8890"/>
            <wp:docPr id="7" name="Picture 7" descr="Quinte Financial Technologies | FinTec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nte Financial Technologies | FinTech Solu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831CF" w:rsidRDefault="001831CF" w:rsidP="001831CF">
      <w:pPr>
        <w:jc w:val="center"/>
        <w:rPr>
          <w:b/>
          <w:sz w:val="28"/>
        </w:rPr>
      </w:pPr>
      <w:bookmarkStart w:id="10" w:name="_Toc168493927"/>
      <w:bookmarkStart w:id="11" w:name="_Toc168494038"/>
      <w:bookmarkStart w:id="12" w:name="_Toc168681395"/>
      <w:bookmarkStart w:id="13" w:name="_Toc169018611"/>
      <w:bookmarkStart w:id="14" w:name="_Toc169099748"/>
      <w:bookmarkStart w:id="15" w:name="_Toc169194467"/>
      <w:bookmarkStart w:id="16" w:name="_Toc169526156"/>
      <w:bookmarkStart w:id="17" w:name="_Toc169624171"/>
    </w:p>
    <w:p w:rsidR="001831CF" w:rsidRPr="00DF16FE" w:rsidRDefault="001831CF" w:rsidP="001831CF">
      <w:pPr>
        <w:jc w:val="center"/>
        <w:rPr>
          <w:b/>
          <w:sz w:val="28"/>
        </w:rPr>
      </w:pPr>
      <w:r w:rsidRPr="00DF16FE">
        <w:rPr>
          <w:b/>
          <w:sz w:val="28"/>
        </w:rPr>
        <w:t xml:space="preserve">Assignment </w:t>
      </w:r>
      <w:bookmarkEnd w:id="10"/>
      <w:bookmarkEnd w:id="11"/>
      <w:bookmarkEnd w:id="12"/>
      <w:bookmarkEnd w:id="13"/>
      <w:bookmarkEnd w:id="14"/>
      <w:bookmarkEnd w:id="15"/>
      <w:r w:rsidRPr="00DF16FE">
        <w:rPr>
          <w:b/>
          <w:sz w:val="28"/>
        </w:rPr>
        <w:t>on</w:t>
      </w:r>
      <w:bookmarkEnd w:id="16"/>
      <w:bookmarkEnd w:id="17"/>
    </w:p>
    <w:p w:rsidR="001831CF" w:rsidRDefault="001831CF" w:rsidP="001831CF">
      <w:pPr>
        <w:jc w:val="center"/>
        <w:rPr>
          <w:b/>
          <w:sz w:val="28"/>
        </w:rPr>
      </w:pPr>
      <w:r w:rsidRPr="001831CF">
        <w:rPr>
          <w:b/>
          <w:sz w:val="28"/>
        </w:rPr>
        <w:t>IPO</w:t>
      </w:r>
      <w:r>
        <w:rPr>
          <w:b/>
          <w:sz w:val="28"/>
        </w:rPr>
        <w:t xml:space="preserve"> PROCESS</w:t>
      </w:r>
      <w:r w:rsidRPr="001831CF">
        <w:rPr>
          <w:b/>
          <w:sz w:val="28"/>
        </w:rPr>
        <w:t xml:space="preserve"> AND SECURITIES TRADING</w:t>
      </w:r>
    </w:p>
    <w:p w:rsidR="001831CF" w:rsidRDefault="001831CF" w:rsidP="001831CF">
      <w:pPr>
        <w:jc w:val="center"/>
        <w:rPr>
          <w:b/>
          <w:sz w:val="28"/>
        </w:rPr>
      </w:pPr>
    </w:p>
    <w:p w:rsidR="001831CF" w:rsidRPr="00DF16FE" w:rsidRDefault="001831CF" w:rsidP="001831CF">
      <w:pPr>
        <w:jc w:val="center"/>
        <w:rPr>
          <w:b/>
          <w:sz w:val="28"/>
        </w:rPr>
      </w:pPr>
    </w:p>
    <w:p w:rsidR="001831CF" w:rsidRPr="00DF16FE" w:rsidRDefault="001831CF" w:rsidP="001831CF">
      <w:pPr>
        <w:jc w:val="center"/>
        <w:rPr>
          <w:b/>
          <w:sz w:val="28"/>
        </w:rPr>
      </w:pPr>
      <w:bookmarkStart w:id="18" w:name="_Toc168493929"/>
      <w:bookmarkStart w:id="19" w:name="_Toc168494040"/>
      <w:bookmarkStart w:id="20" w:name="_Toc168681398"/>
      <w:bookmarkStart w:id="21" w:name="_Toc169018613"/>
      <w:bookmarkStart w:id="22" w:name="_Toc169099751"/>
      <w:bookmarkStart w:id="23" w:name="_Toc169194470"/>
      <w:bookmarkStart w:id="24" w:name="_Toc169526158"/>
      <w:bookmarkStart w:id="25" w:name="_Toc169624173"/>
      <w:r w:rsidRPr="00DF16FE">
        <w:rPr>
          <w:b/>
          <w:sz w:val="28"/>
        </w:rPr>
        <w:t>Under Supervision of: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1831CF" w:rsidRPr="00DF16FE" w:rsidRDefault="001831CF" w:rsidP="001831CF">
      <w:pPr>
        <w:jc w:val="center"/>
        <w:rPr>
          <w:b/>
          <w:sz w:val="28"/>
        </w:rPr>
      </w:pPr>
      <w:bookmarkStart w:id="26" w:name="_Toc168493930"/>
      <w:bookmarkStart w:id="27" w:name="_Toc168494041"/>
      <w:bookmarkStart w:id="28" w:name="_Toc168681399"/>
      <w:bookmarkStart w:id="29" w:name="_Toc169018614"/>
      <w:bookmarkStart w:id="30" w:name="_Toc169099752"/>
      <w:bookmarkStart w:id="31" w:name="_Toc169194471"/>
      <w:bookmarkStart w:id="32" w:name="_Toc169526159"/>
      <w:bookmarkStart w:id="33" w:name="_Toc169624174"/>
      <w:r w:rsidRPr="00DF16FE">
        <w:rPr>
          <w:b/>
          <w:sz w:val="28"/>
        </w:rPr>
        <w:t xml:space="preserve">Mr. Mohammad </w:t>
      </w:r>
      <w:proofErr w:type="spellStart"/>
      <w:r w:rsidRPr="00DF16FE">
        <w:rPr>
          <w:b/>
          <w:sz w:val="28"/>
        </w:rPr>
        <w:t>Mozammil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proofErr w:type="spellEnd"/>
    </w:p>
    <w:p w:rsidR="001831CF" w:rsidRDefault="001831CF" w:rsidP="001831CF">
      <w:pPr>
        <w:jc w:val="center"/>
        <w:rPr>
          <w:b/>
          <w:sz w:val="28"/>
        </w:rPr>
      </w:pPr>
      <w:bookmarkStart w:id="34" w:name="_Toc168493931"/>
      <w:bookmarkStart w:id="35" w:name="_Toc168494042"/>
      <w:bookmarkStart w:id="36" w:name="_Toc168681400"/>
      <w:bookmarkStart w:id="37" w:name="_Toc169018615"/>
      <w:bookmarkStart w:id="38" w:name="_Toc169099753"/>
      <w:bookmarkStart w:id="39" w:name="_Toc169194472"/>
      <w:bookmarkStart w:id="40" w:name="_Toc169526160"/>
      <w:bookmarkStart w:id="41" w:name="_Toc169624175"/>
    </w:p>
    <w:p w:rsidR="001831CF" w:rsidRPr="00DF16FE" w:rsidRDefault="001831CF" w:rsidP="001831CF">
      <w:pPr>
        <w:jc w:val="center"/>
        <w:rPr>
          <w:b/>
          <w:sz w:val="28"/>
        </w:rPr>
      </w:pPr>
    </w:p>
    <w:p w:rsidR="001831CF" w:rsidRPr="00DF16FE" w:rsidRDefault="001831CF" w:rsidP="001831CF">
      <w:pPr>
        <w:jc w:val="center"/>
        <w:rPr>
          <w:b/>
          <w:sz w:val="28"/>
        </w:rPr>
      </w:pPr>
      <w:r>
        <w:rPr>
          <w:b/>
          <w:sz w:val="28"/>
        </w:rPr>
        <w:t xml:space="preserve">Given </w:t>
      </w:r>
      <w:r w:rsidRPr="00DF16FE">
        <w:rPr>
          <w:b/>
          <w:sz w:val="28"/>
        </w:rPr>
        <w:t>On:</w:t>
      </w:r>
    </w:p>
    <w:p w:rsidR="001831CF" w:rsidRPr="00DF16FE" w:rsidRDefault="00AD057A" w:rsidP="001831CF">
      <w:pPr>
        <w:jc w:val="center"/>
        <w:rPr>
          <w:b/>
          <w:sz w:val="28"/>
        </w:rPr>
      </w:pPr>
      <w:r>
        <w:rPr>
          <w:b/>
          <w:sz w:val="28"/>
        </w:rPr>
        <w:t>1</w:t>
      </w:r>
      <w:r w:rsidR="001831CF">
        <w:rPr>
          <w:b/>
          <w:sz w:val="28"/>
        </w:rPr>
        <w:t>1</w:t>
      </w:r>
      <w:r w:rsidR="001831CF" w:rsidRPr="00DF16FE">
        <w:rPr>
          <w:b/>
          <w:sz w:val="28"/>
          <w:vertAlign w:val="superscript"/>
        </w:rPr>
        <w:t xml:space="preserve">th </w:t>
      </w:r>
      <w:r w:rsidR="001831CF" w:rsidRPr="00DF16FE">
        <w:rPr>
          <w:b/>
          <w:sz w:val="28"/>
        </w:rPr>
        <w:t>Ju</w:t>
      </w:r>
      <w:r w:rsidR="001831CF">
        <w:rPr>
          <w:b/>
          <w:sz w:val="28"/>
        </w:rPr>
        <w:t>ly</w:t>
      </w:r>
      <w:r w:rsidR="001831CF" w:rsidRPr="00DF16FE">
        <w:rPr>
          <w:b/>
          <w:sz w:val="28"/>
        </w:rPr>
        <w:t>, 2024</w:t>
      </w:r>
    </w:p>
    <w:p w:rsidR="001831CF" w:rsidRPr="00DF16FE" w:rsidRDefault="001831CF" w:rsidP="001831CF">
      <w:pPr>
        <w:jc w:val="center"/>
        <w:rPr>
          <w:b/>
          <w:sz w:val="28"/>
        </w:rPr>
      </w:pPr>
    </w:p>
    <w:p w:rsidR="001831CF" w:rsidRPr="00DF16FE" w:rsidRDefault="001831CF" w:rsidP="001831CF">
      <w:pPr>
        <w:jc w:val="center"/>
        <w:rPr>
          <w:b/>
          <w:sz w:val="28"/>
        </w:rPr>
      </w:pPr>
    </w:p>
    <w:p w:rsidR="001831CF" w:rsidRPr="00DF16FE" w:rsidRDefault="001831CF" w:rsidP="001831CF">
      <w:pPr>
        <w:jc w:val="center"/>
        <w:rPr>
          <w:b/>
          <w:sz w:val="28"/>
        </w:rPr>
      </w:pPr>
      <w:r w:rsidRPr="00DF16FE">
        <w:rPr>
          <w:b/>
          <w:sz w:val="28"/>
        </w:rPr>
        <w:t>Submitted By: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1831CF" w:rsidRDefault="001831CF" w:rsidP="001831CF">
      <w:pPr>
        <w:jc w:val="center"/>
      </w:pPr>
      <w:bookmarkStart w:id="42" w:name="_Toc168493932"/>
      <w:bookmarkStart w:id="43" w:name="_Toc168494043"/>
      <w:bookmarkStart w:id="44" w:name="_Toc168681401"/>
      <w:bookmarkStart w:id="45" w:name="_Toc169018616"/>
      <w:bookmarkStart w:id="46" w:name="_Toc169099754"/>
      <w:bookmarkStart w:id="47" w:name="_Toc169194473"/>
      <w:bookmarkStart w:id="48" w:name="_Toc169526161"/>
      <w:bookmarkStart w:id="49" w:name="_Toc169624176"/>
      <w:proofErr w:type="spellStart"/>
      <w:r w:rsidRPr="00DF16FE">
        <w:rPr>
          <w:b/>
          <w:sz w:val="28"/>
        </w:rPr>
        <w:t>Archita</w:t>
      </w:r>
      <w:proofErr w:type="spellEnd"/>
      <w:r w:rsidRPr="00DF16FE">
        <w:rPr>
          <w:b/>
          <w:sz w:val="28"/>
        </w:rPr>
        <w:t xml:space="preserve"> Gupta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A306E" w:rsidRDefault="007A306E"/>
    <w:p w:rsidR="001831CF" w:rsidRDefault="001831CF" w:rsidP="007A306E">
      <w:pPr>
        <w:rPr>
          <w:b/>
          <w:bCs/>
        </w:rPr>
      </w:pPr>
    </w:p>
    <w:p w:rsidR="007A306E" w:rsidRDefault="007A306E" w:rsidP="001831CF">
      <w:pPr>
        <w:pStyle w:val="Heading1"/>
        <w:jc w:val="center"/>
      </w:pPr>
      <w:r w:rsidRPr="007A306E">
        <w:lastRenderedPageBreak/>
        <w:t>Initial Public Offering (IPO)</w:t>
      </w:r>
      <w:r w:rsidR="00BE2FD6">
        <w:t xml:space="preserve"> </w:t>
      </w:r>
      <w:proofErr w:type="spellStart"/>
      <w:r w:rsidR="00BE2FD6">
        <w:t>Processs</w:t>
      </w:r>
      <w:proofErr w:type="spellEnd"/>
    </w:p>
    <w:p w:rsidR="001831CF" w:rsidRPr="001831CF" w:rsidRDefault="001831CF" w:rsidP="001831CF"/>
    <w:p w:rsidR="007A306E" w:rsidRPr="007A306E" w:rsidRDefault="007A306E" w:rsidP="007A306E">
      <w:r w:rsidRPr="007A306E">
        <w:t>An Initial Public Offering (IPO) is the process by which a private company offers its shares to the public for the first time, transitioning from a private to a publicly traded company. This move allows the company to raise capital from public investors, increase its visibility, and provide liquidity for its shareholders.</w:t>
      </w:r>
    </w:p>
    <w:p w:rsidR="00BE2FD6" w:rsidRPr="007A306E" w:rsidRDefault="00BE2FD6" w:rsidP="00BE2FD6">
      <w:pPr>
        <w:rPr>
          <w:b/>
          <w:bCs/>
        </w:rPr>
      </w:pPr>
      <w:r w:rsidRPr="007A306E">
        <w:rPr>
          <w:b/>
          <w:bCs/>
        </w:rPr>
        <w:t>Steps in the IPO Process</w:t>
      </w:r>
      <w:r>
        <w:rPr>
          <w:b/>
          <w:bCs/>
        </w:rPr>
        <w:t>:</w:t>
      </w:r>
    </w:p>
    <w:p w:rsidR="00BE2FD6" w:rsidRPr="007A306E" w:rsidRDefault="00BE2FD6" w:rsidP="00BE2FD6">
      <w:pPr>
        <w:numPr>
          <w:ilvl w:val="0"/>
          <w:numId w:val="1"/>
        </w:numPr>
      </w:pPr>
      <w:r w:rsidRPr="007A306E">
        <w:rPr>
          <w:b/>
          <w:bCs/>
        </w:rPr>
        <w:t>Pre-IPO Planning and Preparation: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Internal Assessment:</w:t>
      </w:r>
      <w:r w:rsidRPr="007A306E">
        <w:t xml:space="preserve"> The </w:t>
      </w:r>
      <w:proofErr w:type="gramStart"/>
      <w:r w:rsidRPr="007A306E">
        <w:t>company</w:t>
      </w:r>
      <w:proofErr w:type="gramEnd"/>
      <w:r w:rsidRPr="007A306E">
        <w:t xml:space="preserve"> evaluates its readiness for an IPO, including financial health, market position, and corporate governance.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Hiring Advisors:</w:t>
      </w:r>
      <w:r w:rsidRPr="007A306E">
        <w:t xml:space="preserve"> Engaging investment banks (underwriters), legal advisors, and accounting firms to guide the IPO process.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Corporate Structuring:</w:t>
      </w:r>
      <w:r w:rsidRPr="007A306E">
        <w:t xml:space="preserve"> Ensuring that the company’s structure, including its board of directors and internal controls, meets regulatory and market expectations.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Financial Audits:</w:t>
      </w:r>
      <w:r w:rsidRPr="007A306E">
        <w:t xml:space="preserve"> Conducting thorough audits of financial statements to ensure accuracy and compliance with regulatory standards.</w:t>
      </w:r>
    </w:p>
    <w:p w:rsidR="00BE2FD6" w:rsidRPr="007A306E" w:rsidRDefault="00BE2FD6" w:rsidP="00BE2FD6">
      <w:pPr>
        <w:numPr>
          <w:ilvl w:val="0"/>
          <w:numId w:val="1"/>
        </w:numPr>
      </w:pPr>
      <w:r w:rsidRPr="007A306E">
        <w:rPr>
          <w:b/>
          <w:bCs/>
        </w:rPr>
        <w:t>Selecting Underwriters: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Request for Proposals (RFPs):</w:t>
      </w:r>
      <w:r w:rsidRPr="007A306E">
        <w:t xml:space="preserve"> The </w:t>
      </w:r>
      <w:proofErr w:type="gramStart"/>
      <w:r w:rsidRPr="007A306E">
        <w:t>company</w:t>
      </w:r>
      <w:proofErr w:type="gramEnd"/>
      <w:r w:rsidRPr="007A306E">
        <w:t xml:space="preserve"> issues RFPs to various investment banks to evaluate their capabilities and terms.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Pitch Meetings:</w:t>
      </w:r>
      <w:r w:rsidRPr="007A306E">
        <w:t xml:space="preserve"> Investment banks present their IPO strategies and expertise to the company’s management.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Underwriter Selection:</w:t>
      </w:r>
      <w:r w:rsidRPr="007A306E">
        <w:t xml:space="preserve"> The </w:t>
      </w:r>
      <w:proofErr w:type="gramStart"/>
      <w:r w:rsidRPr="007A306E">
        <w:t>company</w:t>
      </w:r>
      <w:proofErr w:type="gramEnd"/>
      <w:r w:rsidRPr="007A306E">
        <w:t xml:space="preserve"> selects lead underwriters and potentially co-managers to form an underwriting syndicate.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Underwriting Agreement:</w:t>
      </w:r>
      <w:r w:rsidRPr="007A306E">
        <w:t xml:space="preserve"> The </w:t>
      </w:r>
      <w:proofErr w:type="gramStart"/>
      <w:r w:rsidRPr="007A306E">
        <w:t>company</w:t>
      </w:r>
      <w:proofErr w:type="gramEnd"/>
      <w:r w:rsidRPr="007A306E">
        <w:t xml:space="preserve"> and the underwriters sign an agreement detailing the terms of the IPO, including the fees and responsibilities.</w:t>
      </w:r>
    </w:p>
    <w:p w:rsidR="00BE2FD6" w:rsidRPr="007A306E" w:rsidRDefault="00BE2FD6" w:rsidP="00BE2FD6">
      <w:pPr>
        <w:numPr>
          <w:ilvl w:val="0"/>
          <w:numId w:val="1"/>
        </w:numPr>
      </w:pPr>
      <w:r w:rsidRPr="007A306E">
        <w:rPr>
          <w:b/>
          <w:bCs/>
        </w:rPr>
        <w:t>Due Diligence and Documentation: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Due Diligence:</w:t>
      </w:r>
      <w:r w:rsidRPr="007A306E">
        <w:t xml:space="preserve"> The underwriters and legal advisors conduct comprehensive due diligence on the company’s financials, operations, legal matters, and market position to assess risks and opportunities.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Drafting the Prospectus:</w:t>
      </w:r>
      <w:r w:rsidRPr="007A306E">
        <w:t xml:space="preserve"> The company, with input from its advisors, prepares the prospectus (Form S-1 in the U.S.), which provides detailed information about the company, its business model, financials, and risks.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lastRenderedPageBreak/>
        <w:t>SEC Filing:</w:t>
      </w:r>
      <w:r w:rsidRPr="007A306E">
        <w:t xml:space="preserve"> The prospectus is filed with the Securities and Exchange Commission (SEC) for review.</w:t>
      </w:r>
    </w:p>
    <w:p w:rsidR="00BE2FD6" w:rsidRPr="007A306E" w:rsidRDefault="00BE2FD6" w:rsidP="00BE2FD6">
      <w:pPr>
        <w:numPr>
          <w:ilvl w:val="0"/>
          <w:numId w:val="1"/>
        </w:numPr>
      </w:pPr>
      <w:r w:rsidRPr="007A306E">
        <w:rPr>
          <w:b/>
          <w:bCs/>
        </w:rPr>
        <w:t>Regulatory Review: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SEC Review:</w:t>
      </w:r>
      <w:r w:rsidRPr="007A306E">
        <w:t xml:space="preserve"> The SEC reviews the prospectus and may provide comments or request additional information. This process can involve several rounds of revisions and amendments.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Regulatory Compliance:</w:t>
      </w:r>
      <w:r w:rsidRPr="007A306E">
        <w:t xml:space="preserve"> Ensuring that the company complies with all relevant securities laws and regulations, including those related to disclosure, accounting, and corporate governance.</w:t>
      </w:r>
    </w:p>
    <w:p w:rsidR="00BE2FD6" w:rsidRPr="007A306E" w:rsidRDefault="00BE2FD6" w:rsidP="00BE2FD6">
      <w:pPr>
        <w:numPr>
          <w:ilvl w:val="0"/>
          <w:numId w:val="1"/>
        </w:numPr>
      </w:pPr>
      <w:r w:rsidRPr="007A306E">
        <w:rPr>
          <w:b/>
          <w:bCs/>
        </w:rPr>
        <w:t>Marketing the IPO: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Roadshow:</w:t>
      </w:r>
      <w:r w:rsidRPr="007A306E">
        <w:t xml:space="preserve"> The </w:t>
      </w:r>
      <w:proofErr w:type="gramStart"/>
      <w:r w:rsidRPr="007A306E">
        <w:t>company’s</w:t>
      </w:r>
      <w:proofErr w:type="gramEnd"/>
      <w:r w:rsidRPr="007A306E">
        <w:t xml:space="preserve"> management team, along with the underwriters, conducts a roadshow to present the investment opportunity to potential investors, including institutional investors and mutual funds. These presentations aim to generate interest and gauge demand for the IPO.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Book Building:</w:t>
      </w:r>
      <w:r w:rsidRPr="007A306E">
        <w:t xml:space="preserve"> Collecting orders from institutional investors during the roadshow to determine the demand and guide the pricing of the shares.</w:t>
      </w:r>
    </w:p>
    <w:p w:rsidR="00BE2FD6" w:rsidRPr="007A306E" w:rsidRDefault="00BE2FD6" w:rsidP="00BE2FD6">
      <w:pPr>
        <w:numPr>
          <w:ilvl w:val="0"/>
          <w:numId w:val="1"/>
        </w:numPr>
      </w:pPr>
      <w:r w:rsidRPr="007A306E">
        <w:rPr>
          <w:b/>
          <w:bCs/>
        </w:rPr>
        <w:t>Pricing and Allocation: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Setting the IPO Price:</w:t>
      </w:r>
      <w:r w:rsidRPr="007A306E">
        <w:t xml:space="preserve"> Based on the demand observed during the book-building process, the company and the underwriters set the final offer price for the shares.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Allocating Shares:</w:t>
      </w:r>
      <w:r w:rsidRPr="007A306E">
        <w:t xml:space="preserve"> The shares are allocated to institutional and retail investors according to the demand and the underwriting agreement.</w:t>
      </w:r>
    </w:p>
    <w:p w:rsidR="00BE2FD6" w:rsidRPr="007A306E" w:rsidRDefault="00BE2FD6" w:rsidP="00BE2FD6">
      <w:pPr>
        <w:numPr>
          <w:ilvl w:val="0"/>
          <w:numId w:val="1"/>
        </w:numPr>
      </w:pPr>
      <w:r w:rsidRPr="007A306E">
        <w:rPr>
          <w:b/>
          <w:bCs/>
        </w:rPr>
        <w:t>Going Public: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Listing on the Exchange:</w:t>
      </w:r>
      <w:r w:rsidRPr="007A306E">
        <w:t xml:space="preserve"> The </w:t>
      </w:r>
      <w:proofErr w:type="gramStart"/>
      <w:r w:rsidRPr="007A306E">
        <w:t>company’s</w:t>
      </w:r>
      <w:proofErr w:type="gramEnd"/>
      <w:r w:rsidRPr="007A306E">
        <w:t xml:space="preserve"> shares are listed on a stock exchange, such as the New York Stock Exchange (NYSE) or NASDAQ. Trading typically begins the next business day after the IPO pricing.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First Day of Trading:</w:t>
      </w:r>
      <w:r w:rsidRPr="007A306E">
        <w:t xml:space="preserve"> The stock starts trading on the public market, and its performance is closely monitored by the company and investors.</w:t>
      </w:r>
    </w:p>
    <w:p w:rsidR="00BE2FD6" w:rsidRPr="007A306E" w:rsidRDefault="00BE2FD6" w:rsidP="00BE2FD6">
      <w:pPr>
        <w:numPr>
          <w:ilvl w:val="0"/>
          <w:numId w:val="1"/>
        </w:numPr>
      </w:pPr>
      <w:r w:rsidRPr="007A306E">
        <w:rPr>
          <w:b/>
          <w:bCs/>
        </w:rPr>
        <w:t>Post-IPO Phase: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Market Stabilization:</w:t>
      </w:r>
      <w:r w:rsidRPr="007A306E">
        <w:t xml:space="preserve"> The underwriters may provide support to stabilize the stock price in the initial trading period, if necessary.</w:t>
      </w:r>
    </w:p>
    <w:p w:rsidR="00BE2FD6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t>Regulatory Compliance:</w:t>
      </w:r>
      <w:r w:rsidRPr="007A306E">
        <w:t xml:space="preserve"> The </w:t>
      </w:r>
      <w:proofErr w:type="gramStart"/>
      <w:r w:rsidRPr="007A306E">
        <w:t>company</w:t>
      </w:r>
      <w:proofErr w:type="gramEnd"/>
      <w:r w:rsidRPr="007A306E">
        <w:t xml:space="preserve"> must continue to comply with ongoing disclosure and reporting requirements, including quarterly and annual financial reports.</w:t>
      </w:r>
    </w:p>
    <w:p w:rsidR="007A306E" w:rsidRPr="007A306E" w:rsidRDefault="00BE2FD6" w:rsidP="00BE2FD6">
      <w:pPr>
        <w:numPr>
          <w:ilvl w:val="1"/>
          <w:numId w:val="1"/>
        </w:numPr>
      </w:pPr>
      <w:r w:rsidRPr="007A306E">
        <w:rPr>
          <w:b/>
          <w:bCs/>
        </w:rPr>
        <w:lastRenderedPageBreak/>
        <w:t>Investor Relations:</w:t>
      </w:r>
      <w:r w:rsidRPr="007A306E">
        <w:t xml:space="preserve"> Maintaining communication with investors, analysts, and the public to build confidence and manage expectations.</w:t>
      </w:r>
    </w:p>
    <w:p w:rsidR="007A306E" w:rsidRPr="007A306E" w:rsidRDefault="007A306E" w:rsidP="007A306E">
      <w:pPr>
        <w:rPr>
          <w:b/>
          <w:bCs/>
        </w:rPr>
      </w:pPr>
      <w:r w:rsidRPr="007A306E">
        <w:rPr>
          <w:b/>
          <w:bCs/>
        </w:rPr>
        <w:t>Benefits of an IPO</w:t>
      </w:r>
      <w:r w:rsidR="00BE2FD6">
        <w:rPr>
          <w:b/>
          <w:bCs/>
        </w:rPr>
        <w:t>:</w:t>
      </w:r>
    </w:p>
    <w:p w:rsidR="007A306E" w:rsidRPr="007A306E" w:rsidRDefault="007A306E" w:rsidP="007A306E">
      <w:pPr>
        <w:numPr>
          <w:ilvl w:val="0"/>
          <w:numId w:val="2"/>
        </w:numPr>
      </w:pPr>
      <w:r w:rsidRPr="007A306E">
        <w:rPr>
          <w:b/>
          <w:bCs/>
        </w:rPr>
        <w:t>Capital Raising:</w:t>
      </w:r>
      <w:r w:rsidRPr="007A306E">
        <w:t xml:space="preserve"> Access to a large pool of public capital to fund growth, research and development, and other strategic initiatives.</w:t>
      </w:r>
    </w:p>
    <w:p w:rsidR="007A306E" w:rsidRPr="007A306E" w:rsidRDefault="007A306E" w:rsidP="007A306E">
      <w:pPr>
        <w:numPr>
          <w:ilvl w:val="0"/>
          <w:numId w:val="2"/>
        </w:numPr>
      </w:pPr>
      <w:r w:rsidRPr="007A306E">
        <w:rPr>
          <w:b/>
          <w:bCs/>
        </w:rPr>
        <w:t>Liquidity:</w:t>
      </w:r>
      <w:r w:rsidRPr="007A306E">
        <w:t xml:space="preserve"> Provides liquidity for existing shareholders, including founders, employees, and early investors.</w:t>
      </w:r>
    </w:p>
    <w:p w:rsidR="007A306E" w:rsidRPr="007A306E" w:rsidRDefault="007A306E" w:rsidP="007A306E">
      <w:pPr>
        <w:numPr>
          <w:ilvl w:val="0"/>
          <w:numId w:val="2"/>
        </w:numPr>
      </w:pPr>
      <w:r w:rsidRPr="007A306E">
        <w:rPr>
          <w:b/>
          <w:bCs/>
        </w:rPr>
        <w:t>Visibility and Credibility:</w:t>
      </w:r>
      <w:r w:rsidRPr="007A306E">
        <w:t xml:space="preserve"> Increases the company's visibility, credibility, and market presence.</w:t>
      </w:r>
    </w:p>
    <w:p w:rsidR="007A306E" w:rsidRPr="007A306E" w:rsidRDefault="007A306E" w:rsidP="007A306E">
      <w:pPr>
        <w:numPr>
          <w:ilvl w:val="0"/>
          <w:numId w:val="2"/>
        </w:numPr>
      </w:pPr>
      <w:r w:rsidRPr="007A306E">
        <w:rPr>
          <w:b/>
          <w:bCs/>
        </w:rPr>
        <w:t>Currency for Acquisitions:</w:t>
      </w:r>
      <w:r w:rsidRPr="007A306E">
        <w:t xml:space="preserve"> Publicly traded shares can be used as currency for acquisitions and mergers.</w:t>
      </w:r>
    </w:p>
    <w:p w:rsidR="007A306E" w:rsidRPr="007A306E" w:rsidRDefault="007A306E" w:rsidP="007A306E">
      <w:pPr>
        <w:rPr>
          <w:b/>
          <w:bCs/>
        </w:rPr>
      </w:pPr>
      <w:r w:rsidRPr="007A306E">
        <w:rPr>
          <w:b/>
          <w:bCs/>
        </w:rPr>
        <w:t>Risks of an IPO</w:t>
      </w:r>
      <w:r w:rsidR="00BE2FD6">
        <w:rPr>
          <w:b/>
          <w:bCs/>
        </w:rPr>
        <w:t>:</w:t>
      </w:r>
    </w:p>
    <w:p w:rsidR="007A306E" w:rsidRPr="007A306E" w:rsidRDefault="007A306E" w:rsidP="007A306E">
      <w:pPr>
        <w:numPr>
          <w:ilvl w:val="0"/>
          <w:numId w:val="3"/>
        </w:numPr>
      </w:pPr>
      <w:r w:rsidRPr="007A306E">
        <w:rPr>
          <w:b/>
          <w:bCs/>
        </w:rPr>
        <w:t>Cost and Complexity:</w:t>
      </w:r>
      <w:r w:rsidRPr="007A306E">
        <w:t xml:space="preserve"> The IPO process is costly and complex, involving significant legal, accounting, and underwriting fees.</w:t>
      </w:r>
    </w:p>
    <w:p w:rsidR="007A306E" w:rsidRPr="007A306E" w:rsidRDefault="007A306E" w:rsidP="007A306E">
      <w:pPr>
        <w:numPr>
          <w:ilvl w:val="0"/>
          <w:numId w:val="3"/>
        </w:numPr>
      </w:pPr>
      <w:r w:rsidRPr="007A306E">
        <w:rPr>
          <w:b/>
          <w:bCs/>
        </w:rPr>
        <w:t>Regulatory Scrutiny:</w:t>
      </w:r>
      <w:r w:rsidRPr="007A306E">
        <w:t xml:space="preserve"> Increased regulatory scrutiny and compliance requirements as a publicly traded company.</w:t>
      </w:r>
    </w:p>
    <w:p w:rsidR="007A306E" w:rsidRPr="007A306E" w:rsidRDefault="007A306E" w:rsidP="007A306E">
      <w:pPr>
        <w:numPr>
          <w:ilvl w:val="0"/>
          <w:numId w:val="3"/>
        </w:numPr>
      </w:pPr>
      <w:r w:rsidRPr="007A306E">
        <w:rPr>
          <w:b/>
          <w:bCs/>
        </w:rPr>
        <w:t>Market Pressure:</w:t>
      </w:r>
      <w:r w:rsidRPr="007A306E">
        <w:t xml:space="preserve"> Pressure to meet quarterly earnings expectations and market performance, which can impact long-term strategic decisions.</w:t>
      </w:r>
    </w:p>
    <w:p w:rsidR="007A306E" w:rsidRPr="007A306E" w:rsidRDefault="007A306E" w:rsidP="007A306E">
      <w:pPr>
        <w:numPr>
          <w:ilvl w:val="0"/>
          <w:numId w:val="3"/>
        </w:numPr>
      </w:pPr>
      <w:r w:rsidRPr="007A306E">
        <w:rPr>
          <w:b/>
          <w:bCs/>
        </w:rPr>
        <w:t>Disclosure:</w:t>
      </w:r>
      <w:r w:rsidRPr="007A306E">
        <w:t xml:space="preserve"> Requirement to disclose sensitive business information to the public, including financial performance and strategic plans.</w:t>
      </w:r>
    </w:p>
    <w:p w:rsidR="00BE2FD6" w:rsidRDefault="00BE2FD6" w:rsidP="007A306E">
      <w:pPr>
        <w:rPr>
          <w:b/>
          <w:bCs/>
        </w:rPr>
      </w:pPr>
    </w:p>
    <w:p w:rsidR="00BE2FD6" w:rsidRDefault="00BE2FD6" w:rsidP="007A306E">
      <w:pPr>
        <w:rPr>
          <w:b/>
          <w:bCs/>
        </w:rPr>
      </w:pPr>
    </w:p>
    <w:p w:rsidR="00BE2FD6" w:rsidRDefault="00BE2FD6" w:rsidP="007A306E">
      <w:pPr>
        <w:rPr>
          <w:b/>
          <w:bCs/>
        </w:rPr>
      </w:pPr>
    </w:p>
    <w:p w:rsidR="00BE2FD6" w:rsidRDefault="00BE2FD6" w:rsidP="007A306E">
      <w:pPr>
        <w:rPr>
          <w:b/>
          <w:bCs/>
        </w:rPr>
      </w:pPr>
    </w:p>
    <w:p w:rsidR="00BE2FD6" w:rsidRDefault="00BE2FD6" w:rsidP="007A306E">
      <w:pPr>
        <w:rPr>
          <w:b/>
          <w:bCs/>
        </w:rPr>
      </w:pPr>
    </w:p>
    <w:p w:rsidR="00BE2FD6" w:rsidRDefault="00BE2FD6" w:rsidP="007A306E">
      <w:pPr>
        <w:rPr>
          <w:b/>
          <w:bCs/>
        </w:rPr>
      </w:pPr>
    </w:p>
    <w:p w:rsidR="00BE2FD6" w:rsidRDefault="00BE2FD6" w:rsidP="007A306E">
      <w:pPr>
        <w:rPr>
          <w:b/>
          <w:bCs/>
        </w:rPr>
      </w:pPr>
    </w:p>
    <w:p w:rsidR="00BE2FD6" w:rsidRDefault="00BE2FD6" w:rsidP="007A306E">
      <w:pPr>
        <w:rPr>
          <w:b/>
          <w:bCs/>
        </w:rPr>
      </w:pPr>
    </w:p>
    <w:p w:rsidR="00BE2FD6" w:rsidRDefault="00BE2FD6" w:rsidP="007A306E">
      <w:pPr>
        <w:rPr>
          <w:b/>
          <w:bCs/>
        </w:rPr>
      </w:pPr>
    </w:p>
    <w:p w:rsidR="00BE2FD6" w:rsidRDefault="00BE2FD6" w:rsidP="007A306E">
      <w:pPr>
        <w:rPr>
          <w:b/>
          <w:bCs/>
        </w:rPr>
      </w:pPr>
    </w:p>
    <w:p w:rsidR="007A306E" w:rsidRPr="007A306E" w:rsidRDefault="009F4C10" w:rsidP="007A306E">
      <w:pPr>
        <w:rPr>
          <w:b/>
          <w:bCs/>
        </w:rPr>
      </w:pPr>
      <w:r>
        <w:rPr>
          <w:b/>
          <w:bCs/>
        </w:rPr>
        <w:lastRenderedPageBreak/>
        <w:t>Key Statistics:</w:t>
      </w:r>
    </w:p>
    <w:p w:rsidR="007A306E" w:rsidRPr="009F4C10" w:rsidRDefault="007A306E" w:rsidP="007A306E">
      <w:pPr>
        <w:numPr>
          <w:ilvl w:val="0"/>
          <w:numId w:val="4"/>
        </w:numPr>
      </w:pPr>
      <w:r w:rsidRPr="007A306E">
        <w:rPr>
          <w:b/>
          <w:bCs/>
        </w:rPr>
        <w:t>Global IPO Market:</w:t>
      </w:r>
    </w:p>
    <w:p w:rsidR="009F4C10" w:rsidRPr="007A306E" w:rsidRDefault="009F4C10" w:rsidP="009F4C10">
      <w:r>
        <w:rPr>
          <w:noProof/>
        </w:rPr>
        <w:drawing>
          <wp:inline distT="0" distB="0" distL="0" distR="0">
            <wp:extent cx="5772839" cy="3051672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F4C10" w:rsidRDefault="009F4C10" w:rsidP="00D45C5D">
      <w:pPr>
        <w:pStyle w:val="ListParagraph"/>
        <w:numPr>
          <w:ilvl w:val="1"/>
          <w:numId w:val="4"/>
        </w:numPr>
      </w:pPr>
      <w:r w:rsidRPr="009F4C10">
        <w:t>In the first half (H1) of 2024,</w:t>
      </w:r>
      <w:r w:rsidR="00D45C5D">
        <w:t xml:space="preserve"> </w:t>
      </w:r>
      <w:r w:rsidR="00D45C5D" w:rsidRPr="00D45C5D">
        <w:t>t</w:t>
      </w:r>
      <w:r w:rsidR="00D45C5D">
        <w:t xml:space="preserve">here were 551 listings raising </w:t>
      </w:r>
      <w:r w:rsidR="00D45C5D" w:rsidRPr="00D45C5D">
        <w:t>$52.2</w:t>
      </w:r>
      <w:r w:rsidR="00D45C5D">
        <w:t xml:space="preserve"> </w:t>
      </w:r>
      <w:r w:rsidR="00D45C5D" w:rsidRPr="00D45C5D">
        <w:t>b</w:t>
      </w:r>
      <w:r w:rsidR="00D45C5D">
        <w:t>illion</w:t>
      </w:r>
      <w:r w:rsidR="00D45C5D" w:rsidRPr="00D45C5D">
        <w:t xml:space="preserve"> in capital, a 12% decrease in the number of IPOs and a </w:t>
      </w:r>
      <w:r w:rsidR="00D45C5D">
        <w:t>16% drop in proceeds raised YOY</w:t>
      </w:r>
      <w:r w:rsidRPr="009F4C10">
        <w:t>.</w:t>
      </w:r>
      <w:r>
        <w:t xml:space="preserve"> </w:t>
      </w:r>
      <w:r w:rsidRPr="009F4C10">
        <w:t>This result is mainly due to a slowdown in Asia-Pacific IPO activity with the Americas and Europe, the Middle East, India and Africa (EMEIA) seeing robust growth in H1.</w:t>
      </w:r>
    </w:p>
    <w:p w:rsidR="00D45C5D" w:rsidRPr="00D45C5D" w:rsidRDefault="00D45C5D" w:rsidP="00D45C5D">
      <w:pPr>
        <w:pStyle w:val="ListParagraph"/>
        <w:numPr>
          <w:ilvl w:val="1"/>
          <w:numId w:val="4"/>
        </w:numPr>
      </w:pPr>
      <w:r w:rsidRPr="00D45C5D">
        <w:t>EMEIA regained the No. 1 global IPO market share by number for the first time in 16 years.</w:t>
      </w:r>
    </w:p>
    <w:p w:rsidR="00D45C5D" w:rsidRDefault="00D45C5D" w:rsidP="00D45C5D">
      <w:r>
        <w:rPr>
          <w:noProof/>
        </w:rPr>
        <w:drawing>
          <wp:inline distT="0" distB="0" distL="0" distR="0" wp14:anchorId="56F57CDD" wp14:editId="22C40135">
            <wp:extent cx="5894024" cy="2809301"/>
            <wp:effectExtent l="114300" t="114300" r="107315" b="1054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A306E" w:rsidRPr="007A306E" w:rsidRDefault="00BE2FD6" w:rsidP="007A306E">
      <w:pPr>
        <w:numPr>
          <w:ilvl w:val="1"/>
          <w:numId w:val="4"/>
        </w:numPr>
      </w:pPr>
      <w:r>
        <w:lastRenderedPageBreak/>
        <w:t>I</w:t>
      </w:r>
      <w:r>
        <w:t>n H1 2024, EMEIA captured 45% of global deal volume and 46% of deal value, its highest since 2008. America accounted for 34% of deal value.</w:t>
      </w:r>
    </w:p>
    <w:p w:rsidR="007A306E" w:rsidRPr="007A306E" w:rsidRDefault="007A306E" w:rsidP="007A306E">
      <w:pPr>
        <w:numPr>
          <w:ilvl w:val="0"/>
          <w:numId w:val="4"/>
        </w:numPr>
      </w:pPr>
      <w:r w:rsidRPr="007A306E">
        <w:rPr>
          <w:b/>
          <w:bCs/>
        </w:rPr>
        <w:t>Performance:</w:t>
      </w:r>
    </w:p>
    <w:p w:rsidR="007A306E" w:rsidRPr="007A306E" w:rsidRDefault="007A306E" w:rsidP="007A306E">
      <w:pPr>
        <w:numPr>
          <w:ilvl w:val="1"/>
          <w:numId w:val="4"/>
        </w:numPr>
      </w:pPr>
      <w:r w:rsidRPr="007A306E">
        <w:rPr>
          <w:b/>
          <w:bCs/>
        </w:rPr>
        <w:t>Average First-Day Returns:</w:t>
      </w:r>
      <w:r w:rsidRPr="007A306E">
        <w:t xml:space="preserve"> IPOs typically see significant first-day returns, averaging around 15-20% globally.</w:t>
      </w:r>
    </w:p>
    <w:p w:rsidR="007A306E" w:rsidRPr="007A306E" w:rsidRDefault="007A306E" w:rsidP="007A306E">
      <w:pPr>
        <w:numPr>
          <w:ilvl w:val="1"/>
          <w:numId w:val="4"/>
        </w:numPr>
      </w:pPr>
      <w:r w:rsidRPr="007A306E">
        <w:rPr>
          <w:b/>
          <w:bCs/>
        </w:rPr>
        <w:t>Long-Term Performance:</w:t>
      </w:r>
      <w:r w:rsidRPr="007A306E">
        <w:t xml:space="preserve"> The long-term performance of IPOs varies, with some companies achieving substantial growth while others underperforming.</w:t>
      </w:r>
    </w:p>
    <w:p w:rsidR="00BE2FD6" w:rsidRDefault="00BE2FD6"/>
    <w:p w:rsidR="00BE2FD6" w:rsidRDefault="00BE2FD6" w:rsidP="00BE2FD6">
      <w:r>
        <w:br w:type="page"/>
      </w:r>
    </w:p>
    <w:p w:rsidR="00BE2FD6" w:rsidRDefault="00BE2FD6" w:rsidP="00BE2FD6">
      <w:pPr>
        <w:pStyle w:val="Heading1"/>
        <w:jc w:val="center"/>
      </w:pPr>
      <w:r>
        <w:lastRenderedPageBreak/>
        <w:t>Securities Trading</w:t>
      </w:r>
    </w:p>
    <w:p w:rsidR="00BE2FD6" w:rsidRPr="00BE2FD6" w:rsidRDefault="00BE2FD6" w:rsidP="00BE2FD6"/>
    <w:p w:rsidR="007A306E" w:rsidRPr="007A306E" w:rsidRDefault="00BE2FD6" w:rsidP="007A306E">
      <w:r w:rsidRPr="007A306E">
        <w:t>A security trading involves</w:t>
      </w:r>
      <w:r w:rsidR="007A306E" w:rsidRPr="007A306E">
        <w:t xml:space="preserve"> the buying and selling of financial instruments such as stocks, bonds, commodities, and derivatives. This trading can take place on various platforms, including stock exchanges, over-the-counter (OTC) markets, and electronic trading systems.</w:t>
      </w:r>
    </w:p>
    <w:p w:rsidR="007A306E" w:rsidRPr="007A306E" w:rsidRDefault="007A306E" w:rsidP="00BE2FD6">
      <w:r w:rsidRPr="007A306E">
        <w:rPr>
          <w:b/>
          <w:bCs/>
        </w:rPr>
        <w:t>Types of Securities:</w:t>
      </w:r>
    </w:p>
    <w:p w:rsidR="007A306E" w:rsidRPr="007A306E" w:rsidRDefault="007A306E" w:rsidP="00BE2FD6">
      <w:pPr>
        <w:numPr>
          <w:ilvl w:val="0"/>
          <w:numId w:val="7"/>
        </w:numPr>
      </w:pPr>
      <w:r w:rsidRPr="007A306E">
        <w:rPr>
          <w:b/>
          <w:bCs/>
        </w:rPr>
        <w:t>Stocks:</w:t>
      </w:r>
      <w:r w:rsidRPr="007A306E">
        <w:t xml:space="preserve"> Shares of ownership in a company, which can be common or preferred.</w:t>
      </w:r>
    </w:p>
    <w:p w:rsidR="007A306E" w:rsidRPr="007A306E" w:rsidRDefault="007A306E" w:rsidP="00BE2FD6">
      <w:pPr>
        <w:numPr>
          <w:ilvl w:val="0"/>
          <w:numId w:val="7"/>
        </w:numPr>
      </w:pPr>
      <w:r w:rsidRPr="007A306E">
        <w:rPr>
          <w:b/>
          <w:bCs/>
        </w:rPr>
        <w:t>Bonds:</w:t>
      </w:r>
      <w:r w:rsidRPr="007A306E">
        <w:t xml:space="preserve"> Debt securities issued by corporations or governments, promising to pay back the principal along with interest.</w:t>
      </w:r>
    </w:p>
    <w:p w:rsidR="007A306E" w:rsidRPr="007A306E" w:rsidRDefault="007A306E" w:rsidP="00BE2FD6">
      <w:pPr>
        <w:numPr>
          <w:ilvl w:val="0"/>
          <w:numId w:val="7"/>
        </w:numPr>
      </w:pPr>
      <w:r w:rsidRPr="007A306E">
        <w:rPr>
          <w:b/>
          <w:bCs/>
        </w:rPr>
        <w:t>Commodities:</w:t>
      </w:r>
      <w:r w:rsidRPr="007A306E">
        <w:t xml:space="preserve"> Physical assets like gold, oil, or agricultural products traded on commodity exchanges.</w:t>
      </w:r>
    </w:p>
    <w:p w:rsidR="007A306E" w:rsidRPr="007A306E" w:rsidRDefault="007A306E" w:rsidP="00BE2FD6">
      <w:pPr>
        <w:numPr>
          <w:ilvl w:val="0"/>
          <w:numId w:val="7"/>
        </w:numPr>
      </w:pPr>
      <w:r w:rsidRPr="007A306E">
        <w:rPr>
          <w:b/>
          <w:bCs/>
        </w:rPr>
        <w:t>Derivatives:</w:t>
      </w:r>
      <w:r w:rsidRPr="007A306E">
        <w:t xml:space="preserve"> </w:t>
      </w:r>
      <w:r w:rsidR="00BE2FD6" w:rsidRPr="007A306E">
        <w:t>Financial contracts whose value are</w:t>
      </w:r>
      <w:r w:rsidRPr="007A306E">
        <w:t xml:space="preserve"> derived from underlying assets, including options, futures, and swaps.</w:t>
      </w:r>
    </w:p>
    <w:p w:rsidR="007A306E" w:rsidRPr="007A306E" w:rsidRDefault="007A306E" w:rsidP="00BE2FD6">
      <w:r w:rsidRPr="007A306E">
        <w:rPr>
          <w:b/>
          <w:bCs/>
        </w:rPr>
        <w:t>Trading Venues:</w:t>
      </w:r>
    </w:p>
    <w:p w:rsidR="007A306E" w:rsidRPr="007A306E" w:rsidRDefault="007A306E" w:rsidP="00BE2FD6">
      <w:pPr>
        <w:numPr>
          <w:ilvl w:val="0"/>
          <w:numId w:val="11"/>
        </w:numPr>
      </w:pPr>
      <w:r w:rsidRPr="007A306E">
        <w:rPr>
          <w:b/>
          <w:bCs/>
        </w:rPr>
        <w:t>Stock Exchanges:</w:t>
      </w:r>
      <w:r w:rsidRPr="007A306E">
        <w:t xml:space="preserve"> Centralized platforms where securities are bought and sold. Examples include the New York Stock Exchange (NYSE) and NASDAQ.</w:t>
      </w:r>
    </w:p>
    <w:p w:rsidR="007A306E" w:rsidRPr="007A306E" w:rsidRDefault="007A306E" w:rsidP="00BE2FD6">
      <w:pPr>
        <w:numPr>
          <w:ilvl w:val="0"/>
          <w:numId w:val="11"/>
        </w:numPr>
      </w:pPr>
      <w:r w:rsidRPr="007A306E">
        <w:rPr>
          <w:b/>
          <w:bCs/>
        </w:rPr>
        <w:t>Over-the-Counter (OTC) Markets:</w:t>
      </w:r>
      <w:r w:rsidRPr="007A306E">
        <w:t xml:space="preserve"> Decentralized markets where securities not listed on exchanges are traded directly between parties.</w:t>
      </w:r>
    </w:p>
    <w:p w:rsidR="007A306E" w:rsidRPr="007A306E" w:rsidRDefault="007A306E" w:rsidP="00BE2FD6">
      <w:pPr>
        <w:numPr>
          <w:ilvl w:val="0"/>
          <w:numId w:val="11"/>
        </w:numPr>
      </w:pPr>
      <w:r w:rsidRPr="007A306E">
        <w:rPr>
          <w:b/>
          <w:bCs/>
        </w:rPr>
        <w:t>Electronic Trading Platforms:</w:t>
      </w:r>
      <w:r w:rsidRPr="007A306E">
        <w:t xml:space="preserve"> Digital systems that facilitate trading, often providing high-frequency trading capabilities.</w:t>
      </w:r>
    </w:p>
    <w:p w:rsidR="007A306E" w:rsidRPr="007A306E" w:rsidRDefault="007A306E" w:rsidP="00BE2FD6">
      <w:r w:rsidRPr="007A306E">
        <w:rPr>
          <w:b/>
          <w:bCs/>
        </w:rPr>
        <w:t>Market Participants:</w:t>
      </w:r>
    </w:p>
    <w:p w:rsidR="007A306E" w:rsidRPr="007A306E" w:rsidRDefault="007A306E" w:rsidP="00BE2FD6">
      <w:pPr>
        <w:numPr>
          <w:ilvl w:val="0"/>
          <w:numId w:val="12"/>
        </w:numPr>
      </w:pPr>
      <w:r w:rsidRPr="007A306E">
        <w:rPr>
          <w:b/>
          <w:bCs/>
        </w:rPr>
        <w:t>Individual Investors:</w:t>
      </w:r>
      <w:r w:rsidRPr="007A306E">
        <w:t xml:space="preserve"> Retail investors who trade securities for personal investment purposes.</w:t>
      </w:r>
    </w:p>
    <w:p w:rsidR="007A306E" w:rsidRPr="007A306E" w:rsidRDefault="007A306E" w:rsidP="00BE2FD6">
      <w:pPr>
        <w:numPr>
          <w:ilvl w:val="0"/>
          <w:numId w:val="12"/>
        </w:numPr>
      </w:pPr>
      <w:r w:rsidRPr="007A306E">
        <w:rPr>
          <w:b/>
          <w:bCs/>
        </w:rPr>
        <w:t>Institutional Investors:</w:t>
      </w:r>
      <w:r w:rsidRPr="007A306E">
        <w:t xml:space="preserve"> Entities such as mutual funds, pension funds, and hedge funds that trade large volumes of securities.</w:t>
      </w:r>
    </w:p>
    <w:p w:rsidR="007A306E" w:rsidRPr="007A306E" w:rsidRDefault="007A306E" w:rsidP="00BE2FD6">
      <w:pPr>
        <w:numPr>
          <w:ilvl w:val="0"/>
          <w:numId w:val="12"/>
        </w:numPr>
      </w:pPr>
      <w:r w:rsidRPr="007A306E">
        <w:rPr>
          <w:b/>
          <w:bCs/>
        </w:rPr>
        <w:t>Market Makers:</w:t>
      </w:r>
      <w:r w:rsidRPr="007A306E">
        <w:t xml:space="preserve"> Firms or individuals who provide liquidity by continuously buying and selling securities, helping to stabilize prices.</w:t>
      </w:r>
    </w:p>
    <w:p w:rsidR="007A306E" w:rsidRPr="007A306E" w:rsidRDefault="007A306E" w:rsidP="00BE2FD6">
      <w:pPr>
        <w:numPr>
          <w:ilvl w:val="0"/>
          <w:numId w:val="12"/>
        </w:numPr>
      </w:pPr>
      <w:r w:rsidRPr="007A306E">
        <w:rPr>
          <w:b/>
          <w:bCs/>
        </w:rPr>
        <w:t>Brokers and Dealers:</w:t>
      </w:r>
      <w:r w:rsidRPr="007A306E">
        <w:t xml:space="preserve"> Intermediaries who execute trades on behalf of clients or for their own accounts.</w:t>
      </w:r>
    </w:p>
    <w:p w:rsidR="00BE2FD6" w:rsidRDefault="00BE2FD6" w:rsidP="00BE2FD6">
      <w:pPr>
        <w:rPr>
          <w:b/>
          <w:bCs/>
        </w:rPr>
      </w:pPr>
    </w:p>
    <w:p w:rsidR="00BE2FD6" w:rsidRDefault="00BE2FD6" w:rsidP="00BE2FD6">
      <w:pPr>
        <w:rPr>
          <w:b/>
          <w:bCs/>
        </w:rPr>
      </w:pPr>
    </w:p>
    <w:p w:rsidR="007A306E" w:rsidRPr="007A306E" w:rsidRDefault="007A306E" w:rsidP="00BE2FD6">
      <w:r w:rsidRPr="007A306E">
        <w:rPr>
          <w:b/>
          <w:bCs/>
        </w:rPr>
        <w:lastRenderedPageBreak/>
        <w:t>Trading Mechanisms:</w:t>
      </w:r>
    </w:p>
    <w:p w:rsidR="007A306E" w:rsidRPr="007A306E" w:rsidRDefault="007A306E" w:rsidP="00BE2FD6">
      <w:pPr>
        <w:numPr>
          <w:ilvl w:val="0"/>
          <w:numId w:val="13"/>
        </w:numPr>
      </w:pPr>
      <w:r w:rsidRPr="007A306E">
        <w:rPr>
          <w:b/>
          <w:bCs/>
        </w:rPr>
        <w:t>Order Types:</w:t>
      </w:r>
      <w:r w:rsidRPr="007A306E">
        <w:t xml:space="preserve"> Instructions for buying or selling securities, including market orders, limit orders, stop orders, and stop-limit orders.</w:t>
      </w:r>
    </w:p>
    <w:p w:rsidR="007A306E" w:rsidRPr="007A306E" w:rsidRDefault="007A306E" w:rsidP="00BE2FD6">
      <w:pPr>
        <w:numPr>
          <w:ilvl w:val="0"/>
          <w:numId w:val="13"/>
        </w:numPr>
      </w:pPr>
      <w:r w:rsidRPr="007A306E">
        <w:rPr>
          <w:b/>
          <w:bCs/>
        </w:rPr>
        <w:t>Matching Engines:</w:t>
      </w:r>
      <w:r w:rsidRPr="007A306E">
        <w:t xml:space="preserve"> Technology used by exchanges to match buy and sell orders based on price, time, and order type.</w:t>
      </w:r>
    </w:p>
    <w:p w:rsidR="007A306E" w:rsidRPr="007A306E" w:rsidRDefault="007A306E" w:rsidP="00BE2FD6">
      <w:pPr>
        <w:numPr>
          <w:ilvl w:val="0"/>
          <w:numId w:val="13"/>
        </w:numPr>
      </w:pPr>
      <w:r w:rsidRPr="007A306E">
        <w:rPr>
          <w:b/>
          <w:bCs/>
        </w:rPr>
        <w:t>Clearing and Settlement:</w:t>
      </w:r>
      <w:r w:rsidRPr="007A306E">
        <w:t xml:space="preserve"> Processes that ensure the transfer of securities and payment between buyer and seller, typically managed by clearinghouses.</w:t>
      </w:r>
    </w:p>
    <w:p w:rsidR="007A306E" w:rsidRPr="007A306E" w:rsidRDefault="007A306E" w:rsidP="00BE2FD6">
      <w:r w:rsidRPr="007A306E">
        <w:rPr>
          <w:b/>
          <w:bCs/>
        </w:rPr>
        <w:t>Regulation and Compliance:</w:t>
      </w:r>
    </w:p>
    <w:p w:rsidR="007A306E" w:rsidRPr="007A306E" w:rsidRDefault="007A306E" w:rsidP="00BE2FD6">
      <w:pPr>
        <w:numPr>
          <w:ilvl w:val="0"/>
          <w:numId w:val="14"/>
        </w:numPr>
      </w:pPr>
      <w:r w:rsidRPr="007A306E">
        <w:rPr>
          <w:b/>
          <w:bCs/>
        </w:rPr>
        <w:t>Regulatory Bodies:</w:t>
      </w:r>
      <w:r w:rsidRPr="007A306E">
        <w:t xml:space="preserve"> Organizations such as the Securities and Exchange Commission (SEC) in the U.S. oversee securities markets to ensure transparency, fairness, and investor protection.</w:t>
      </w:r>
    </w:p>
    <w:p w:rsidR="007A306E" w:rsidRPr="007A306E" w:rsidRDefault="007A306E" w:rsidP="00BE2FD6">
      <w:pPr>
        <w:numPr>
          <w:ilvl w:val="0"/>
          <w:numId w:val="14"/>
        </w:numPr>
      </w:pPr>
      <w:r w:rsidRPr="007A306E">
        <w:rPr>
          <w:b/>
          <w:bCs/>
        </w:rPr>
        <w:t>Compliance Requirements:</w:t>
      </w:r>
      <w:r w:rsidRPr="007A306E">
        <w:t xml:space="preserve"> Rules </w:t>
      </w:r>
      <w:proofErr w:type="gramStart"/>
      <w:r w:rsidRPr="007A306E">
        <w:t>that participants</w:t>
      </w:r>
      <w:proofErr w:type="gramEnd"/>
      <w:r w:rsidRPr="007A306E">
        <w:t xml:space="preserve"> must follow, including disclosure requirements, reporting standards, and trading practices.</w:t>
      </w:r>
    </w:p>
    <w:p w:rsidR="007A306E" w:rsidRPr="007A306E" w:rsidRDefault="007A306E" w:rsidP="00BE2FD6">
      <w:r w:rsidRPr="007A306E">
        <w:rPr>
          <w:b/>
          <w:bCs/>
        </w:rPr>
        <w:t>Market Dynamics:</w:t>
      </w:r>
    </w:p>
    <w:p w:rsidR="007A306E" w:rsidRPr="007A306E" w:rsidRDefault="007A306E" w:rsidP="00BE2FD6">
      <w:pPr>
        <w:pStyle w:val="ListParagraph"/>
        <w:numPr>
          <w:ilvl w:val="0"/>
          <w:numId w:val="15"/>
        </w:numPr>
      </w:pPr>
      <w:r w:rsidRPr="00BE2FD6">
        <w:rPr>
          <w:b/>
          <w:bCs/>
        </w:rPr>
        <w:t>Supply and Demand:</w:t>
      </w:r>
      <w:r w:rsidRPr="007A306E">
        <w:t xml:space="preserve"> Prices of securities are influenced by the supply of and demand for those securities.</w:t>
      </w:r>
    </w:p>
    <w:p w:rsidR="007A306E" w:rsidRPr="007A306E" w:rsidRDefault="007A306E" w:rsidP="00BE2FD6">
      <w:pPr>
        <w:pStyle w:val="ListParagraph"/>
        <w:numPr>
          <w:ilvl w:val="0"/>
          <w:numId w:val="15"/>
        </w:numPr>
      </w:pPr>
      <w:r w:rsidRPr="00BE2FD6">
        <w:rPr>
          <w:b/>
          <w:bCs/>
        </w:rPr>
        <w:t>Market Sentiment:</w:t>
      </w:r>
      <w:r w:rsidRPr="007A306E">
        <w:t xml:space="preserve"> Investor perceptions and reactions to economic news, corporate earnings, and geopolitical events can impact security prices.</w:t>
      </w:r>
    </w:p>
    <w:p w:rsidR="007A306E" w:rsidRPr="007A306E" w:rsidRDefault="007A306E" w:rsidP="00BE2FD6">
      <w:pPr>
        <w:pStyle w:val="ListParagraph"/>
        <w:numPr>
          <w:ilvl w:val="0"/>
          <w:numId w:val="15"/>
        </w:numPr>
      </w:pPr>
      <w:r w:rsidRPr="00BE2FD6">
        <w:rPr>
          <w:b/>
          <w:bCs/>
        </w:rPr>
        <w:t>Economic Indicators:</w:t>
      </w:r>
      <w:r w:rsidRPr="007A306E">
        <w:t xml:space="preserve"> Data such as GDP growth, employment rates, and inflation can affect market performance.</w:t>
      </w:r>
    </w:p>
    <w:p w:rsidR="007A306E" w:rsidRPr="007A306E" w:rsidRDefault="007A306E" w:rsidP="007A306E">
      <w:pPr>
        <w:rPr>
          <w:b/>
          <w:bCs/>
        </w:rPr>
      </w:pPr>
      <w:r w:rsidRPr="007A306E">
        <w:rPr>
          <w:b/>
          <w:bCs/>
        </w:rPr>
        <w:t>Benefits of Securities Trading</w:t>
      </w:r>
      <w:r w:rsidR="00BE2FD6">
        <w:rPr>
          <w:b/>
          <w:bCs/>
        </w:rPr>
        <w:t>:</w:t>
      </w:r>
    </w:p>
    <w:p w:rsidR="007A306E" w:rsidRPr="007A306E" w:rsidRDefault="007A306E" w:rsidP="007A306E">
      <w:pPr>
        <w:numPr>
          <w:ilvl w:val="0"/>
          <w:numId w:val="8"/>
        </w:numPr>
      </w:pPr>
      <w:r w:rsidRPr="007A306E">
        <w:rPr>
          <w:b/>
          <w:bCs/>
        </w:rPr>
        <w:t>Liquidity:</w:t>
      </w:r>
      <w:r w:rsidRPr="007A306E">
        <w:t xml:space="preserve"> Provides investors with the ability to quickly buy or sell securities.</w:t>
      </w:r>
    </w:p>
    <w:p w:rsidR="007A306E" w:rsidRPr="007A306E" w:rsidRDefault="007A306E" w:rsidP="007A306E">
      <w:pPr>
        <w:numPr>
          <w:ilvl w:val="0"/>
          <w:numId w:val="8"/>
        </w:numPr>
      </w:pPr>
      <w:r w:rsidRPr="007A306E">
        <w:rPr>
          <w:b/>
          <w:bCs/>
        </w:rPr>
        <w:t>Price Discovery:</w:t>
      </w:r>
      <w:r w:rsidRPr="007A306E">
        <w:t xml:space="preserve"> Helps determine the fair market value of securities through continuous trading.</w:t>
      </w:r>
    </w:p>
    <w:p w:rsidR="007A306E" w:rsidRPr="007A306E" w:rsidRDefault="007A306E" w:rsidP="007A306E">
      <w:pPr>
        <w:numPr>
          <w:ilvl w:val="0"/>
          <w:numId w:val="8"/>
        </w:numPr>
      </w:pPr>
      <w:r w:rsidRPr="007A306E">
        <w:rPr>
          <w:b/>
          <w:bCs/>
        </w:rPr>
        <w:t>Investment Opportunities:</w:t>
      </w:r>
      <w:r w:rsidRPr="007A306E">
        <w:t xml:space="preserve"> Offers a wide range of investment options to diversify portfolios.</w:t>
      </w:r>
    </w:p>
    <w:p w:rsidR="007A306E" w:rsidRPr="007A306E" w:rsidRDefault="007A306E" w:rsidP="007A306E">
      <w:pPr>
        <w:numPr>
          <w:ilvl w:val="0"/>
          <w:numId w:val="8"/>
        </w:numPr>
      </w:pPr>
      <w:r w:rsidRPr="007A306E">
        <w:rPr>
          <w:b/>
          <w:bCs/>
        </w:rPr>
        <w:t>Capital Raising:</w:t>
      </w:r>
      <w:r w:rsidRPr="007A306E">
        <w:t xml:space="preserve"> Enables companies and governments to raise funds for growth and development.</w:t>
      </w:r>
    </w:p>
    <w:p w:rsidR="007A306E" w:rsidRPr="007A306E" w:rsidRDefault="007A306E" w:rsidP="007A306E">
      <w:pPr>
        <w:rPr>
          <w:b/>
          <w:bCs/>
        </w:rPr>
      </w:pPr>
      <w:r w:rsidRPr="007A306E">
        <w:rPr>
          <w:b/>
          <w:bCs/>
        </w:rPr>
        <w:t>Risks of Securities Trading</w:t>
      </w:r>
      <w:r w:rsidR="00BE2FD6">
        <w:rPr>
          <w:b/>
          <w:bCs/>
        </w:rPr>
        <w:t>:</w:t>
      </w:r>
    </w:p>
    <w:p w:rsidR="007A306E" w:rsidRPr="007A306E" w:rsidRDefault="007A306E" w:rsidP="007A306E">
      <w:pPr>
        <w:numPr>
          <w:ilvl w:val="0"/>
          <w:numId w:val="9"/>
        </w:numPr>
      </w:pPr>
      <w:r w:rsidRPr="007A306E">
        <w:rPr>
          <w:b/>
          <w:bCs/>
        </w:rPr>
        <w:t>Market Risk:</w:t>
      </w:r>
      <w:r w:rsidRPr="007A306E">
        <w:t xml:space="preserve"> The potential for losses due to changes in market prices.</w:t>
      </w:r>
    </w:p>
    <w:p w:rsidR="007A306E" w:rsidRPr="007A306E" w:rsidRDefault="007A306E" w:rsidP="007A306E">
      <w:pPr>
        <w:numPr>
          <w:ilvl w:val="0"/>
          <w:numId w:val="9"/>
        </w:numPr>
      </w:pPr>
      <w:r w:rsidRPr="007A306E">
        <w:rPr>
          <w:b/>
          <w:bCs/>
        </w:rPr>
        <w:t>Liquidity Risk:</w:t>
      </w:r>
      <w:r w:rsidRPr="007A306E">
        <w:t xml:space="preserve"> The risk that an investor may not be able to buy or sell securities at desired prices.</w:t>
      </w:r>
    </w:p>
    <w:p w:rsidR="007A306E" w:rsidRPr="007A306E" w:rsidRDefault="007A306E" w:rsidP="007A306E">
      <w:pPr>
        <w:numPr>
          <w:ilvl w:val="0"/>
          <w:numId w:val="9"/>
        </w:numPr>
      </w:pPr>
      <w:r w:rsidRPr="007A306E">
        <w:rPr>
          <w:b/>
          <w:bCs/>
        </w:rPr>
        <w:t>Credit Risk:</w:t>
      </w:r>
      <w:r w:rsidRPr="007A306E">
        <w:t xml:space="preserve"> The risk that the issuer of a security may default on its obligations.</w:t>
      </w:r>
    </w:p>
    <w:p w:rsidR="007A306E" w:rsidRPr="007A306E" w:rsidRDefault="007A306E" w:rsidP="007A306E">
      <w:pPr>
        <w:numPr>
          <w:ilvl w:val="0"/>
          <w:numId w:val="9"/>
        </w:numPr>
      </w:pPr>
      <w:r w:rsidRPr="007A306E">
        <w:rPr>
          <w:b/>
          <w:bCs/>
        </w:rPr>
        <w:lastRenderedPageBreak/>
        <w:t>Operational Risk:</w:t>
      </w:r>
      <w:r w:rsidRPr="007A306E">
        <w:t xml:space="preserve"> Risks related to system failures, fraud, and errors in the trading process.</w:t>
      </w:r>
    </w:p>
    <w:p w:rsidR="007A306E" w:rsidRPr="007A306E" w:rsidRDefault="002A09B4" w:rsidP="007A306E">
      <w:pPr>
        <w:rPr>
          <w:b/>
          <w:bCs/>
        </w:rPr>
      </w:pPr>
      <w:r>
        <w:rPr>
          <w:b/>
          <w:bCs/>
        </w:rPr>
        <w:t>Key Statistics:</w:t>
      </w:r>
    </w:p>
    <w:p w:rsidR="007A306E" w:rsidRPr="007A306E" w:rsidRDefault="007A306E" w:rsidP="007A306E">
      <w:pPr>
        <w:numPr>
          <w:ilvl w:val="0"/>
          <w:numId w:val="10"/>
        </w:numPr>
      </w:pPr>
      <w:r w:rsidRPr="007A306E">
        <w:rPr>
          <w:b/>
          <w:bCs/>
        </w:rPr>
        <w:t>Global Trading Volumes:</w:t>
      </w:r>
    </w:p>
    <w:p w:rsidR="007A306E" w:rsidRPr="007A306E" w:rsidRDefault="00180E26" w:rsidP="00180E26">
      <w:pPr>
        <w:numPr>
          <w:ilvl w:val="1"/>
          <w:numId w:val="10"/>
        </w:numPr>
      </w:pPr>
      <w:r w:rsidRPr="00180E26">
        <w:t>The total value of global equity trading worldwide in 2023 amounted to approxim</w:t>
      </w:r>
      <w:r>
        <w:t>ately 130 trillion U.S. dollars</w:t>
      </w:r>
      <w:r w:rsidR="007A306E" w:rsidRPr="007A306E">
        <w:t>, reflecting the high level of activity in stock markets worldwide.</w:t>
      </w:r>
    </w:p>
    <w:p w:rsidR="007A306E" w:rsidRPr="007A306E" w:rsidRDefault="006143B6" w:rsidP="007A306E">
      <w:pPr>
        <w:numPr>
          <w:ilvl w:val="1"/>
          <w:numId w:val="10"/>
        </w:numPr>
      </w:pPr>
      <w:r>
        <w:t xml:space="preserve">As of August 2020, the global bond market </w:t>
      </w:r>
      <w:r w:rsidR="00FC6BD5">
        <w:t>was</w:t>
      </w:r>
      <w:r>
        <w:t xml:space="preserve"> estimated to be worth about $128.3 trillion. This include</w:t>
      </w:r>
      <w:r w:rsidR="00FC6BD5">
        <w:t>d</w:t>
      </w:r>
      <w:r>
        <w:t xml:space="preserve"> $87.5 trillion in SSA bonds (68%) and $40.9 trillion in corporate bonds (32%).</w:t>
      </w:r>
    </w:p>
    <w:p w:rsidR="007A306E" w:rsidRPr="007A306E" w:rsidRDefault="007A306E" w:rsidP="007A306E">
      <w:pPr>
        <w:numPr>
          <w:ilvl w:val="0"/>
          <w:numId w:val="10"/>
        </w:numPr>
      </w:pPr>
      <w:r w:rsidRPr="007A306E">
        <w:rPr>
          <w:b/>
          <w:bCs/>
        </w:rPr>
        <w:t>Major Stock Exchanges by Market Capitalization (as of 2022):</w:t>
      </w:r>
    </w:p>
    <w:p w:rsidR="007A306E" w:rsidRPr="007A306E" w:rsidRDefault="007A306E" w:rsidP="007A306E">
      <w:pPr>
        <w:numPr>
          <w:ilvl w:val="1"/>
          <w:numId w:val="10"/>
        </w:numPr>
      </w:pPr>
      <w:r w:rsidRPr="007A306E">
        <w:rPr>
          <w:b/>
          <w:bCs/>
        </w:rPr>
        <w:t>New York Stock Exchange (NYSE):</w:t>
      </w:r>
      <w:r w:rsidRPr="007A306E">
        <w:t xml:space="preserve"> $28.4 trillion</w:t>
      </w:r>
    </w:p>
    <w:p w:rsidR="007A306E" w:rsidRPr="007A306E" w:rsidRDefault="007A306E" w:rsidP="007A306E">
      <w:pPr>
        <w:numPr>
          <w:ilvl w:val="1"/>
          <w:numId w:val="10"/>
        </w:numPr>
      </w:pPr>
      <w:r w:rsidRPr="007A306E">
        <w:rPr>
          <w:b/>
          <w:bCs/>
        </w:rPr>
        <w:t>NASDAQ:</w:t>
      </w:r>
      <w:r w:rsidRPr="007A306E">
        <w:t xml:space="preserve"> $22.2 trillion</w:t>
      </w:r>
    </w:p>
    <w:p w:rsidR="007A306E" w:rsidRPr="007A306E" w:rsidRDefault="007A306E" w:rsidP="007A306E">
      <w:pPr>
        <w:numPr>
          <w:ilvl w:val="1"/>
          <w:numId w:val="10"/>
        </w:numPr>
      </w:pPr>
      <w:r w:rsidRPr="007A306E">
        <w:rPr>
          <w:b/>
          <w:bCs/>
        </w:rPr>
        <w:t>Shanghai Stock Exchange:</w:t>
      </w:r>
      <w:r w:rsidRPr="007A306E">
        <w:t xml:space="preserve"> $7.7 trillion</w:t>
      </w:r>
    </w:p>
    <w:p w:rsidR="007A306E" w:rsidRPr="007A306E" w:rsidRDefault="007A306E" w:rsidP="007A306E">
      <w:pPr>
        <w:numPr>
          <w:ilvl w:val="1"/>
          <w:numId w:val="10"/>
        </w:numPr>
      </w:pPr>
      <w:r w:rsidRPr="007A306E">
        <w:rPr>
          <w:b/>
          <w:bCs/>
        </w:rPr>
        <w:t>Euronext:</w:t>
      </w:r>
      <w:r w:rsidRPr="007A306E">
        <w:t xml:space="preserve"> $6.8 trillion</w:t>
      </w:r>
    </w:p>
    <w:p w:rsidR="007A306E" w:rsidRPr="007A306E" w:rsidRDefault="007A306E" w:rsidP="007A306E">
      <w:pPr>
        <w:numPr>
          <w:ilvl w:val="1"/>
          <w:numId w:val="10"/>
        </w:numPr>
      </w:pPr>
      <w:r w:rsidRPr="007A306E">
        <w:rPr>
          <w:b/>
          <w:bCs/>
        </w:rPr>
        <w:t>Tokyo Stock Exchange:</w:t>
      </w:r>
      <w:r w:rsidRPr="007A306E">
        <w:t xml:space="preserve"> $6.6 trillion</w:t>
      </w:r>
    </w:p>
    <w:p w:rsidR="007A306E" w:rsidRPr="007A306E" w:rsidRDefault="007A306E" w:rsidP="007A306E">
      <w:pPr>
        <w:numPr>
          <w:ilvl w:val="0"/>
          <w:numId w:val="10"/>
        </w:numPr>
      </w:pPr>
      <w:r w:rsidRPr="007A306E">
        <w:rPr>
          <w:b/>
          <w:bCs/>
        </w:rPr>
        <w:t>Growth in Electronic Trading:</w:t>
      </w:r>
    </w:p>
    <w:p w:rsidR="007A306E" w:rsidRPr="007A306E" w:rsidRDefault="007A306E" w:rsidP="007A306E">
      <w:pPr>
        <w:numPr>
          <w:ilvl w:val="1"/>
          <w:numId w:val="10"/>
        </w:numPr>
      </w:pPr>
      <w:r w:rsidRPr="007A306E">
        <w:t>Electronic trading has become increasingly dominant, with over 80% of equity trades in the U.S. executed electronically.</w:t>
      </w:r>
    </w:p>
    <w:p w:rsidR="007A306E" w:rsidRPr="007A306E" w:rsidRDefault="007A306E" w:rsidP="007A306E">
      <w:pPr>
        <w:numPr>
          <w:ilvl w:val="1"/>
          <w:numId w:val="10"/>
        </w:numPr>
      </w:pPr>
      <w:r w:rsidRPr="007A306E">
        <w:t>High-frequency trading (HFT), which uses algorithms to execute trades at high speeds, accounted for around 50% of equity trading volume in the U.S.</w:t>
      </w:r>
    </w:p>
    <w:p w:rsidR="00EB33E4" w:rsidRDefault="00EB33E4" w:rsidP="00EB33E4">
      <w:pPr>
        <w:pStyle w:val="Title"/>
        <w:jc w:val="right"/>
      </w:pPr>
    </w:p>
    <w:p w:rsidR="00EB33E4" w:rsidRDefault="00EB33E4" w:rsidP="00EB33E4">
      <w:pPr>
        <w:pStyle w:val="Title"/>
        <w:jc w:val="right"/>
      </w:pPr>
    </w:p>
    <w:p w:rsidR="00EB33E4" w:rsidRDefault="00EB33E4" w:rsidP="00EB33E4">
      <w:pPr>
        <w:pStyle w:val="Title"/>
        <w:jc w:val="right"/>
      </w:pPr>
    </w:p>
    <w:p w:rsidR="00EB33E4" w:rsidRDefault="00EB33E4" w:rsidP="00EB33E4">
      <w:pPr>
        <w:pStyle w:val="Title"/>
        <w:jc w:val="right"/>
      </w:pPr>
    </w:p>
    <w:p w:rsidR="00EB33E4" w:rsidRDefault="00EB33E4" w:rsidP="00EB33E4">
      <w:pPr>
        <w:pStyle w:val="Title"/>
        <w:jc w:val="right"/>
      </w:pPr>
    </w:p>
    <w:p w:rsidR="00765EC1" w:rsidRDefault="00FC6BD5" w:rsidP="00EB33E4">
      <w:pPr>
        <w:pStyle w:val="Title"/>
        <w:jc w:val="right"/>
      </w:pPr>
      <w:bookmarkStart w:id="50" w:name="_GoBack"/>
      <w:bookmarkEnd w:id="50"/>
      <w:r>
        <w:t>Thank You</w:t>
      </w:r>
    </w:p>
    <w:sectPr w:rsidR="0076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35167"/>
    <w:multiLevelType w:val="multilevel"/>
    <w:tmpl w:val="C1D8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FF255E"/>
    <w:multiLevelType w:val="multilevel"/>
    <w:tmpl w:val="9D18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A72AA"/>
    <w:multiLevelType w:val="multilevel"/>
    <w:tmpl w:val="77A0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FB1D70"/>
    <w:multiLevelType w:val="multilevel"/>
    <w:tmpl w:val="277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7E5B6A"/>
    <w:multiLevelType w:val="multilevel"/>
    <w:tmpl w:val="8F90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C6602"/>
    <w:multiLevelType w:val="multilevel"/>
    <w:tmpl w:val="6B8C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602D0C"/>
    <w:multiLevelType w:val="multilevel"/>
    <w:tmpl w:val="C1D8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6F6094"/>
    <w:multiLevelType w:val="multilevel"/>
    <w:tmpl w:val="D452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2F07FF"/>
    <w:multiLevelType w:val="multilevel"/>
    <w:tmpl w:val="C1D8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234575"/>
    <w:multiLevelType w:val="multilevel"/>
    <w:tmpl w:val="C1D8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C37932"/>
    <w:multiLevelType w:val="multilevel"/>
    <w:tmpl w:val="9928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0C1EC4"/>
    <w:multiLevelType w:val="multilevel"/>
    <w:tmpl w:val="D614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892378"/>
    <w:multiLevelType w:val="multilevel"/>
    <w:tmpl w:val="C1D8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E6410E"/>
    <w:multiLevelType w:val="multilevel"/>
    <w:tmpl w:val="F348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47699C"/>
    <w:multiLevelType w:val="multilevel"/>
    <w:tmpl w:val="94F2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14"/>
  </w:num>
  <w:num w:numId="11">
    <w:abstractNumId w:val="8"/>
  </w:num>
  <w:num w:numId="12">
    <w:abstractNumId w:val="0"/>
  </w:num>
  <w:num w:numId="13">
    <w:abstractNumId w:val="6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6E"/>
    <w:rsid w:val="00180E26"/>
    <w:rsid w:val="001831CF"/>
    <w:rsid w:val="002A09B4"/>
    <w:rsid w:val="006143B6"/>
    <w:rsid w:val="00765EC1"/>
    <w:rsid w:val="007A306E"/>
    <w:rsid w:val="009F4C10"/>
    <w:rsid w:val="00AD057A"/>
    <w:rsid w:val="00BE2FD6"/>
    <w:rsid w:val="00D45C5D"/>
    <w:rsid w:val="00EB33E4"/>
    <w:rsid w:val="00FC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1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4C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33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1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4C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33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4"/>
    </mc:Choice>
    <mc:Fallback>
      <c:style val="1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 of IPOs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H1 2024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1452</c:v>
                </c:pt>
                <c:pt idx="1">
                  <c:v>2436</c:v>
                </c:pt>
                <c:pt idx="2">
                  <c:v>1415</c:v>
                </c:pt>
                <c:pt idx="3">
                  <c:v>1351</c:v>
                </c:pt>
                <c:pt idx="4">
                  <c:v>551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80680704"/>
        <c:axId val="281079808"/>
      </c:barChart>
      <c:catAx>
        <c:axId val="28068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81079808"/>
        <c:crosses val="autoZero"/>
        <c:auto val="1"/>
        <c:lblAlgn val="ctr"/>
        <c:lblOffset val="100"/>
        <c:noMultiLvlLbl val="0"/>
      </c:catAx>
      <c:valAx>
        <c:axId val="2810798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80680704"/>
        <c:crosses val="autoZero"/>
        <c:crossBetween val="between"/>
      </c:valAx>
    </c:plotArea>
    <c:plotVisOnly val="1"/>
    <c:dispBlanksAs val="gap"/>
    <c:showDLblsOverMax val="0"/>
  </c:chart>
  <c:spPr>
    <a:solidFill>
      <a:schemeClr val="accent4">
        <a:lumMod val="40000"/>
        <a:lumOff val="60000"/>
      </a:schemeClr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4"/>
    </mc:Choice>
    <mc:Fallback>
      <c:style val="2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IPO Proceeds (USD</a:t>
            </a:r>
            <a:r>
              <a:rPr lang="en-US" baseline="0"/>
              <a:t> billions)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H1 2024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271.3</c:v>
                </c:pt>
                <c:pt idx="1">
                  <c:v>459.9</c:v>
                </c:pt>
                <c:pt idx="2">
                  <c:v>184.3</c:v>
                </c:pt>
                <c:pt idx="3">
                  <c:v>126.1</c:v>
                </c:pt>
                <c:pt idx="4">
                  <c:v>52.2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72933632"/>
        <c:axId val="272935168"/>
      </c:barChart>
      <c:catAx>
        <c:axId val="27293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72935168"/>
        <c:crosses val="autoZero"/>
        <c:auto val="1"/>
        <c:lblAlgn val="ctr"/>
        <c:lblOffset val="100"/>
        <c:noMultiLvlLbl val="0"/>
      </c:catAx>
      <c:valAx>
        <c:axId val="272935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72933632"/>
        <c:crosses val="autoZero"/>
        <c:crossBetween val="between"/>
      </c:valAx>
    </c:plotArea>
    <c:plotVisOnly val="1"/>
    <c:dispBlanksAs val="gap"/>
    <c:showDLblsOverMax val="0"/>
  </c:chart>
  <c:spPr>
    <a:ln>
      <a:noFill/>
    </a:ln>
    <a:effectLst>
      <a:glow rad="101600">
        <a:schemeClr val="accent6">
          <a:satMod val="175000"/>
          <a:alpha val="40000"/>
        </a:schemeClr>
      </a:glo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2024-07-11T19:16:00Z</dcterms:created>
  <dcterms:modified xsi:type="dcterms:W3CDTF">2024-07-12T10:59:00Z</dcterms:modified>
</cp:coreProperties>
</file>