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6FE" w:rsidRDefault="005666FE" w:rsidP="002B118D">
      <w:pPr>
        <w:pStyle w:val="Heading1"/>
        <w:spacing w:line="480" w:lineRule="auto"/>
      </w:pPr>
      <w:bookmarkStart w:id="0" w:name="_Toc168681394"/>
      <w:bookmarkStart w:id="1" w:name="_Toc169018610"/>
      <w:bookmarkStart w:id="2" w:name="_Toc169099747"/>
      <w:bookmarkStart w:id="3" w:name="_Toc169194466"/>
      <w:bookmarkStart w:id="4" w:name="_Toc169526155"/>
      <w:bookmarkStart w:id="5" w:name="_Toc169624170"/>
      <w:r>
        <w:rPr>
          <w:noProof/>
        </w:rPr>
        <w:drawing>
          <wp:anchor distT="0" distB="0" distL="114300" distR="114300" simplePos="0" relativeHeight="251660288" behindDoc="0" locked="0" layoutInCell="1" allowOverlap="1" wp14:anchorId="739CF763" wp14:editId="67CB7C09">
            <wp:simplePos x="0" y="0"/>
            <wp:positionH relativeFrom="column">
              <wp:posOffset>1632857</wp:posOffset>
            </wp:positionH>
            <wp:positionV relativeFrom="paragraph">
              <wp:align>top</wp:align>
            </wp:positionV>
            <wp:extent cx="2838450" cy="1286510"/>
            <wp:effectExtent l="0" t="0" r="0" b="8890"/>
            <wp:wrapSquare wrapText="bothSides"/>
            <wp:docPr id="5" name="Picture 5"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6510"/>
                    </a:xfrm>
                    <a:prstGeom prst="rect">
                      <a:avLst/>
                    </a:prstGeom>
                    <a:noFill/>
                    <a:ln>
                      <a:noFill/>
                    </a:ln>
                  </pic:spPr>
                </pic:pic>
              </a:graphicData>
            </a:graphic>
          </wp:anchor>
        </w:drawing>
      </w:r>
      <w:bookmarkEnd w:id="0"/>
      <w:bookmarkEnd w:id="1"/>
      <w:bookmarkEnd w:id="2"/>
      <w:bookmarkEnd w:id="3"/>
      <w:bookmarkEnd w:id="4"/>
      <w:bookmarkEnd w:id="5"/>
      <w:r w:rsidR="002B118D">
        <w:br w:type="textWrapping" w:clear="all"/>
      </w:r>
    </w:p>
    <w:p w:rsidR="005666FE" w:rsidRDefault="005666FE" w:rsidP="005666FE">
      <w:pPr>
        <w:jc w:val="center"/>
        <w:rPr>
          <w:b/>
          <w:sz w:val="28"/>
        </w:rPr>
      </w:pPr>
      <w:bookmarkStart w:id="6" w:name="_Toc168493927"/>
      <w:bookmarkStart w:id="7" w:name="_Toc168494038"/>
      <w:bookmarkStart w:id="8" w:name="_Toc168681395"/>
      <w:bookmarkStart w:id="9" w:name="_Toc169018611"/>
      <w:bookmarkStart w:id="10" w:name="_Toc169099748"/>
      <w:bookmarkStart w:id="11" w:name="_Toc169194467"/>
      <w:bookmarkStart w:id="12" w:name="_Toc169526156"/>
      <w:bookmarkStart w:id="13" w:name="_Toc169624171"/>
    </w:p>
    <w:p w:rsidR="005666FE" w:rsidRPr="00DF16FE" w:rsidRDefault="005666FE" w:rsidP="005666FE">
      <w:pPr>
        <w:jc w:val="center"/>
        <w:rPr>
          <w:b/>
          <w:sz w:val="28"/>
        </w:rPr>
      </w:pPr>
      <w:r w:rsidRPr="00DF16FE">
        <w:rPr>
          <w:b/>
          <w:sz w:val="28"/>
        </w:rPr>
        <w:t xml:space="preserve">Assignment </w:t>
      </w:r>
      <w:bookmarkEnd w:id="6"/>
      <w:bookmarkEnd w:id="7"/>
      <w:bookmarkEnd w:id="8"/>
      <w:bookmarkEnd w:id="9"/>
      <w:bookmarkEnd w:id="10"/>
      <w:bookmarkEnd w:id="11"/>
      <w:r w:rsidRPr="00DF16FE">
        <w:rPr>
          <w:b/>
          <w:sz w:val="28"/>
        </w:rPr>
        <w:t>on</w:t>
      </w:r>
      <w:bookmarkEnd w:id="12"/>
      <w:bookmarkEnd w:id="13"/>
    </w:p>
    <w:p w:rsidR="005666FE" w:rsidRDefault="005666FE" w:rsidP="005666FE">
      <w:pPr>
        <w:jc w:val="center"/>
        <w:rPr>
          <w:b/>
          <w:sz w:val="28"/>
        </w:rPr>
      </w:pPr>
      <w:r>
        <w:rPr>
          <w:b/>
          <w:sz w:val="28"/>
        </w:rPr>
        <w:t xml:space="preserve">COMMERCIAL BANKING OPERATIONS AND  </w:t>
      </w:r>
    </w:p>
    <w:p w:rsidR="005666FE" w:rsidRDefault="005666FE" w:rsidP="005666FE">
      <w:pPr>
        <w:jc w:val="center"/>
        <w:rPr>
          <w:b/>
          <w:sz w:val="28"/>
        </w:rPr>
      </w:pPr>
      <w:r>
        <w:rPr>
          <w:b/>
          <w:sz w:val="28"/>
        </w:rPr>
        <w:t>INVESTMENT BANKING OPERATIONS</w:t>
      </w:r>
    </w:p>
    <w:p w:rsidR="005666FE" w:rsidRDefault="005666FE" w:rsidP="005666FE">
      <w:pPr>
        <w:jc w:val="center"/>
        <w:rPr>
          <w:b/>
          <w:sz w:val="28"/>
        </w:rPr>
      </w:pPr>
    </w:p>
    <w:p w:rsidR="005666FE" w:rsidRPr="00DF16FE" w:rsidRDefault="005666FE" w:rsidP="005666FE">
      <w:pPr>
        <w:jc w:val="center"/>
        <w:rPr>
          <w:b/>
          <w:sz w:val="28"/>
        </w:rPr>
      </w:pPr>
    </w:p>
    <w:p w:rsidR="005666FE" w:rsidRPr="00DF16FE" w:rsidRDefault="005666FE" w:rsidP="005666FE">
      <w:pPr>
        <w:jc w:val="center"/>
        <w:rPr>
          <w:b/>
          <w:sz w:val="28"/>
        </w:rPr>
      </w:pPr>
      <w:bookmarkStart w:id="14" w:name="_Toc168493929"/>
      <w:bookmarkStart w:id="15" w:name="_Toc168494040"/>
      <w:bookmarkStart w:id="16" w:name="_Toc168681398"/>
      <w:bookmarkStart w:id="17" w:name="_Toc169018613"/>
      <w:bookmarkStart w:id="18" w:name="_Toc169099751"/>
      <w:bookmarkStart w:id="19" w:name="_Toc169194470"/>
      <w:bookmarkStart w:id="20" w:name="_Toc169526158"/>
      <w:bookmarkStart w:id="21" w:name="_Toc169624173"/>
      <w:r w:rsidRPr="00DF16FE">
        <w:rPr>
          <w:b/>
          <w:sz w:val="28"/>
        </w:rPr>
        <w:t>Under Supervision of:</w:t>
      </w:r>
      <w:bookmarkEnd w:id="14"/>
      <w:bookmarkEnd w:id="15"/>
      <w:bookmarkEnd w:id="16"/>
      <w:bookmarkEnd w:id="17"/>
      <w:bookmarkEnd w:id="18"/>
      <w:bookmarkEnd w:id="19"/>
      <w:bookmarkEnd w:id="20"/>
      <w:bookmarkEnd w:id="21"/>
    </w:p>
    <w:p w:rsidR="005666FE" w:rsidRPr="00DF16FE" w:rsidRDefault="005666FE" w:rsidP="005666FE">
      <w:pPr>
        <w:jc w:val="center"/>
        <w:rPr>
          <w:b/>
          <w:sz w:val="28"/>
        </w:rPr>
      </w:pPr>
      <w:bookmarkStart w:id="22" w:name="_Toc168493930"/>
      <w:bookmarkStart w:id="23" w:name="_Toc168494041"/>
      <w:bookmarkStart w:id="24" w:name="_Toc168681399"/>
      <w:bookmarkStart w:id="25" w:name="_Toc169018614"/>
      <w:bookmarkStart w:id="26" w:name="_Toc169099752"/>
      <w:bookmarkStart w:id="27" w:name="_Toc169194471"/>
      <w:bookmarkStart w:id="28" w:name="_Toc169526159"/>
      <w:bookmarkStart w:id="29" w:name="_Toc169624174"/>
      <w:r w:rsidRPr="00DF16FE">
        <w:rPr>
          <w:b/>
          <w:sz w:val="28"/>
        </w:rPr>
        <w:t xml:space="preserve">Mr. Mohammad </w:t>
      </w:r>
      <w:proofErr w:type="spellStart"/>
      <w:r w:rsidRPr="00DF16FE">
        <w:rPr>
          <w:b/>
          <w:sz w:val="28"/>
        </w:rPr>
        <w:t>Mozammil</w:t>
      </w:r>
      <w:bookmarkEnd w:id="22"/>
      <w:bookmarkEnd w:id="23"/>
      <w:bookmarkEnd w:id="24"/>
      <w:bookmarkEnd w:id="25"/>
      <w:bookmarkEnd w:id="26"/>
      <w:bookmarkEnd w:id="27"/>
      <w:bookmarkEnd w:id="28"/>
      <w:bookmarkEnd w:id="29"/>
      <w:proofErr w:type="spellEnd"/>
    </w:p>
    <w:p w:rsidR="005666FE" w:rsidRDefault="005666FE" w:rsidP="005666FE">
      <w:pPr>
        <w:jc w:val="center"/>
        <w:rPr>
          <w:b/>
          <w:sz w:val="28"/>
        </w:rPr>
      </w:pPr>
      <w:bookmarkStart w:id="30" w:name="_Toc168493931"/>
      <w:bookmarkStart w:id="31" w:name="_Toc168494042"/>
      <w:bookmarkStart w:id="32" w:name="_Toc168681400"/>
      <w:bookmarkStart w:id="33" w:name="_Toc169018615"/>
      <w:bookmarkStart w:id="34" w:name="_Toc169099753"/>
      <w:bookmarkStart w:id="35" w:name="_Toc169194472"/>
      <w:bookmarkStart w:id="36" w:name="_Toc169526160"/>
      <w:bookmarkStart w:id="37" w:name="_Toc169624175"/>
    </w:p>
    <w:p w:rsidR="005666FE" w:rsidRPr="00DF16FE" w:rsidRDefault="005666FE" w:rsidP="005666FE">
      <w:pPr>
        <w:jc w:val="center"/>
        <w:rPr>
          <w:b/>
          <w:sz w:val="28"/>
        </w:rPr>
      </w:pPr>
    </w:p>
    <w:p w:rsidR="005666FE" w:rsidRPr="00DF16FE" w:rsidRDefault="005666FE" w:rsidP="005666FE">
      <w:pPr>
        <w:jc w:val="center"/>
        <w:rPr>
          <w:b/>
          <w:sz w:val="28"/>
        </w:rPr>
      </w:pPr>
      <w:r w:rsidRPr="00DF16FE">
        <w:rPr>
          <w:b/>
          <w:sz w:val="28"/>
        </w:rPr>
        <w:t>Submitted On:</w:t>
      </w:r>
    </w:p>
    <w:p w:rsidR="005666FE" w:rsidRPr="00DF16FE" w:rsidRDefault="005666FE" w:rsidP="005666FE">
      <w:pPr>
        <w:jc w:val="center"/>
        <w:rPr>
          <w:b/>
          <w:sz w:val="28"/>
        </w:rPr>
      </w:pPr>
      <w:r w:rsidRPr="00DF16FE">
        <w:rPr>
          <w:b/>
          <w:sz w:val="28"/>
        </w:rPr>
        <w:t>2</w:t>
      </w:r>
      <w:r>
        <w:rPr>
          <w:b/>
          <w:sz w:val="28"/>
        </w:rPr>
        <w:t>1</w:t>
      </w:r>
      <w:r w:rsidRPr="00DF16FE">
        <w:rPr>
          <w:b/>
          <w:sz w:val="28"/>
          <w:vertAlign w:val="superscript"/>
        </w:rPr>
        <w:t xml:space="preserve">th </w:t>
      </w:r>
      <w:r w:rsidRPr="00DF16FE">
        <w:rPr>
          <w:b/>
          <w:sz w:val="28"/>
        </w:rPr>
        <w:t>June, 2024</w:t>
      </w:r>
    </w:p>
    <w:p w:rsidR="005666FE" w:rsidRDefault="005666FE" w:rsidP="005666FE">
      <w:pPr>
        <w:rPr>
          <w:b/>
          <w:sz w:val="28"/>
        </w:rPr>
      </w:pPr>
    </w:p>
    <w:p w:rsidR="005666FE" w:rsidRPr="00DF16FE" w:rsidRDefault="005666FE" w:rsidP="005666FE">
      <w:pPr>
        <w:rPr>
          <w:b/>
          <w:sz w:val="28"/>
        </w:rPr>
      </w:pPr>
    </w:p>
    <w:p w:rsidR="005666FE" w:rsidRPr="00DF16FE" w:rsidRDefault="005666FE" w:rsidP="005666FE">
      <w:pPr>
        <w:jc w:val="center"/>
        <w:rPr>
          <w:b/>
          <w:sz w:val="28"/>
        </w:rPr>
      </w:pPr>
      <w:r w:rsidRPr="00DF16FE">
        <w:rPr>
          <w:b/>
          <w:sz w:val="28"/>
        </w:rPr>
        <w:t>Submitted By:</w:t>
      </w:r>
      <w:bookmarkEnd w:id="30"/>
      <w:bookmarkEnd w:id="31"/>
      <w:bookmarkEnd w:id="32"/>
      <w:bookmarkEnd w:id="33"/>
      <w:bookmarkEnd w:id="34"/>
      <w:bookmarkEnd w:id="35"/>
      <w:bookmarkEnd w:id="36"/>
      <w:bookmarkEnd w:id="37"/>
    </w:p>
    <w:p w:rsidR="005666FE" w:rsidRPr="00C671DF" w:rsidRDefault="005666FE" w:rsidP="005666FE">
      <w:pPr>
        <w:jc w:val="center"/>
        <w:rPr>
          <w:b/>
          <w:sz w:val="28"/>
        </w:rPr>
      </w:pPr>
      <w:bookmarkStart w:id="38" w:name="_Toc168493932"/>
      <w:bookmarkStart w:id="39" w:name="_Toc168494043"/>
      <w:bookmarkStart w:id="40" w:name="_Toc168681401"/>
      <w:bookmarkStart w:id="41" w:name="_Toc169018616"/>
      <w:bookmarkStart w:id="42" w:name="_Toc169099754"/>
      <w:bookmarkStart w:id="43" w:name="_Toc169194473"/>
      <w:bookmarkStart w:id="44" w:name="_Toc169526161"/>
      <w:bookmarkStart w:id="45" w:name="_Toc169624176"/>
      <w:proofErr w:type="spellStart"/>
      <w:r w:rsidRPr="00C671DF">
        <w:rPr>
          <w:b/>
          <w:sz w:val="28"/>
        </w:rPr>
        <w:t>Archita</w:t>
      </w:r>
      <w:proofErr w:type="spellEnd"/>
      <w:r w:rsidRPr="00C671DF">
        <w:rPr>
          <w:b/>
          <w:sz w:val="28"/>
        </w:rPr>
        <w:t xml:space="preserve"> Gupta</w:t>
      </w:r>
      <w:bookmarkEnd w:id="38"/>
      <w:bookmarkEnd w:id="39"/>
      <w:bookmarkEnd w:id="40"/>
      <w:bookmarkEnd w:id="41"/>
      <w:bookmarkEnd w:id="42"/>
      <w:bookmarkEnd w:id="43"/>
      <w:bookmarkEnd w:id="44"/>
      <w:bookmarkEnd w:id="45"/>
    </w:p>
    <w:sdt>
      <w:sdtPr>
        <w:rPr>
          <w:rFonts w:asciiTheme="minorHAnsi" w:eastAsiaTheme="minorHAnsi" w:hAnsiTheme="minorHAnsi" w:cstheme="minorBidi"/>
          <w:b w:val="0"/>
          <w:bCs w:val="0"/>
          <w:color w:val="auto"/>
          <w:sz w:val="22"/>
          <w:szCs w:val="22"/>
          <w:lang w:eastAsia="en-US"/>
        </w:rPr>
        <w:id w:val="985827737"/>
        <w:docPartObj>
          <w:docPartGallery w:val="Table of Contents"/>
          <w:docPartUnique/>
        </w:docPartObj>
      </w:sdtPr>
      <w:sdtEndPr>
        <w:rPr>
          <w:noProof/>
        </w:rPr>
      </w:sdtEndPr>
      <w:sdtContent>
        <w:p w:rsidR="00E7056C" w:rsidRDefault="00E7056C" w:rsidP="009E3128">
          <w:pPr>
            <w:pStyle w:val="TOCHeading"/>
            <w:rPr>
              <w:noProof/>
            </w:rPr>
          </w:pPr>
          <w:r>
            <w:t>Table of Contents</w:t>
          </w:r>
          <w:r>
            <w:fldChar w:fldCharType="begin"/>
          </w:r>
          <w:r>
            <w:instrText xml:space="preserve"> TOC \o "1-3" \h \z \u </w:instrText>
          </w:r>
          <w:r>
            <w:fldChar w:fldCharType="separate"/>
          </w:r>
        </w:p>
        <w:p w:rsidR="00E7056C" w:rsidRDefault="002B118D">
          <w:pPr>
            <w:pStyle w:val="TOC1"/>
            <w:tabs>
              <w:tab w:val="right" w:leader="dot" w:pos="9350"/>
            </w:tabs>
            <w:rPr>
              <w:noProof/>
            </w:rPr>
          </w:pPr>
          <w:hyperlink w:anchor="_Toc169624177" w:history="1">
            <w:r w:rsidR="00E7056C" w:rsidRPr="00E66C24">
              <w:rPr>
                <w:rStyle w:val="Hyperlink"/>
                <w:noProof/>
              </w:rPr>
              <w:t>Commercial Banking Operations</w:t>
            </w:r>
            <w:r w:rsidR="00E7056C">
              <w:rPr>
                <w:noProof/>
                <w:webHidden/>
              </w:rPr>
              <w:tab/>
            </w:r>
            <w:r w:rsidR="00E7056C">
              <w:rPr>
                <w:noProof/>
                <w:webHidden/>
              </w:rPr>
              <w:fldChar w:fldCharType="begin"/>
            </w:r>
            <w:r w:rsidR="00E7056C">
              <w:rPr>
                <w:noProof/>
                <w:webHidden/>
              </w:rPr>
              <w:instrText xml:space="preserve"> PAGEREF _Toc169624177 \h </w:instrText>
            </w:r>
            <w:r w:rsidR="00E7056C">
              <w:rPr>
                <w:noProof/>
                <w:webHidden/>
              </w:rPr>
            </w:r>
            <w:r w:rsidR="00E7056C">
              <w:rPr>
                <w:noProof/>
                <w:webHidden/>
              </w:rPr>
              <w:fldChar w:fldCharType="separate"/>
            </w:r>
            <w:r w:rsidR="00E7056C">
              <w:rPr>
                <w:noProof/>
                <w:webHidden/>
              </w:rPr>
              <w:t>3</w:t>
            </w:r>
            <w:r w:rsidR="00E7056C">
              <w:rPr>
                <w:noProof/>
                <w:webHidden/>
              </w:rPr>
              <w:fldChar w:fldCharType="end"/>
            </w:r>
          </w:hyperlink>
        </w:p>
        <w:p w:rsidR="00E7056C" w:rsidRDefault="002B118D">
          <w:pPr>
            <w:pStyle w:val="TOC1"/>
            <w:tabs>
              <w:tab w:val="right" w:leader="dot" w:pos="9350"/>
            </w:tabs>
            <w:rPr>
              <w:noProof/>
            </w:rPr>
          </w:pPr>
          <w:hyperlink w:anchor="_Toc169624178" w:history="1">
            <w:r w:rsidR="00E7056C" w:rsidRPr="00E66C24">
              <w:rPr>
                <w:rStyle w:val="Hyperlink"/>
                <w:noProof/>
              </w:rPr>
              <w:t>Investment Banking Operations</w:t>
            </w:r>
            <w:r w:rsidR="00E7056C">
              <w:rPr>
                <w:noProof/>
                <w:webHidden/>
              </w:rPr>
              <w:tab/>
            </w:r>
            <w:r w:rsidR="00E7056C">
              <w:rPr>
                <w:noProof/>
                <w:webHidden/>
              </w:rPr>
              <w:fldChar w:fldCharType="begin"/>
            </w:r>
            <w:r w:rsidR="00E7056C">
              <w:rPr>
                <w:noProof/>
                <w:webHidden/>
              </w:rPr>
              <w:instrText xml:space="preserve"> PAGEREF _Toc169624178 \h </w:instrText>
            </w:r>
            <w:r w:rsidR="00E7056C">
              <w:rPr>
                <w:noProof/>
                <w:webHidden/>
              </w:rPr>
            </w:r>
            <w:r w:rsidR="00E7056C">
              <w:rPr>
                <w:noProof/>
                <w:webHidden/>
              </w:rPr>
              <w:fldChar w:fldCharType="separate"/>
            </w:r>
            <w:r w:rsidR="00E7056C">
              <w:rPr>
                <w:noProof/>
                <w:webHidden/>
              </w:rPr>
              <w:t>6</w:t>
            </w:r>
            <w:r w:rsidR="00E7056C">
              <w:rPr>
                <w:noProof/>
                <w:webHidden/>
              </w:rPr>
              <w:fldChar w:fldCharType="end"/>
            </w:r>
          </w:hyperlink>
        </w:p>
        <w:p w:rsidR="00E7056C" w:rsidRDefault="002B118D">
          <w:pPr>
            <w:pStyle w:val="TOC1"/>
            <w:tabs>
              <w:tab w:val="right" w:leader="dot" w:pos="9350"/>
            </w:tabs>
            <w:rPr>
              <w:noProof/>
            </w:rPr>
          </w:pPr>
          <w:hyperlink w:anchor="_Toc169624180" w:history="1">
            <w:r w:rsidR="00E7056C" w:rsidRPr="00E66C24">
              <w:rPr>
                <w:rStyle w:val="Hyperlink"/>
                <w:noProof/>
              </w:rPr>
              <w:t>Difference between Investment Bank and Commercial Bank</w:t>
            </w:r>
            <w:r w:rsidR="00E7056C">
              <w:rPr>
                <w:noProof/>
                <w:webHidden/>
              </w:rPr>
              <w:tab/>
            </w:r>
            <w:r w:rsidR="00E7056C">
              <w:rPr>
                <w:noProof/>
                <w:webHidden/>
              </w:rPr>
              <w:fldChar w:fldCharType="begin"/>
            </w:r>
            <w:r w:rsidR="00E7056C">
              <w:rPr>
                <w:noProof/>
                <w:webHidden/>
              </w:rPr>
              <w:instrText xml:space="preserve"> PAGEREF _Toc169624180 \h </w:instrText>
            </w:r>
            <w:r w:rsidR="00E7056C">
              <w:rPr>
                <w:noProof/>
                <w:webHidden/>
              </w:rPr>
            </w:r>
            <w:r w:rsidR="00E7056C">
              <w:rPr>
                <w:noProof/>
                <w:webHidden/>
              </w:rPr>
              <w:fldChar w:fldCharType="separate"/>
            </w:r>
            <w:r w:rsidR="00E7056C">
              <w:rPr>
                <w:noProof/>
                <w:webHidden/>
              </w:rPr>
              <w:t>9</w:t>
            </w:r>
            <w:r w:rsidR="00E7056C">
              <w:rPr>
                <w:noProof/>
                <w:webHidden/>
              </w:rPr>
              <w:fldChar w:fldCharType="end"/>
            </w:r>
          </w:hyperlink>
        </w:p>
        <w:p w:rsidR="00E7056C" w:rsidRDefault="002B118D" w:rsidP="009E3128">
          <w:pPr>
            <w:pStyle w:val="TOC3"/>
            <w:tabs>
              <w:tab w:val="right" w:leader="dot" w:pos="9350"/>
            </w:tabs>
            <w:ind w:left="0"/>
            <w:rPr>
              <w:noProof/>
            </w:rPr>
          </w:pPr>
          <w:hyperlink w:anchor="_Toc169624181" w:history="1">
            <w:r w:rsidR="00E7056C" w:rsidRPr="00E66C24">
              <w:rPr>
                <w:rStyle w:val="Hyperlink"/>
                <w:noProof/>
              </w:rPr>
              <w:t>How Yahoo Finance can be related to Investment banking and Commercial Banking:</w:t>
            </w:r>
            <w:r w:rsidR="00E7056C">
              <w:rPr>
                <w:noProof/>
                <w:webHidden/>
              </w:rPr>
              <w:tab/>
            </w:r>
            <w:r w:rsidR="00E7056C">
              <w:rPr>
                <w:noProof/>
                <w:webHidden/>
              </w:rPr>
              <w:fldChar w:fldCharType="begin"/>
            </w:r>
            <w:r w:rsidR="00E7056C">
              <w:rPr>
                <w:noProof/>
                <w:webHidden/>
              </w:rPr>
              <w:instrText xml:space="preserve"> PAGEREF _Toc169624181 \h </w:instrText>
            </w:r>
            <w:r w:rsidR="00E7056C">
              <w:rPr>
                <w:noProof/>
                <w:webHidden/>
              </w:rPr>
            </w:r>
            <w:r w:rsidR="00E7056C">
              <w:rPr>
                <w:noProof/>
                <w:webHidden/>
              </w:rPr>
              <w:fldChar w:fldCharType="separate"/>
            </w:r>
            <w:r w:rsidR="00E7056C">
              <w:rPr>
                <w:noProof/>
                <w:webHidden/>
              </w:rPr>
              <w:t>10</w:t>
            </w:r>
            <w:r w:rsidR="00E7056C">
              <w:rPr>
                <w:noProof/>
                <w:webHidden/>
              </w:rPr>
              <w:fldChar w:fldCharType="end"/>
            </w:r>
          </w:hyperlink>
        </w:p>
        <w:p w:rsidR="00E7056C" w:rsidRDefault="00E7056C">
          <w:r>
            <w:rPr>
              <w:b/>
              <w:bCs/>
              <w:noProof/>
            </w:rPr>
            <w:fldChar w:fldCharType="end"/>
          </w:r>
        </w:p>
      </w:sdtContent>
    </w:sdt>
    <w:p w:rsidR="00017020" w:rsidRDefault="00017020"/>
    <w:p w:rsidR="00017020" w:rsidRDefault="00017020"/>
    <w:p w:rsidR="00017020" w:rsidRDefault="00017020">
      <w:r>
        <w:br w:type="page"/>
      </w:r>
    </w:p>
    <w:p w:rsidR="009848E0" w:rsidRDefault="00017020" w:rsidP="00017020">
      <w:pPr>
        <w:pStyle w:val="Heading1"/>
        <w:jc w:val="center"/>
      </w:pPr>
      <w:bookmarkStart w:id="46" w:name="_Toc169624177"/>
      <w:r>
        <w:lastRenderedPageBreak/>
        <w:t>Commercial Banking Operations</w:t>
      </w:r>
      <w:bookmarkEnd w:id="46"/>
    </w:p>
    <w:p w:rsidR="004B5ABD" w:rsidRPr="004B5ABD" w:rsidRDefault="004B5ABD" w:rsidP="004B5ABD"/>
    <w:p w:rsidR="00017020" w:rsidRDefault="004B5ABD" w:rsidP="00017020">
      <w:r w:rsidRPr="004B5ABD">
        <w:t>Commercial banking provides customized banking products and services to middle market companies with annual sales ranging between $25 million and $1 billion. Middle market companies often have more complex financial needs than small businesses, and they can benefit from the specialty of a commercial banking partner to help them work toward their financial and operational goals.</w:t>
      </w:r>
    </w:p>
    <w:p w:rsidR="002B4F6D" w:rsidRDefault="002B4F6D" w:rsidP="00017020">
      <w:r>
        <w:t>Services:</w:t>
      </w:r>
    </w:p>
    <w:tbl>
      <w:tblPr>
        <w:tblStyle w:val="TableGrid"/>
        <w:tblW w:w="9482" w:type="dxa"/>
        <w:tblLook w:val="04A0" w:firstRow="1" w:lastRow="0" w:firstColumn="1" w:lastColumn="0" w:noHBand="0" w:noVBand="1"/>
      </w:tblPr>
      <w:tblGrid>
        <w:gridCol w:w="3585"/>
        <w:gridCol w:w="2526"/>
        <w:gridCol w:w="3371"/>
      </w:tblGrid>
      <w:tr w:rsidR="0047135A" w:rsidRPr="0047135A" w:rsidTr="002B4F6D">
        <w:trPr>
          <w:trHeight w:val="324"/>
        </w:trPr>
        <w:tc>
          <w:tcPr>
            <w:tcW w:w="0" w:type="auto"/>
            <w:hideMark/>
          </w:tcPr>
          <w:p w:rsidR="0047135A" w:rsidRPr="0047135A" w:rsidRDefault="0047135A" w:rsidP="0047135A">
            <w:pPr>
              <w:rPr>
                <w:rFonts w:eastAsia="Times New Roman" w:cstheme="minorHAnsi"/>
                <w:color w:val="111111"/>
                <w:spacing w:val="1"/>
                <w:sz w:val="24"/>
                <w:szCs w:val="24"/>
              </w:rPr>
            </w:pPr>
            <w:r w:rsidRPr="0047135A">
              <w:rPr>
                <w:rFonts w:eastAsia="Times New Roman" w:cstheme="minorHAnsi"/>
                <w:b/>
                <w:bCs/>
                <w:color w:val="111111"/>
                <w:spacing w:val="1"/>
                <w:sz w:val="24"/>
                <w:szCs w:val="24"/>
              </w:rPr>
              <w:t>Banking Services</w:t>
            </w:r>
            <w:r w:rsidRPr="0047135A">
              <w:rPr>
                <w:rFonts w:eastAsia="Times New Roman" w:cstheme="minorHAnsi"/>
                <w:color w:val="111111"/>
                <w:spacing w:val="1"/>
                <w:sz w:val="24"/>
                <w:szCs w:val="24"/>
              </w:rPr>
              <w:t> </w:t>
            </w:r>
          </w:p>
        </w:tc>
        <w:tc>
          <w:tcPr>
            <w:tcW w:w="0" w:type="auto"/>
            <w:hideMark/>
          </w:tcPr>
          <w:p w:rsidR="0047135A" w:rsidRPr="0047135A" w:rsidRDefault="0047135A" w:rsidP="0047135A">
            <w:pPr>
              <w:rPr>
                <w:rFonts w:eastAsia="Times New Roman" w:cstheme="minorHAnsi"/>
                <w:color w:val="111111"/>
                <w:spacing w:val="1"/>
                <w:sz w:val="24"/>
                <w:szCs w:val="24"/>
              </w:rPr>
            </w:pPr>
            <w:r w:rsidRPr="0047135A">
              <w:rPr>
                <w:rFonts w:eastAsia="Times New Roman" w:cstheme="minorHAnsi"/>
                <w:b/>
                <w:bCs/>
                <w:color w:val="111111"/>
                <w:spacing w:val="1"/>
                <w:sz w:val="24"/>
                <w:szCs w:val="24"/>
              </w:rPr>
              <w:t>Lending Services</w:t>
            </w:r>
            <w:r w:rsidRPr="0047135A">
              <w:rPr>
                <w:rFonts w:eastAsia="Times New Roman" w:cstheme="minorHAnsi"/>
                <w:color w:val="111111"/>
                <w:spacing w:val="1"/>
                <w:sz w:val="24"/>
                <w:szCs w:val="24"/>
              </w:rPr>
              <w:t> </w:t>
            </w:r>
          </w:p>
        </w:tc>
        <w:tc>
          <w:tcPr>
            <w:tcW w:w="0" w:type="auto"/>
            <w:hideMark/>
          </w:tcPr>
          <w:p w:rsidR="0047135A" w:rsidRPr="0047135A" w:rsidRDefault="0047135A" w:rsidP="0047135A">
            <w:pPr>
              <w:rPr>
                <w:rFonts w:eastAsia="Times New Roman" w:cstheme="minorHAnsi"/>
                <w:color w:val="111111"/>
                <w:spacing w:val="1"/>
                <w:sz w:val="24"/>
                <w:szCs w:val="24"/>
              </w:rPr>
            </w:pPr>
            <w:r w:rsidRPr="0047135A">
              <w:rPr>
                <w:rFonts w:eastAsia="Times New Roman" w:cstheme="minorHAnsi"/>
                <w:b/>
                <w:bCs/>
                <w:color w:val="111111"/>
                <w:spacing w:val="1"/>
                <w:sz w:val="24"/>
                <w:szCs w:val="24"/>
              </w:rPr>
              <w:t>Investment Services</w:t>
            </w:r>
          </w:p>
        </w:tc>
      </w:tr>
      <w:tr w:rsidR="0047135A" w:rsidRPr="0047135A" w:rsidTr="002B4F6D">
        <w:trPr>
          <w:trHeight w:val="324"/>
        </w:trPr>
        <w:tc>
          <w:tcPr>
            <w:tcW w:w="0" w:type="auto"/>
            <w:hideMark/>
          </w:tcPr>
          <w:p w:rsidR="0047135A" w:rsidRPr="0047135A" w:rsidRDefault="0047135A" w:rsidP="0047135A">
            <w:pPr>
              <w:rPr>
                <w:rFonts w:eastAsia="Times New Roman" w:cstheme="minorHAnsi"/>
                <w:spacing w:val="1"/>
                <w:szCs w:val="24"/>
              </w:rPr>
            </w:pPr>
            <w:r w:rsidRPr="002B4F6D">
              <w:rPr>
                <w:rFonts w:eastAsia="Times New Roman" w:cstheme="minorHAnsi"/>
                <w:spacing w:val="1"/>
                <w:szCs w:val="24"/>
              </w:rPr>
              <w:t>Checking and savings accounts</w:t>
            </w:r>
            <w:r w:rsidRPr="0047135A">
              <w:rPr>
                <w:rFonts w:eastAsia="Times New Roman" w:cstheme="minorHAnsi"/>
                <w:spacing w:val="1"/>
                <w:szCs w:val="24"/>
              </w:rPr>
              <w:t> </w:t>
            </w:r>
          </w:p>
        </w:tc>
        <w:tc>
          <w:tcPr>
            <w:tcW w:w="0" w:type="auto"/>
            <w:hideMark/>
          </w:tcPr>
          <w:p w:rsidR="0047135A" w:rsidRPr="0047135A" w:rsidRDefault="0047135A" w:rsidP="0047135A">
            <w:pPr>
              <w:rPr>
                <w:rFonts w:eastAsia="Times New Roman" w:cstheme="minorHAnsi"/>
                <w:spacing w:val="1"/>
                <w:szCs w:val="24"/>
              </w:rPr>
            </w:pPr>
            <w:r w:rsidRPr="0047135A">
              <w:rPr>
                <w:rFonts w:eastAsia="Times New Roman" w:cstheme="minorHAnsi"/>
                <w:spacing w:val="1"/>
                <w:szCs w:val="24"/>
              </w:rPr>
              <w:t>Loans and </w:t>
            </w:r>
            <w:hyperlink r:id="rId8" w:history="1">
              <w:r w:rsidRPr="002B4F6D">
                <w:rPr>
                  <w:rFonts w:eastAsia="Times New Roman" w:cstheme="minorHAnsi"/>
                  <w:spacing w:val="1"/>
                  <w:szCs w:val="24"/>
                </w:rPr>
                <w:t>mortgages</w:t>
              </w:r>
            </w:hyperlink>
          </w:p>
        </w:tc>
        <w:tc>
          <w:tcPr>
            <w:tcW w:w="0" w:type="auto"/>
            <w:hideMark/>
          </w:tcPr>
          <w:p w:rsidR="0047135A" w:rsidRPr="0047135A" w:rsidRDefault="002B118D" w:rsidP="0047135A">
            <w:pPr>
              <w:rPr>
                <w:rFonts w:eastAsia="Times New Roman" w:cstheme="minorHAnsi"/>
                <w:spacing w:val="1"/>
                <w:szCs w:val="24"/>
              </w:rPr>
            </w:pPr>
            <w:hyperlink r:id="rId9" w:history="1">
              <w:r w:rsidR="0047135A" w:rsidRPr="002B4F6D">
                <w:rPr>
                  <w:rFonts w:eastAsia="Times New Roman" w:cstheme="minorHAnsi"/>
                  <w:spacing w:val="1"/>
                  <w:szCs w:val="24"/>
                </w:rPr>
                <w:t>Certificates of deposit (CDs)</w:t>
              </w:r>
            </w:hyperlink>
            <w:r w:rsidR="0047135A" w:rsidRPr="0047135A">
              <w:rPr>
                <w:rFonts w:eastAsia="Times New Roman" w:cstheme="minorHAnsi"/>
                <w:spacing w:val="1"/>
                <w:szCs w:val="24"/>
              </w:rPr>
              <w:t> </w:t>
            </w:r>
          </w:p>
        </w:tc>
      </w:tr>
      <w:tr w:rsidR="0047135A" w:rsidRPr="0047135A" w:rsidTr="002B4F6D">
        <w:trPr>
          <w:trHeight w:val="304"/>
        </w:trPr>
        <w:tc>
          <w:tcPr>
            <w:tcW w:w="0" w:type="auto"/>
            <w:hideMark/>
          </w:tcPr>
          <w:p w:rsidR="0047135A" w:rsidRPr="0047135A" w:rsidRDefault="0047135A" w:rsidP="0047135A">
            <w:pPr>
              <w:rPr>
                <w:rFonts w:eastAsia="Times New Roman" w:cstheme="minorHAnsi"/>
                <w:spacing w:val="1"/>
                <w:szCs w:val="24"/>
              </w:rPr>
            </w:pPr>
            <w:r w:rsidRPr="0047135A">
              <w:rPr>
                <w:rFonts w:eastAsia="Times New Roman" w:cstheme="minorHAnsi"/>
                <w:spacing w:val="1"/>
                <w:szCs w:val="24"/>
              </w:rPr>
              <w:t>Debit card transactions</w:t>
            </w:r>
          </w:p>
        </w:tc>
        <w:tc>
          <w:tcPr>
            <w:tcW w:w="0" w:type="auto"/>
            <w:hideMark/>
          </w:tcPr>
          <w:p w:rsidR="0047135A" w:rsidRPr="0047135A" w:rsidRDefault="0047135A" w:rsidP="0047135A">
            <w:pPr>
              <w:rPr>
                <w:rFonts w:eastAsia="Times New Roman" w:cstheme="minorHAnsi"/>
                <w:spacing w:val="1"/>
                <w:szCs w:val="24"/>
              </w:rPr>
            </w:pPr>
            <w:r w:rsidRPr="0047135A">
              <w:rPr>
                <w:rFonts w:eastAsia="Times New Roman" w:cstheme="minorHAnsi"/>
                <w:spacing w:val="1"/>
                <w:szCs w:val="24"/>
              </w:rPr>
              <w:t>Lines of credit</w:t>
            </w:r>
          </w:p>
        </w:tc>
        <w:tc>
          <w:tcPr>
            <w:tcW w:w="0" w:type="auto"/>
            <w:hideMark/>
          </w:tcPr>
          <w:p w:rsidR="0047135A" w:rsidRPr="0047135A" w:rsidRDefault="0047135A" w:rsidP="0047135A">
            <w:pPr>
              <w:rPr>
                <w:rFonts w:eastAsia="Times New Roman" w:cstheme="minorHAnsi"/>
                <w:spacing w:val="1"/>
                <w:szCs w:val="24"/>
              </w:rPr>
            </w:pPr>
            <w:r w:rsidRPr="0047135A">
              <w:rPr>
                <w:rFonts w:eastAsia="Times New Roman" w:cstheme="minorHAnsi"/>
                <w:spacing w:val="1"/>
                <w:szCs w:val="24"/>
              </w:rPr>
              <w:t>Retirement account services</w:t>
            </w:r>
          </w:p>
        </w:tc>
      </w:tr>
      <w:tr w:rsidR="0047135A" w:rsidRPr="0047135A" w:rsidTr="002B4F6D">
        <w:trPr>
          <w:trHeight w:val="324"/>
        </w:trPr>
        <w:tc>
          <w:tcPr>
            <w:tcW w:w="0" w:type="auto"/>
            <w:hideMark/>
          </w:tcPr>
          <w:p w:rsidR="0047135A" w:rsidRPr="0047135A" w:rsidRDefault="0047135A" w:rsidP="0047135A">
            <w:pPr>
              <w:rPr>
                <w:rFonts w:eastAsia="Times New Roman" w:cstheme="minorHAnsi"/>
                <w:spacing w:val="1"/>
                <w:szCs w:val="24"/>
              </w:rPr>
            </w:pPr>
            <w:r w:rsidRPr="002B4F6D">
              <w:rPr>
                <w:rFonts w:eastAsia="Times New Roman" w:cstheme="minorHAnsi"/>
                <w:spacing w:val="1"/>
                <w:szCs w:val="24"/>
              </w:rPr>
              <w:t>Safe deposit boxes</w:t>
            </w:r>
          </w:p>
        </w:tc>
        <w:tc>
          <w:tcPr>
            <w:tcW w:w="0" w:type="auto"/>
            <w:hideMark/>
          </w:tcPr>
          <w:p w:rsidR="0047135A" w:rsidRPr="0047135A" w:rsidRDefault="0047135A" w:rsidP="0047135A">
            <w:pPr>
              <w:rPr>
                <w:rFonts w:eastAsia="Times New Roman" w:cstheme="minorHAnsi"/>
                <w:spacing w:val="1"/>
                <w:szCs w:val="24"/>
              </w:rPr>
            </w:pPr>
            <w:r w:rsidRPr="0047135A">
              <w:rPr>
                <w:rFonts w:eastAsia="Times New Roman" w:cstheme="minorHAnsi"/>
                <w:spacing w:val="1"/>
                <w:szCs w:val="24"/>
              </w:rPr>
              <w:t>Letters of Credit</w:t>
            </w:r>
          </w:p>
        </w:tc>
        <w:tc>
          <w:tcPr>
            <w:tcW w:w="0" w:type="auto"/>
            <w:hideMark/>
          </w:tcPr>
          <w:p w:rsidR="0047135A" w:rsidRPr="0047135A" w:rsidRDefault="0047135A" w:rsidP="0047135A">
            <w:pPr>
              <w:rPr>
                <w:rFonts w:eastAsia="Times New Roman" w:cstheme="minorHAnsi"/>
                <w:spacing w:val="1"/>
                <w:szCs w:val="24"/>
              </w:rPr>
            </w:pPr>
            <w:r w:rsidRPr="0047135A">
              <w:rPr>
                <w:rFonts w:eastAsia="Times New Roman" w:cstheme="minorHAnsi"/>
                <w:spacing w:val="1"/>
                <w:szCs w:val="24"/>
              </w:rPr>
              <w:t>Investment portfolio services</w:t>
            </w:r>
          </w:p>
        </w:tc>
      </w:tr>
    </w:tbl>
    <w:p w:rsidR="004B5ABD" w:rsidRDefault="004B5ABD" w:rsidP="00017020"/>
    <w:p w:rsidR="002B4F6D" w:rsidRPr="002B4F6D" w:rsidRDefault="002B4F6D" w:rsidP="002B4F6D">
      <w:r w:rsidRPr="002B4F6D">
        <w:t>The bank profits by the spread between interest rates:</w:t>
      </w:r>
    </w:p>
    <w:p w:rsidR="002B4F6D" w:rsidRPr="002B4F6D" w:rsidRDefault="002B4F6D" w:rsidP="002B4F6D">
      <w:pPr>
        <w:numPr>
          <w:ilvl w:val="0"/>
          <w:numId w:val="1"/>
        </w:numPr>
      </w:pPr>
      <w:r w:rsidRPr="002B4F6D">
        <w:rPr>
          <w:b/>
          <w:bCs/>
        </w:rPr>
        <w:t>Interest on Loans:</w:t>
      </w:r>
      <w:r w:rsidRPr="002B4F6D">
        <w:t xml:space="preserve"> Charged to businesses borrowing money.</w:t>
      </w:r>
    </w:p>
    <w:p w:rsidR="002B4F6D" w:rsidRPr="002B4F6D" w:rsidRDefault="002B4F6D" w:rsidP="002B4F6D">
      <w:pPr>
        <w:numPr>
          <w:ilvl w:val="0"/>
          <w:numId w:val="1"/>
        </w:numPr>
      </w:pPr>
      <w:r w:rsidRPr="002B4F6D">
        <w:rPr>
          <w:b/>
          <w:bCs/>
        </w:rPr>
        <w:t>Interest on Deposits:</w:t>
      </w:r>
      <w:r w:rsidRPr="002B4F6D">
        <w:t xml:space="preserve"> Paid to businesses for keeping their money in the bank (typically lower than loan rates).</w:t>
      </w:r>
    </w:p>
    <w:p w:rsidR="002B4F6D" w:rsidRDefault="002B4F6D" w:rsidP="00017020">
      <w:r>
        <w:rPr>
          <w:rStyle w:val="Strong"/>
        </w:rPr>
        <w:t>Regulations:</w:t>
      </w:r>
      <w:r>
        <w:t xml:space="preserve"> Commercial banks in the US are heavily regulated by federal agencies like the Office of the Comptroller of the Currency (OCC) and the Federal Deposit Insurance Corporation (FDIC)</w:t>
      </w:r>
      <w:r w:rsidR="008F3AA2">
        <w:t xml:space="preserve"> (</w:t>
      </w:r>
      <w:r w:rsidR="008F3AA2" w:rsidRPr="002B4F6D">
        <w:t>up to $250,000</w:t>
      </w:r>
      <w:r w:rsidR="008F3AA2">
        <w:t>)</w:t>
      </w:r>
      <w:r>
        <w:t xml:space="preserve">. These regulations ensure the safety and soundness of the banking system and protect depositors' money. </w:t>
      </w:r>
    </w:p>
    <w:p w:rsidR="008F3AA2" w:rsidRPr="008F3AA2" w:rsidRDefault="008F3AA2" w:rsidP="008F3AA2">
      <w:pPr>
        <w:rPr>
          <w:b/>
          <w:bCs/>
        </w:rPr>
      </w:pPr>
      <w:r w:rsidRPr="008F3AA2">
        <w:rPr>
          <w:b/>
          <w:bCs/>
        </w:rPr>
        <w:t>Examples of Commercial Banks</w:t>
      </w:r>
    </w:p>
    <w:p w:rsidR="008F3AA2" w:rsidRDefault="008F3AA2" w:rsidP="008F3AA2">
      <w:pPr>
        <w:pStyle w:val="ListParagraph"/>
        <w:numPr>
          <w:ilvl w:val="0"/>
          <w:numId w:val="3"/>
        </w:numPr>
      </w:pPr>
      <w:r>
        <w:t>Chase Bank is the commercial banking unit of JPMorgan Chase (JPM). Headquartered in New York City, Chase Bank reported more than $3.39 trillion in assets as of December 2023.</w:t>
      </w:r>
    </w:p>
    <w:p w:rsidR="008F3AA2" w:rsidRDefault="008F3AA2" w:rsidP="008F3AA2">
      <w:pPr>
        <w:pStyle w:val="ListParagraph"/>
        <w:numPr>
          <w:ilvl w:val="0"/>
          <w:numId w:val="3"/>
        </w:numPr>
      </w:pPr>
      <w:r>
        <w:t>Bank of America (BAC) is the second-largest U.S. bank, with more than $2.54 trillion in assets and 6 million customers, including both retail clients and small and midsize businesses.</w:t>
      </w:r>
    </w:p>
    <w:p w:rsidR="0026193B" w:rsidRDefault="008F3AA2" w:rsidP="008F3AA2">
      <w:pPr>
        <w:pStyle w:val="ListParagraph"/>
        <w:numPr>
          <w:ilvl w:val="0"/>
          <w:numId w:val="3"/>
        </w:numPr>
      </w:pPr>
      <w:r w:rsidRPr="008F3AA2">
        <w:t>Ally Bank (ALLY) is one of the major online commercial banks in the United States. The bank is headquartered in Detroit and has $196 billion in assets as of December 2023.</w:t>
      </w:r>
    </w:p>
    <w:p w:rsidR="00CC4FF6" w:rsidRPr="00CC4FF6" w:rsidRDefault="00CC4FF6" w:rsidP="00CC4FF6">
      <w:pPr>
        <w:rPr>
          <w:b/>
          <w:bCs/>
        </w:rPr>
      </w:pPr>
      <w:r w:rsidRPr="00CC4FF6">
        <w:rPr>
          <w:b/>
          <w:bCs/>
        </w:rPr>
        <w:t>How Commercial Banks Make Money</w:t>
      </w:r>
    </w:p>
    <w:p w:rsidR="00CC4FF6" w:rsidRPr="00CC4FF6" w:rsidRDefault="00CC4FF6" w:rsidP="00CC4FF6">
      <w:pPr>
        <w:numPr>
          <w:ilvl w:val="0"/>
          <w:numId w:val="4"/>
        </w:numPr>
      </w:pPr>
      <w:r w:rsidRPr="00CC4FF6">
        <w:rPr>
          <w:b/>
          <w:bCs/>
        </w:rPr>
        <w:t>Banking Fees and Interest on Loans or Credit</w:t>
      </w:r>
      <w:r w:rsidRPr="00CC4FF6">
        <w:t>:</w:t>
      </w:r>
    </w:p>
    <w:p w:rsidR="00CC4FF6" w:rsidRDefault="00CC4FF6" w:rsidP="00CC4FF6">
      <w:pPr>
        <w:numPr>
          <w:ilvl w:val="1"/>
          <w:numId w:val="4"/>
        </w:numPr>
      </w:pPr>
      <w:r w:rsidRPr="00CC4FF6">
        <w:rPr>
          <w:b/>
          <w:bCs/>
        </w:rPr>
        <w:t>Fees</w:t>
      </w:r>
      <w:r w:rsidRPr="00CC4FF6">
        <w:t>: Charges for services like checking accounts, wire transfers, and ATM usage.</w:t>
      </w:r>
      <w:r>
        <w:t xml:space="preserve"> </w:t>
      </w:r>
    </w:p>
    <w:p w:rsidR="00CC4FF6" w:rsidRPr="00CC4FF6" w:rsidRDefault="00CC4FF6" w:rsidP="00CC4FF6">
      <w:pPr>
        <w:ind w:left="1440"/>
      </w:pPr>
      <w:r>
        <w:t>Example: JPMorgan Chase charges fees for various banking services. For instance, their Chase Total Checking account has a monthly fee of $12, which can be waived under certain conditions.</w:t>
      </w:r>
    </w:p>
    <w:p w:rsidR="00CC4FF6" w:rsidRDefault="00CC4FF6" w:rsidP="00CC4FF6">
      <w:pPr>
        <w:numPr>
          <w:ilvl w:val="1"/>
          <w:numId w:val="4"/>
        </w:numPr>
      </w:pPr>
      <w:r w:rsidRPr="00CC4FF6">
        <w:rPr>
          <w:b/>
          <w:bCs/>
        </w:rPr>
        <w:lastRenderedPageBreak/>
        <w:t>Interest on Loans</w:t>
      </w:r>
      <w:r w:rsidRPr="00CC4FF6">
        <w:t>: Banks earn money from interest on loans and lines of credit provided to customers. Interest rates are influenced by factors such as credit history, income, loan amount, and the prime interest rate.</w:t>
      </w:r>
      <w:r>
        <w:t xml:space="preserve"> </w:t>
      </w:r>
    </w:p>
    <w:p w:rsidR="00CC4FF6" w:rsidRPr="00CC4FF6" w:rsidRDefault="00CC4FF6" w:rsidP="00CC4FF6">
      <w:pPr>
        <w:ind w:left="1440"/>
      </w:pPr>
      <w:r>
        <w:t>Example: As of 2023 annual report, JPMorgan Chase reported significant income from interest on loans. The average interest rate on consumer loans, such as personal loans and credit cards, was around 14%.</w:t>
      </w:r>
    </w:p>
    <w:p w:rsidR="00CC4FF6" w:rsidRPr="00CC4FF6" w:rsidRDefault="00CC4FF6" w:rsidP="00CC4FF6">
      <w:pPr>
        <w:numPr>
          <w:ilvl w:val="0"/>
          <w:numId w:val="4"/>
        </w:numPr>
      </w:pPr>
      <w:r w:rsidRPr="00CC4FF6">
        <w:rPr>
          <w:b/>
          <w:bCs/>
        </w:rPr>
        <w:t>Mortgage Lending</w:t>
      </w:r>
      <w:r w:rsidRPr="00CC4FF6">
        <w:t>:</w:t>
      </w:r>
    </w:p>
    <w:p w:rsidR="00CC4FF6" w:rsidRDefault="00CC4FF6" w:rsidP="00CC4FF6">
      <w:pPr>
        <w:numPr>
          <w:ilvl w:val="1"/>
          <w:numId w:val="4"/>
        </w:numPr>
      </w:pPr>
      <w:r w:rsidRPr="00CC4FF6">
        <w:t>Commercial banks provide mortgage loans, where they earn interest based on the loan term, amount, borrower's credit history, and current prime rates.</w:t>
      </w:r>
      <w:r>
        <w:t xml:space="preserve"> </w:t>
      </w:r>
    </w:p>
    <w:p w:rsidR="00CC4FF6" w:rsidRPr="00CC4FF6" w:rsidRDefault="00CC4FF6" w:rsidP="00CC4FF6">
      <w:pPr>
        <w:ind w:left="1440"/>
      </w:pPr>
      <w:r>
        <w:t>Example: JPMorgan Chase provides a wide range of mortgage products. In 2023, they issued billions in mortgage loans, earning interest based on factors like loan term, amount, and borrower creditworthiness. For example, a typical 30-year fixed-rate mortgage offered an interest rate of about 6.5% depending on the borrower’s credit profile.</w:t>
      </w:r>
    </w:p>
    <w:p w:rsidR="00CC4FF6" w:rsidRPr="00CC4FF6" w:rsidRDefault="00CC4FF6" w:rsidP="00CC4FF6">
      <w:pPr>
        <w:numPr>
          <w:ilvl w:val="0"/>
          <w:numId w:val="4"/>
        </w:numPr>
      </w:pPr>
      <w:r w:rsidRPr="00CC4FF6">
        <w:rPr>
          <w:b/>
          <w:bCs/>
        </w:rPr>
        <w:t>Credit Cards and Lines of Credit</w:t>
      </w:r>
      <w:r w:rsidRPr="00CC4FF6">
        <w:t>:</w:t>
      </w:r>
    </w:p>
    <w:p w:rsidR="00CC4FF6" w:rsidRDefault="00CC4FF6" w:rsidP="00CC4FF6">
      <w:pPr>
        <w:numPr>
          <w:ilvl w:val="1"/>
          <w:numId w:val="4"/>
        </w:numPr>
      </w:pPr>
      <w:r w:rsidRPr="00CC4FF6">
        <w:t>Banks offer credit cards and lines of credit, earning money from annual fees and interest on outstanding balances, which are often higher than other loans, typically ranging from 10% to 40%.</w:t>
      </w:r>
    </w:p>
    <w:p w:rsidR="00CC4FF6" w:rsidRPr="00CC4FF6" w:rsidRDefault="00CC4FF6" w:rsidP="00CC4FF6">
      <w:pPr>
        <w:ind w:left="1440"/>
      </w:pPr>
      <w:r>
        <w:t xml:space="preserve">Example: </w:t>
      </w:r>
      <w:r w:rsidRPr="00CC4FF6">
        <w:t>JPMorgan Chase offers various credit cards, including the popular Chase Sapphire Preferred® card. They earn money from annual fees ($95 for Sapphire Preferred) and interest on outstanding balances, which can range from 16% to 24% APR depending on the cardholder's credit score and payment history.</w:t>
      </w:r>
    </w:p>
    <w:p w:rsidR="00CC4FF6" w:rsidRPr="00CC4FF6" w:rsidRDefault="00CC4FF6" w:rsidP="00CC4FF6">
      <w:pPr>
        <w:numPr>
          <w:ilvl w:val="0"/>
          <w:numId w:val="4"/>
        </w:numPr>
      </w:pPr>
      <w:r w:rsidRPr="00CC4FF6">
        <w:rPr>
          <w:b/>
          <w:bCs/>
        </w:rPr>
        <w:t>Bond Services</w:t>
      </w:r>
      <w:r w:rsidRPr="00CC4FF6">
        <w:t>:</w:t>
      </w:r>
    </w:p>
    <w:p w:rsidR="00CC4FF6" w:rsidRDefault="00CC4FF6" w:rsidP="00CC4FF6">
      <w:pPr>
        <w:numPr>
          <w:ilvl w:val="1"/>
          <w:numId w:val="4"/>
        </w:numPr>
      </w:pPr>
      <w:r w:rsidRPr="00CC4FF6">
        <w:t xml:space="preserve">Acting as intermediaries, commercial banks facilitate the purchase of government bonds, </w:t>
      </w:r>
      <w:r>
        <w:t xml:space="preserve">earning fees for their services. </w:t>
      </w:r>
    </w:p>
    <w:p w:rsidR="00CC4FF6" w:rsidRPr="00CC4FF6" w:rsidRDefault="00CC4FF6" w:rsidP="00CC4FF6">
      <w:pPr>
        <w:ind w:left="1440"/>
      </w:pPr>
      <w:r>
        <w:t xml:space="preserve">Example: </w:t>
      </w:r>
      <w:r w:rsidRPr="00CC4FF6">
        <w:t>JPMorgan Chase acts as an intermediary in the purchase of government and corporate bonds. For example, they help clients buy U.S. Treasury bonds, earning fees and commissions for these services. In 2023, the bank's investment banking division reported significant revenue from bond underwriting and trading activities.</w:t>
      </w:r>
    </w:p>
    <w:p w:rsidR="00CC4FF6" w:rsidRPr="00CC4FF6" w:rsidRDefault="00CC4FF6" w:rsidP="00CC4FF6">
      <w:pPr>
        <w:numPr>
          <w:ilvl w:val="0"/>
          <w:numId w:val="4"/>
        </w:numPr>
      </w:pPr>
      <w:r w:rsidRPr="00CC4FF6">
        <w:rPr>
          <w:b/>
          <w:bCs/>
        </w:rPr>
        <w:t>Lockbox Services</w:t>
      </w:r>
      <w:r w:rsidRPr="00CC4FF6">
        <w:t>:</w:t>
      </w:r>
    </w:p>
    <w:p w:rsidR="00CC4FF6" w:rsidRDefault="00CC4FF6" w:rsidP="00CC4FF6">
      <w:pPr>
        <w:numPr>
          <w:ilvl w:val="1"/>
          <w:numId w:val="4"/>
        </w:numPr>
      </w:pPr>
      <w:r w:rsidRPr="00CC4FF6">
        <w:t>Providing secure storage for valuables in lockboxes, charging fees based on the box size and insurance costs.</w:t>
      </w:r>
    </w:p>
    <w:p w:rsidR="00CC4FF6" w:rsidRPr="00CC4FF6" w:rsidRDefault="00CC4FF6" w:rsidP="00CC4FF6">
      <w:pPr>
        <w:ind w:left="1440"/>
      </w:pPr>
      <w:r>
        <w:lastRenderedPageBreak/>
        <w:t xml:space="preserve">Example: </w:t>
      </w:r>
      <w:r w:rsidRPr="00CC4FF6">
        <w:t>JPMorgan Chase provides lockbox services to businesses for secure payment processing. Businesses use these services to speed up the collection and processing of payments, and the bank charges fees for these services, contributing to their cash management revenue.</w:t>
      </w:r>
    </w:p>
    <w:p w:rsidR="00CC4FF6" w:rsidRPr="00CC4FF6" w:rsidRDefault="00CC4FF6" w:rsidP="00CC4FF6">
      <w:pPr>
        <w:numPr>
          <w:ilvl w:val="0"/>
          <w:numId w:val="4"/>
        </w:numPr>
      </w:pPr>
      <w:r w:rsidRPr="00CC4FF6">
        <w:rPr>
          <w:b/>
          <w:bCs/>
        </w:rPr>
        <w:t>Payment Processing Services</w:t>
      </w:r>
      <w:r w:rsidRPr="00CC4FF6">
        <w:t>:</w:t>
      </w:r>
    </w:p>
    <w:p w:rsidR="00CC4FF6" w:rsidRDefault="00CC4FF6" w:rsidP="00CC4FF6">
      <w:pPr>
        <w:numPr>
          <w:ilvl w:val="1"/>
          <w:numId w:val="4"/>
        </w:numPr>
      </w:pPr>
      <w:r w:rsidRPr="00CC4FF6">
        <w:t>Setting up point-of-sale systems and processing credit card transactions for businesses, earning transaction fees and helping reduce fraud.</w:t>
      </w:r>
    </w:p>
    <w:p w:rsidR="00CC4FF6" w:rsidRPr="00CC4FF6" w:rsidRDefault="00CC4FF6" w:rsidP="00CC4FF6">
      <w:pPr>
        <w:ind w:left="1440"/>
      </w:pPr>
      <w:r>
        <w:t xml:space="preserve">Example: </w:t>
      </w:r>
      <w:r w:rsidRPr="00CC4FF6">
        <w:t>JPMorgan Chase offers payment processing solutions for merchants, such as point-of-sale systems and credit card transaction processing. For instance, a small business might use Chase Merchant Services to handle credit card payments, with the bank earning a percentage of each transaction (typically 2%-3%).</w:t>
      </w:r>
    </w:p>
    <w:p w:rsidR="00CC4FF6" w:rsidRPr="00CC4FF6" w:rsidRDefault="00CC4FF6" w:rsidP="00CC4FF6">
      <w:pPr>
        <w:numPr>
          <w:ilvl w:val="0"/>
          <w:numId w:val="4"/>
        </w:numPr>
      </w:pPr>
      <w:r w:rsidRPr="00CC4FF6">
        <w:rPr>
          <w:b/>
          <w:bCs/>
        </w:rPr>
        <w:t>Foreign Exchange Services</w:t>
      </w:r>
      <w:r w:rsidRPr="00CC4FF6">
        <w:t>:</w:t>
      </w:r>
    </w:p>
    <w:p w:rsidR="00CC4FF6" w:rsidRDefault="00CC4FF6" w:rsidP="00CC4FF6">
      <w:pPr>
        <w:numPr>
          <w:ilvl w:val="1"/>
          <w:numId w:val="4"/>
        </w:numPr>
      </w:pPr>
      <w:r w:rsidRPr="00CC4FF6">
        <w:t>Exchanging foreign currencies and providing foreign payment services for businesses involved in international trade, earning from exchange rate spreads and service fees.</w:t>
      </w:r>
    </w:p>
    <w:p w:rsidR="00CC4FF6" w:rsidRPr="00CC4FF6" w:rsidRDefault="00CC4FF6" w:rsidP="00CC4FF6">
      <w:pPr>
        <w:numPr>
          <w:ilvl w:val="1"/>
          <w:numId w:val="4"/>
        </w:numPr>
      </w:pPr>
      <w:r>
        <w:t xml:space="preserve">Example: </w:t>
      </w:r>
      <w:r w:rsidRPr="00CC4FF6">
        <w:t>JPMorgan Chase provides foreign exchange services, allowing customers to exchange currencies and facilitating international business transactions. They earn money from the spread between buy and sell rates and service fees. For example, if a customer exchanges USD to EUR, the bank profits from the exchange rate margin.</w:t>
      </w:r>
    </w:p>
    <w:p w:rsidR="0026193B" w:rsidRPr="0026193B" w:rsidRDefault="0026193B" w:rsidP="0026193B"/>
    <w:p w:rsidR="00B10CBE" w:rsidRDefault="00B10CBE" w:rsidP="0026193B"/>
    <w:p w:rsidR="00B10CBE" w:rsidRDefault="00B10CBE">
      <w:r>
        <w:br w:type="page"/>
      </w:r>
    </w:p>
    <w:p w:rsidR="0026193B" w:rsidRDefault="00B10CBE" w:rsidP="00B10CBE">
      <w:pPr>
        <w:pStyle w:val="Heading1"/>
        <w:jc w:val="center"/>
      </w:pPr>
      <w:bookmarkStart w:id="47" w:name="_Toc169624178"/>
      <w:r>
        <w:lastRenderedPageBreak/>
        <w:t>Investment Banking Operations</w:t>
      </w:r>
      <w:bookmarkEnd w:id="47"/>
    </w:p>
    <w:p w:rsidR="00B10CBE" w:rsidRPr="00B10CBE" w:rsidRDefault="00B10CBE" w:rsidP="00B10CBE"/>
    <w:p w:rsidR="00B10CBE" w:rsidRDefault="00B10CBE" w:rsidP="00B10CBE">
      <w:r w:rsidRPr="00B10CBE">
        <w:t>Investment banking is a type of banking that organizes large, complex financial transactions such as mergers or initial public offering (IPO) underwriting. These banks may raise money for companies in a variety of ways, including underwriting the issuance of new securities for a corporation, municipality, or other institution. They may manage a corporation's IPO. Investment banks also provide advice in mergers, acquisitions, and reorganizations.</w:t>
      </w:r>
    </w:p>
    <w:p w:rsidR="00B10CBE" w:rsidRDefault="00B10CBE" w:rsidP="00B10CBE">
      <w:r w:rsidRPr="00B10CBE">
        <w:t>Investment banks were legally separated from other types of commercial banks in the United States from 1933 to 1999, when the Glass-</w:t>
      </w:r>
      <w:proofErr w:type="spellStart"/>
      <w:r w:rsidRPr="00B10CBE">
        <w:t>Steagall</w:t>
      </w:r>
      <w:proofErr w:type="spellEnd"/>
      <w:r w:rsidRPr="00B10CBE">
        <w:t xml:space="preserve"> Act that segregated them was repealed.</w:t>
      </w:r>
    </w:p>
    <w:p w:rsidR="00B10CBE" w:rsidRDefault="00B10CBE" w:rsidP="00B10CBE">
      <w:r w:rsidRPr="00B10CBE">
        <w:t>Essentially, investment banks serve as middlemen between a company and investors when the company wants to issue stock or bonds. The investment bank assists with pricing financial instruments to maximize revenue and with navigating regulatory requirements.</w:t>
      </w:r>
    </w:p>
    <w:p w:rsidR="00697F6D" w:rsidRPr="00697F6D" w:rsidRDefault="00697F6D" w:rsidP="00697F6D">
      <w:r w:rsidRPr="00697F6D">
        <w:t>Investment banks can be categorized into four types based on their size, client base, and services offered:</w:t>
      </w:r>
    </w:p>
    <w:p w:rsidR="00697F6D" w:rsidRPr="00697F6D" w:rsidRDefault="00697F6D" w:rsidP="00697F6D">
      <w:pPr>
        <w:numPr>
          <w:ilvl w:val="0"/>
          <w:numId w:val="21"/>
        </w:numPr>
      </w:pPr>
      <w:r w:rsidRPr="00697F6D">
        <w:rPr>
          <w:b/>
          <w:bCs/>
        </w:rPr>
        <w:t>Bulge Bracket</w:t>
      </w:r>
      <w:r w:rsidRPr="00697F6D">
        <w:t>: Largest, global operations, full-service.</w:t>
      </w:r>
    </w:p>
    <w:p w:rsidR="00697F6D" w:rsidRPr="00697F6D" w:rsidRDefault="00697F6D" w:rsidP="00697F6D">
      <w:pPr>
        <w:numPr>
          <w:ilvl w:val="0"/>
          <w:numId w:val="21"/>
        </w:numPr>
      </w:pPr>
      <w:r w:rsidRPr="00697F6D">
        <w:rPr>
          <w:b/>
          <w:bCs/>
        </w:rPr>
        <w:t>Middle Market</w:t>
      </w:r>
      <w:r w:rsidRPr="00697F6D">
        <w:t>: Mid-sized, offering comprehensive services but on a smaller scale.</w:t>
      </w:r>
    </w:p>
    <w:p w:rsidR="00697F6D" w:rsidRPr="00697F6D" w:rsidRDefault="00697F6D" w:rsidP="00697F6D">
      <w:pPr>
        <w:numPr>
          <w:ilvl w:val="0"/>
          <w:numId w:val="21"/>
        </w:numPr>
      </w:pPr>
      <w:r w:rsidRPr="00697F6D">
        <w:rPr>
          <w:b/>
          <w:bCs/>
        </w:rPr>
        <w:t>Regional Boutique</w:t>
      </w:r>
      <w:r w:rsidRPr="00697F6D">
        <w:t>: Smallest, specialized services in specific regions.</w:t>
      </w:r>
    </w:p>
    <w:p w:rsidR="00697F6D" w:rsidRPr="00697F6D" w:rsidRDefault="00697F6D" w:rsidP="00697F6D">
      <w:pPr>
        <w:numPr>
          <w:ilvl w:val="0"/>
          <w:numId w:val="21"/>
        </w:numPr>
      </w:pPr>
      <w:r w:rsidRPr="00697F6D">
        <w:rPr>
          <w:b/>
          <w:bCs/>
        </w:rPr>
        <w:t>Elite Boutique</w:t>
      </w:r>
      <w:r w:rsidRPr="00697F6D">
        <w:t>: Focused on high-end, large transactions with a limited service spectrum.</w:t>
      </w:r>
    </w:p>
    <w:p w:rsidR="00697F6D" w:rsidRDefault="00697F6D" w:rsidP="00B10CBE"/>
    <w:p w:rsidR="00B10CBE" w:rsidRPr="00B10CBE" w:rsidRDefault="00B10CBE" w:rsidP="00B10CBE">
      <w:pPr>
        <w:rPr>
          <w:b/>
          <w:bCs/>
        </w:rPr>
      </w:pPr>
      <w:r w:rsidRPr="00B10CBE">
        <w:rPr>
          <w:b/>
          <w:bCs/>
        </w:rPr>
        <w:t>How Investment Banks Operate</w:t>
      </w:r>
      <w:r>
        <w:rPr>
          <w:b/>
          <w:bCs/>
        </w:rPr>
        <w:t>:</w:t>
      </w:r>
    </w:p>
    <w:p w:rsidR="00B10CBE" w:rsidRPr="00B10CBE" w:rsidRDefault="00B10CBE" w:rsidP="00B10CBE">
      <w:pPr>
        <w:numPr>
          <w:ilvl w:val="0"/>
          <w:numId w:val="10"/>
        </w:numPr>
      </w:pPr>
      <w:r w:rsidRPr="00B10CBE">
        <w:rPr>
          <w:b/>
          <w:bCs/>
        </w:rPr>
        <w:t>Underwriting and Issuing Securities</w:t>
      </w:r>
      <w:r w:rsidRPr="00B10CBE">
        <w:t>:</w:t>
      </w:r>
    </w:p>
    <w:p w:rsidR="009E67B7" w:rsidRPr="00B10CBE" w:rsidRDefault="00B10CBE" w:rsidP="009E67B7">
      <w:pPr>
        <w:numPr>
          <w:ilvl w:val="1"/>
          <w:numId w:val="10"/>
        </w:numPr>
      </w:pPr>
      <w:r w:rsidRPr="00B10CBE">
        <w:rPr>
          <w:b/>
          <w:bCs/>
        </w:rPr>
        <w:t>Equity Offerings</w:t>
      </w:r>
      <w:r w:rsidRPr="00B10CBE">
        <w:t>: Investment banks help companies raise capital by issuing stocks (IPOs and follow-on offerings).</w:t>
      </w:r>
      <w:r w:rsidR="009E67B7">
        <w:t xml:space="preserve"> Example: </w:t>
      </w:r>
      <w:r w:rsidR="009E67B7" w:rsidRPr="00B10CBE">
        <w:t xml:space="preserve">Goldman Sachs helped companies like </w:t>
      </w:r>
      <w:proofErr w:type="spellStart"/>
      <w:r w:rsidR="009E67B7" w:rsidRPr="00B10CBE">
        <w:t>Uber</w:t>
      </w:r>
      <w:proofErr w:type="spellEnd"/>
      <w:r w:rsidR="009E67B7" w:rsidRPr="00B10CBE">
        <w:t xml:space="preserve"> Technologies go public by underwriting their IPOs. In an IPO, the bank assesses the company’s value, sets the initial stock price, and sells shares to the public</w:t>
      </w:r>
    </w:p>
    <w:p w:rsidR="00B10CBE" w:rsidRPr="00B10CBE" w:rsidRDefault="00B10CBE" w:rsidP="00B10CBE">
      <w:pPr>
        <w:numPr>
          <w:ilvl w:val="1"/>
          <w:numId w:val="10"/>
        </w:numPr>
      </w:pPr>
      <w:r w:rsidRPr="00B10CBE">
        <w:rPr>
          <w:b/>
          <w:bCs/>
        </w:rPr>
        <w:t>Debt Offerings</w:t>
      </w:r>
      <w:r w:rsidRPr="00B10CBE">
        <w:t>: They also assist in issuing debt instruments such as bonds to raise funds.</w:t>
      </w:r>
    </w:p>
    <w:p w:rsidR="00B10CBE" w:rsidRPr="00B10CBE" w:rsidRDefault="00B10CBE" w:rsidP="00B10CBE">
      <w:pPr>
        <w:numPr>
          <w:ilvl w:val="0"/>
          <w:numId w:val="10"/>
        </w:numPr>
      </w:pPr>
      <w:r w:rsidRPr="00B10CBE">
        <w:rPr>
          <w:b/>
          <w:bCs/>
        </w:rPr>
        <w:t>Advisory Services</w:t>
      </w:r>
      <w:r w:rsidRPr="00B10CBE">
        <w:t>:</w:t>
      </w:r>
    </w:p>
    <w:p w:rsidR="00B10CBE" w:rsidRPr="00B10CBE" w:rsidRDefault="00B10CBE" w:rsidP="009E67B7">
      <w:pPr>
        <w:numPr>
          <w:ilvl w:val="1"/>
          <w:numId w:val="10"/>
        </w:numPr>
        <w:tabs>
          <w:tab w:val="num" w:pos="720"/>
        </w:tabs>
      </w:pPr>
      <w:r w:rsidRPr="00B10CBE">
        <w:rPr>
          <w:b/>
          <w:bCs/>
        </w:rPr>
        <w:t>Mergers and Acquisitions (M&amp;A)</w:t>
      </w:r>
      <w:r w:rsidRPr="00B10CBE">
        <w:t>: Investment banks provide strategic advice and valuation services to companies involved in mergers, acquisitions, divestitures, and other restructuring activities.</w:t>
      </w:r>
      <w:r w:rsidR="009E67B7">
        <w:t xml:space="preserve"> Example: </w:t>
      </w:r>
      <w:r w:rsidR="009E67B7" w:rsidRPr="009E67B7">
        <w:t>Goldman Sachs advised on the acquisition of Whole Foods by Amazon in 2017. The bank helped Amazon evaluate the deal, negotiate terms, and complete the transaction.</w:t>
      </w:r>
    </w:p>
    <w:p w:rsidR="00B10CBE" w:rsidRPr="00B10CBE" w:rsidRDefault="00B10CBE" w:rsidP="00B10CBE">
      <w:pPr>
        <w:numPr>
          <w:ilvl w:val="1"/>
          <w:numId w:val="10"/>
        </w:numPr>
      </w:pPr>
      <w:r w:rsidRPr="00B10CBE">
        <w:rPr>
          <w:b/>
          <w:bCs/>
        </w:rPr>
        <w:lastRenderedPageBreak/>
        <w:t>Corporate Restructuring</w:t>
      </w:r>
      <w:r w:rsidRPr="00B10CBE">
        <w:t>: They advise on restructuring strategies, including debt restructuring and organizational changes.</w:t>
      </w:r>
    </w:p>
    <w:p w:rsidR="00B10CBE" w:rsidRPr="00B10CBE" w:rsidRDefault="00B10CBE" w:rsidP="00B10CBE">
      <w:pPr>
        <w:numPr>
          <w:ilvl w:val="0"/>
          <w:numId w:val="10"/>
        </w:numPr>
      </w:pPr>
      <w:r w:rsidRPr="00B10CBE">
        <w:rPr>
          <w:b/>
          <w:bCs/>
        </w:rPr>
        <w:t>Sales and Trading</w:t>
      </w:r>
      <w:r w:rsidRPr="00B10CBE">
        <w:t>:</w:t>
      </w:r>
    </w:p>
    <w:p w:rsidR="00B10CBE" w:rsidRPr="00B10CBE" w:rsidRDefault="00B10CBE" w:rsidP="009E67B7">
      <w:pPr>
        <w:numPr>
          <w:ilvl w:val="1"/>
          <w:numId w:val="10"/>
        </w:numPr>
      </w:pPr>
      <w:r w:rsidRPr="00B10CBE">
        <w:t>Investment banks facilitate buying and selling of securities, providing liquidity and market-making services for various financial instruments.</w:t>
      </w:r>
      <w:r w:rsidR="009E67B7">
        <w:t xml:space="preserve"> Example: </w:t>
      </w:r>
      <w:r w:rsidR="009E67B7" w:rsidRPr="009E67B7">
        <w:t>Goldman Sachs acts as a market maker, buying and selling stocks, bonds, and other securities, ensuring liquidity in the market. They earn spreads between the buying and selling prices.</w:t>
      </w:r>
    </w:p>
    <w:p w:rsidR="00B10CBE" w:rsidRPr="00B10CBE" w:rsidRDefault="00B10CBE" w:rsidP="00B10CBE">
      <w:pPr>
        <w:numPr>
          <w:ilvl w:val="0"/>
          <w:numId w:val="10"/>
        </w:numPr>
      </w:pPr>
      <w:r w:rsidRPr="00B10CBE">
        <w:rPr>
          <w:b/>
          <w:bCs/>
        </w:rPr>
        <w:t>Research</w:t>
      </w:r>
      <w:r w:rsidRPr="00B10CBE">
        <w:t>:</w:t>
      </w:r>
    </w:p>
    <w:p w:rsidR="00B10CBE" w:rsidRPr="00B10CBE" w:rsidRDefault="00B10CBE" w:rsidP="009E67B7">
      <w:pPr>
        <w:numPr>
          <w:ilvl w:val="1"/>
          <w:numId w:val="10"/>
        </w:numPr>
      </w:pPr>
      <w:r w:rsidRPr="00B10CBE">
        <w:t>They offer in-depth research reports and analysis on markets, industries, and individual companies, helping investors make informed decisions.</w:t>
      </w:r>
      <w:r w:rsidR="009E67B7">
        <w:t xml:space="preserve"> Example: Goldman Sachs</w:t>
      </w:r>
      <w:r w:rsidR="009E67B7" w:rsidRPr="009E67B7">
        <w:t xml:space="preserve"> analysts might provide projections and investment ratings on tech companies like Apple or Tesla.</w:t>
      </w:r>
    </w:p>
    <w:p w:rsidR="00B10CBE" w:rsidRPr="00B10CBE" w:rsidRDefault="00B10CBE" w:rsidP="00B10CBE">
      <w:pPr>
        <w:numPr>
          <w:ilvl w:val="0"/>
          <w:numId w:val="10"/>
        </w:numPr>
      </w:pPr>
      <w:r w:rsidRPr="00B10CBE">
        <w:rPr>
          <w:b/>
          <w:bCs/>
        </w:rPr>
        <w:t>Asset Management</w:t>
      </w:r>
      <w:r w:rsidRPr="00B10CBE">
        <w:t>:</w:t>
      </w:r>
    </w:p>
    <w:p w:rsidR="009E67B7" w:rsidRPr="009E67B7" w:rsidRDefault="00B10CBE" w:rsidP="009E67B7">
      <w:pPr>
        <w:numPr>
          <w:ilvl w:val="1"/>
          <w:numId w:val="10"/>
        </w:numPr>
      </w:pPr>
      <w:r w:rsidRPr="00B10CBE">
        <w:t>Some investment banks manage assets for clients, providing investment management and wealth management services.</w:t>
      </w:r>
      <w:r w:rsidR="009E67B7">
        <w:t xml:space="preserve"> Example: </w:t>
      </w:r>
      <w:r w:rsidR="009E67B7" w:rsidRPr="009E67B7">
        <w:t>Goldman Sachs manages assets for high-net-worth individuals and institutional clients. They offer customized investment strategies, including diversified portfolios of stocks, bonds, and alternative investments.</w:t>
      </w:r>
    </w:p>
    <w:p w:rsidR="000E6BF0" w:rsidRPr="000E6BF0" w:rsidRDefault="000E6BF0" w:rsidP="000E6BF0">
      <w:pPr>
        <w:rPr>
          <w:b/>
          <w:bCs/>
        </w:rPr>
      </w:pPr>
      <w:r w:rsidRPr="000E6BF0">
        <w:rPr>
          <w:b/>
          <w:bCs/>
        </w:rPr>
        <w:t>How Investment Banks Make Money</w:t>
      </w:r>
      <w:r>
        <w:rPr>
          <w:b/>
          <w:bCs/>
        </w:rPr>
        <w:t>:</w:t>
      </w:r>
    </w:p>
    <w:p w:rsidR="000E6BF0" w:rsidRPr="000E6BF0" w:rsidRDefault="000E6BF0" w:rsidP="000E6BF0">
      <w:pPr>
        <w:rPr>
          <w:b/>
          <w:bCs/>
        </w:rPr>
      </w:pPr>
      <w:r w:rsidRPr="000E6BF0">
        <w:rPr>
          <w:b/>
          <w:bCs/>
        </w:rPr>
        <w:t>1. Fees and Commissions</w:t>
      </w:r>
    </w:p>
    <w:p w:rsidR="000E6BF0" w:rsidRPr="000E6BF0" w:rsidRDefault="000E6BF0" w:rsidP="000E6BF0">
      <w:pPr>
        <w:numPr>
          <w:ilvl w:val="0"/>
          <w:numId w:val="17"/>
        </w:numPr>
      </w:pPr>
      <w:r w:rsidRPr="000E6BF0">
        <w:rPr>
          <w:b/>
          <w:bCs/>
        </w:rPr>
        <w:t>Underwriting Services</w:t>
      </w:r>
      <w:r w:rsidRPr="000E6BF0">
        <w:t>:</w:t>
      </w:r>
      <w:r w:rsidRPr="000E6BF0">
        <w:rPr>
          <w:rFonts w:ascii="Times New Roman" w:eastAsia="Times New Roman" w:hAnsi="Symbol" w:cs="Times New Roman"/>
          <w:sz w:val="24"/>
          <w:szCs w:val="24"/>
        </w:rPr>
        <w:t xml:space="preserve"> </w:t>
      </w:r>
      <w:r w:rsidRPr="000E6BF0">
        <w:t>Investment banks earn fees for underwriting services. For example, they might charge a percentage of the total capital raised during an IPO or bond issuance.</w:t>
      </w:r>
      <w:r>
        <w:t xml:space="preserve"> </w:t>
      </w:r>
      <w:r w:rsidRPr="00697F6D">
        <w:rPr>
          <w:b/>
        </w:rPr>
        <w:t>Example:</w:t>
      </w:r>
      <w:r>
        <w:t xml:space="preserve"> </w:t>
      </w:r>
      <w:r w:rsidRPr="000E6BF0">
        <w:t xml:space="preserve">When JPMorgan Chase underwrites an IPO, such as the </w:t>
      </w:r>
      <w:proofErr w:type="spellStart"/>
      <w:r w:rsidRPr="000E6BF0">
        <w:t>Lyft</w:t>
      </w:r>
      <w:proofErr w:type="spellEnd"/>
      <w:r w:rsidRPr="000E6BF0">
        <w:t xml:space="preserve"> IPO in 2019, they charge a percentage of the capital raised. For </w:t>
      </w:r>
      <w:proofErr w:type="spellStart"/>
      <w:r w:rsidRPr="000E6BF0">
        <w:t>Lyft's</w:t>
      </w:r>
      <w:proofErr w:type="spellEnd"/>
      <w:r w:rsidRPr="000E6BF0">
        <w:t xml:space="preserve"> $2 billion IPO, the underwriting fees could be millions.</w:t>
      </w:r>
    </w:p>
    <w:p w:rsidR="000E6BF0" w:rsidRPr="000E6BF0" w:rsidRDefault="000E6BF0" w:rsidP="000E6BF0">
      <w:pPr>
        <w:numPr>
          <w:ilvl w:val="0"/>
          <w:numId w:val="17"/>
        </w:numPr>
      </w:pPr>
      <w:r w:rsidRPr="000E6BF0">
        <w:rPr>
          <w:b/>
          <w:bCs/>
        </w:rPr>
        <w:t>Advisory Services</w:t>
      </w:r>
      <w:r w:rsidRPr="000E6BF0">
        <w:t xml:space="preserve">: Advisory fees are charged for M&amp;A and restructuring services, typically a fixed fee or a percentage of the transaction value. </w:t>
      </w:r>
      <w:r w:rsidRPr="00697F6D">
        <w:rPr>
          <w:b/>
        </w:rPr>
        <w:t>Example:</w:t>
      </w:r>
      <w:r>
        <w:t xml:space="preserve"> </w:t>
      </w:r>
      <w:r w:rsidRPr="000E6BF0">
        <w:t>JPMorgan Chase advised Microsoft on its $26.2 billion acquisition of LinkedIn in 2016, earning advisory fees that are typically a percentage of the transaction value.</w:t>
      </w:r>
    </w:p>
    <w:p w:rsidR="000E6BF0" w:rsidRPr="000E6BF0" w:rsidRDefault="000E6BF0" w:rsidP="000E6BF0">
      <w:pPr>
        <w:rPr>
          <w:b/>
          <w:bCs/>
        </w:rPr>
      </w:pPr>
      <w:r w:rsidRPr="000E6BF0">
        <w:rPr>
          <w:b/>
          <w:bCs/>
        </w:rPr>
        <w:t>2. Trading Profits</w:t>
      </w:r>
      <w:r>
        <w:rPr>
          <w:b/>
          <w:bCs/>
        </w:rPr>
        <w:t xml:space="preserve">- </w:t>
      </w:r>
      <w:r>
        <w:t>Investment banks make profits from trading activities by buying and selling securities and earning spreads and trading commissions.</w:t>
      </w:r>
      <w:r>
        <w:rPr>
          <w:b/>
          <w:bCs/>
        </w:rPr>
        <w:t xml:space="preserve"> Example: </w:t>
      </w:r>
      <w:r w:rsidRPr="000E6BF0">
        <w:t>JPMorgan engages in buying and selling stocks, bonds, and other securities. They earn money from the spreads between buying and selling prices, as well as trading commissions. For instance, in their trading operations, they might profit from price differences in high-frequency trading.</w:t>
      </w:r>
    </w:p>
    <w:p w:rsidR="000E6BF0" w:rsidRPr="000E6BF0" w:rsidRDefault="000E6BF0" w:rsidP="000E6BF0">
      <w:pPr>
        <w:rPr>
          <w:b/>
          <w:bCs/>
        </w:rPr>
      </w:pPr>
      <w:r w:rsidRPr="000E6BF0">
        <w:rPr>
          <w:b/>
          <w:bCs/>
        </w:rPr>
        <w:t>3. Asset Management Fees</w:t>
      </w:r>
      <w:r>
        <w:rPr>
          <w:b/>
          <w:bCs/>
        </w:rPr>
        <w:t xml:space="preserve">- </w:t>
      </w:r>
      <w:r>
        <w:t xml:space="preserve">Fees are charged for managing client assets, usually as a percentage of assets under management (AUM). </w:t>
      </w:r>
      <w:r>
        <w:rPr>
          <w:b/>
          <w:bCs/>
        </w:rPr>
        <w:t>Example</w:t>
      </w:r>
      <w:r w:rsidRPr="000E6BF0">
        <w:t xml:space="preserve">: JPMorgan manages assets for individuals and institutions. </w:t>
      </w:r>
      <w:r w:rsidRPr="000E6BF0">
        <w:lastRenderedPageBreak/>
        <w:t>They charge management fees, usually as a percentage of the assets under management (AUM). For example, if they manage a $100 million portfolio, they might charge a 1% annual fee, generating $1 million in revenue.</w:t>
      </w:r>
    </w:p>
    <w:p w:rsidR="0026193B" w:rsidRDefault="000E6BF0" w:rsidP="0026193B">
      <w:r w:rsidRPr="000E6BF0">
        <w:rPr>
          <w:b/>
          <w:bCs/>
        </w:rPr>
        <w:t>4. Interest and Dividends</w:t>
      </w:r>
      <w:r>
        <w:rPr>
          <w:b/>
          <w:bCs/>
        </w:rPr>
        <w:t xml:space="preserve">- </w:t>
      </w:r>
      <w:r>
        <w:t>They earn interest from loans and dividends from equity holdings.</w:t>
      </w:r>
      <w:r>
        <w:rPr>
          <w:b/>
          <w:bCs/>
        </w:rPr>
        <w:t xml:space="preserve"> Example: </w:t>
      </w:r>
      <w:r w:rsidRPr="000E6BF0">
        <w:t>JPMorgan earns interest on loans provided to clients and dividends from equity investments. For instance, if they lend $10 million to a corporation at an interest rate of 5%, they earn $500,000 annually in interest. They also collect dividends from stocks they hold in their investment portfolio.</w:t>
      </w:r>
    </w:p>
    <w:p w:rsidR="00E7056C" w:rsidRDefault="00E7056C" w:rsidP="00697F6D"/>
    <w:p w:rsidR="00697F6D" w:rsidRDefault="00697F6D" w:rsidP="00E7056C">
      <w:pPr>
        <w:pStyle w:val="Heading3"/>
      </w:pPr>
      <w:bookmarkStart w:id="48" w:name="_Toc169624179"/>
      <w:r>
        <w:t>Top 4 Banks (that offer commercial and investment services) and their revenues:</w:t>
      </w:r>
      <w:bookmarkEnd w:id="48"/>
    </w:p>
    <w:tbl>
      <w:tblPr>
        <w:tblStyle w:val="TableGrid"/>
        <w:tblpPr w:leftFromText="180" w:rightFromText="180" w:vertAnchor="text" w:horzAnchor="margin" w:tblpY="188"/>
        <w:tblW w:w="0" w:type="auto"/>
        <w:tblLook w:val="04A0" w:firstRow="1" w:lastRow="0" w:firstColumn="1" w:lastColumn="0" w:noHBand="0" w:noVBand="1"/>
      </w:tblPr>
      <w:tblGrid>
        <w:gridCol w:w="1596"/>
        <w:gridCol w:w="1596"/>
        <w:gridCol w:w="1596"/>
        <w:gridCol w:w="1596"/>
        <w:gridCol w:w="1596"/>
        <w:gridCol w:w="1596"/>
      </w:tblGrid>
      <w:tr w:rsidR="00697F6D" w:rsidTr="00FB2D6E">
        <w:trPr>
          <w:trHeight w:val="78"/>
        </w:trPr>
        <w:tc>
          <w:tcPr>
            <w:tcW w:w="1596" w:type="dxa"/>
          </w:tcPr>
          <w:p w:rsidR="00697F6D" w:rsidRDefault="00697F6D" w:rsidP="00FB2D6E">
            <w:r>
              <w:t>Banks</w:t>
            </w:r>
          </w:p>
        </w:tc>
        <w:tc>
          <w:tcPr>
            <w:tcW w:w="1596" w:type="dxa"/>
            <w:vAlign w:val="bottom"/>
          </w:tcPr>
          <w:p w:rsidR="00697F6D" w:rsidRDefault="00697F6D" w:rsidP="00FB2D6E">
            <w:pPr>
              <w:rPr>
                <w:rFonts w:ascii="Calibri" w:hAnsi="Calibri" w:cs="Calibri"/>
                <w:color w:val="000000"/>
              </w:rPr>
            </w:pPr>
            <w:r>
              <w:rPr>
                <w:rFonts w:ascii="Calibri" w:hAnsi="Calibri" w:cs="Calibri"/>
                <w:color w:val="000000"/>
              </w:rPr>
              <w:t>2019</w:t>
            </w:r>
          </w:p>
        </w:tc>
        <w:tc>
          <w:tcPr>
            <w:tcW w:w="1596" w:type="dxa"/>
            <w:vAlign w:val="bottom"/>
          </w:tcPr>
          <w:p w:rsidR="00697F6D" w:rsidRDefault="00697F6D" w:rsidP="00FB2D6E">
            <w:pPr>
              <w:rPr>
                <w:rFonts w:ascii="Calibri" w:hAnsi="Calibri" w:cs="Calibri"/>
                <w:color w:val="000000"/>
              </w:rPr>
            </w:pPr>
            <w:r>
              <w:rPr>
                <w:rFonts w:ascii="Calibri" w:hAnsi="Calibri" w:cs="Calibri"/>
                <w:color w:val="000000"/>
              </w:rPr>
              <w:t>2020</w:t>
            </w:r>
          </w:p>
        </w:tc>
        <w:tc>
          <w:tcPr>
            <w:tcW w:w="1596" w:type="dxa"/>
            <w:vAlign w:val="bottom"/>
          </w:tcPr>
          <w:p w:rsidR="00697F6D" w:rsidRDefault="00697F6D" w:rsidP="00FB2D6E">
            <w:pPr>
              <w:rPr>
                <w:rFonts w:ascii="Calibri" w:hAnsi="Calibri" w:cs="Calibri"/>
                <w:color w:val="000000"/>
              </w:rPr>
            </w:pPr>
            <w:r>
              <w:rPr>
                <w:rFonts w:ascii="Calibri" w:hAnsi="Calibri" w:cs="Calibri"/>
                <w:color w:val="000000"/>
              </w:rPr>
              <w:t>2021</w:t>
            </w:r>
          </w:p>
        </w:tc>
        <w:tc>
          <w:tcPr>
            <w:tcW w:w="1596" w:type="dxa"/>
            <w:vAlign w:val="bottom"/>
          </w:tcPr>
          <w:p w:rsidR="00697F6D" w:rsidRDefault="00697F6D" w:rsidP="00FB2D6E">
            <w:pPr>
              <w:rPr>
                <w:rFonts w:ascii="Calibri" w:hAnsi="Calibri" w:cs="Calibri"/>
                <w:color w:val="000000"/>
              </w:rPr>
            </w:pPr>
            <w:r>
              <w:rPr>
                <w:rFonts w:ascii="Calibri" w:hAnsi="Calibri" w:cs="Calibri"/>
                <w:color w:val="000000"/>
              </w:rPr>
              <w:t>2022</w:t>
            </w:r>
          </w:p>
        </w:tc>
        <w:tc>
          <w:tcPr>
            <w:tcW w:w="1596" w:type="dxa"/>
            <w:vAlign w:val="bottom"/>
          </w:tcPr>
          <w:p w:rsidR="00697F6D" w:rsidRDefault="00697F6D" w:rsidP="00FB2D6E">
            <w:pPr>
              <w:rPr>
                <w:rFonts w:ascii="Calibri" w:hAnsi="Calibri" w:cs="Calibri"/>
                <w:color w:val="000000"/>
              </w:rPr>
            </w:pPr>
            <w:r>
              <w:rPr>
                <w:rFonts w:ascii="Calibri" w:hAnsi="Calibri" w:cs="Calibri"/>
                <w:color w:val="000000"/>
              </w:rPr>
              <w:t>2023</w:t>
            </w:r>
          </w:p>
        </w:tc>
      </w:tr>
      <w:tr w:rsidR="00697F6D" w:rsidTr="00FB2D6E">
        <w:tc>
          <w:tcPr>
            <w:tcW w:w="1596" w:type="dxa"/>
          </w:tcPr>
          <w:p w:rsidR="00697F6D" w:rsidRDefault="00697F6D" w:rsidP="00FB2D6E">
            <w:r>
              <w:t>J.P. Morgan Chase</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139.46</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130.55</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125.89</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177.09</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251.07</w:t>
            </w:r>
          </w:p>
        </w:tc>
      </w:tr>
      <w:tr w:rsidR="00697F6D" w:rsidTr="00FB2D6E">
        <w:tc>
          <w:tcPr>
            <w:tcW w:w="1596" w:type="dxa"/>
          </w:tcPr>
          <w:p w:rsidR="00697F6D" w:rsidRDefault="00697F6D" w:rsidP="00FB2D6E">
            <w:r>
              <w:t>Bank of America Corp.</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111.52</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91.03</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94.38</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130.96</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179.51</w:t>
            </w:r>
          </w:p>
        </w:tc>
      </w:tr>
      <w:tr w:rsidR="00697F6D" w:rsidTr="00FB2D6E">
        <w:tc>
          <w:tcPr>
            <w:tcW w:w="1596" w:type="dxa"/>
          </w:tcPr>
          <w:p w:rsidR="00697F6D" w:rsidRDefault="00697F6D" w:rsidP="00FB2D6E">
            <w:r>
              <w:t>Citigroup</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103.93</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84.15</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79.63</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117.1</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163.14</w:t>
            </w:r>
          </w:p>
        </w:tc>
      </w:tr>
      <w:tr w:rsidR="00697F6D" w:rsidTr="00FB2D6E">
        <w:tc>
          <w:tcPr>
            <w:tcW w:w="1596" w:type="dxa"/>
          </w:tcPr>
          <w:p w:rsidR="00697F6D" w:rsidRDefault="00697F6D" w:rsidP="00FB2D6E">
            <w:r>
              <w:t>Wells Fargo</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100.51</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80.86</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81.99</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91.5</w:t>
            </w:r>
          </w:p>
        </w:tc>
        <w:tc>
          <w:tcPr>
            <w:tcW w:w="1596" w:type="dxa"/>
            <w:vAlign w:val="bottom"/>
          </w:tcPr>
          <w:p w:rsidR="00697F6D" w:rsidRDefault="00697F6D" w:rsidP="00FB2D6E">
            <w:pPr>
              <w:jc w:val="right"/>
              <w:rPr>
                <w:rFonts w:ascii="Calibri" w:hAnsi="Calibri" w:cs="Calibri"/>
                <w:color w:val="000000"/>
              </w:rPr>
            </w:pPr>
            <w:r>
              <w:rPr>
                <w:rFonts w:ascii="Calibri" w:hAnsi="Calibri" w:cs="Calibri"/>
                <w:color w:val="000000"/>
              </w:rPr>
              <w:t>120.06</w:t>
            </w:r>
          </w:p>
        </w:tc>
      </w:tr>
    </w:tbl>
    <w:p w:rsidR="00697F6D" w:rsidRDefault="00697F6D" w:rsidP="00697F6D">
      <w:r>
        <w:rPr>
          <w:noProof/>
        </w:rPr>
        <w:drawing>
          <wp:anchor distT="0" distB="0" distL="114300" distR="114300" simplePos="0" relativeHeight="251659264" behindDoc="1" locked="0" layoutInCell="1" allowOverlap="1" wp14:anchorId="70C146B9" wp14:editId="41C32742">
            <wp:simplePos x="0" y="0"/>
            <wp:positionH relativeFrom="column">
              <wp:posOffset>-323215</wp:posOffset>
            </wp:positionH>
            <wp:positionV relativeFrom="paragraph">
              <wp:posOffset>1709420</wp:posOffset>
            </wp:positionV>
            <wp:extent cx="6626225" cy="3194685"/>
            <wp:effectExtent l="0" t="0" r="22225" b="24765"/>
            <wp:wrapTight wrapText="bothSides">
              <wp:wrapPolygon edited="0">
                <wp:start x="0" y="0"/>
                <wp:lineTo x="0" y="21639"/>
                <wp:lineTo x="21610" y="21639"/>
                <wp:lineTo x="21610"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697F6D" w:rsidRPr="00697F6D" w:rsidRDefault="00697F6D" w:rsidP="0026193B">
      <w:pPr>
        <w:rPr>
          <w:b/>
          <w:bCs/>
        </w:rPr>
      </w:pPr>
    </w:p>
    <w:p w:rsidR="0026193B" w:rsidRDefault="0026193B" w:rsidP="0026193B"/>
    <w:p w:rsidR="00697F6D" w:rsidRDefault="00697F6D" w:rsidP="0026193B"/>
    <w:p w:rsidR="00697F6D" w:rsidRPr="0026193B" w:rsidRDefault="00697F6D" w:rsidP="0026193B"/>
    <w:p w:rsidR="00697F6D" w:rsidRDefault="00697F6D" w:rsidP="00697F6D">
      <w:pPr>
        <w:pStyle w:val="Heading1"/>
      </w:pPr>
      <w:bookmarkStart w:id="49" w:name="_Toc169624180"/>
      <w:r>
        <w:lastRenderedPageBreak/>
        <w:t>Difference between Investment Bank and Commercial Bank</w:t>
      </w:r>
      <w:bookmarkEnd w:id="49"/>
    </w:p>
    <w:p w:rsidR="00697F6D" w:rsidRPr="00697F6D" w:rsidRDefault="00697F6D" w:rsidP="00697F6D"/>
    <w:tbl>
      <w:tblPr>
        <w:tblStyle w:val="TableGrid"/>
        <w:tblW w:w="0" w:type="auto"/>
        <w:tblLook w:val="04A0" w:firstRow="1" w:lastRow="0" w:firstColumn="1" w:lastColumn="0" w:noHBand="0" w:noVBand="1"/>
      </w:tblPr>
      <w:tblGrid>
        <w:gridCol w:w="1371"/>
        <w:gridCol w:w="4146"/>
        <w:gridCol w:w="4059"/>
      </w:tblGrid>
      <w:tr w:rsidR="00697F6D" w:rsidRPr="00697F6D" w:rsidTr="00697F6D">
        <w:tc>
          <w:tcPr>
            <w:tcW w:w="0" w:type="auto"/>
            <w:hideMark/>
          </w:tcPr>
          <w:p w:rsidR="00697F6D" w:rsidRPr="00697F6D" w:rsidRDefault="00697F6D" w:rsidP="00697F6D">
            <w:pPr>
              <w:spacing w:after="200" w:line="276" w:lineRule="auto"/>
              <w:jc w:val="center"/>
              <w:rPr>
                <w:b/>
                <w:bCs/>
              </w:rPr>
            </w:pPr>
          </w:p>
        </w:tc>
        <w:tc>
          <w:tcPr>
            <w:tcW w:w="0" w:type="auto"/>
            <w:hideMark/>
          </w:tcPr>
          <w:p w:rsidR="00697F6D" w:rsidRPr="00697F6D" w:rsidRDefault="00697F6D" w:rsidP="00697F6D">
            <w:pPr>
              <w:spacing w:after="200" w:line="276" w:lineRule="auto"/>
              <w:jc w:val="center"/>
              <w:rPr>
                <w:b/>
                <w:bCs/>
              </w:rPr>
            </w:pPr>
            <w:r w:rsidRPr="00697F6D">
              <w:rPr>
                <w:b/>
                <w:bCs/>
              </w:rPr>
              <w:t>Investment Banks</w:t>
            </w:r>
          </w:p>
        </w:tc>
        <w:tc>
          <w:tcPr>
            <w:tcW w:w="0" w:type="auto"/>
            <w:hideMark/>
          </w:tcPr>
          <w:p w:rsidR="00697F6D" w:rsidRPr="00697F6D" w:rsidRDefault="00697F6D" w:rsidP="00697F6D">
            <w:pPr>
              <w:spacing w:after="200" w:line="276" w:lineRule="auto"/>
              <w:jc w:val="center"/>
              <w:rPr>
                <w:b/>
                <w:bCs/>
              </w:rPr>
            </w:pPr>
            <w:r w:rsidRPr="00697F6D">
              <w:rPr>
                <w:b/>
                <w:bCs/>
              </w:rPr>
              <w:t>Commercial Banks</w:t>
            </w:r>
          </w:p>
        </w:tc>
      </w:tr>
      <w:tr w:rsidR="00697F6D" w:rsidRPr="00697F6D" w:rsidTr="00697F6D">
        <w:tc>
          <w:tcPr>
            <w:tcW w:w="0" w:type="auto"/>
            <w:hideMark/>
          </w:tcPr>
          <w:p w:rsidR="00697F6D" w:rsidRPr="00697F6D" w:rsidRDefault="00697F6D" w:rsidP="00697F6D">
            <w:pPr>
              <w:spacing w:after="200" w:line="276" w:lineRule="auto"/>
              <w:jc w:val="center"/>
              <w:rPr>
                <w:b/>
              </w:rPr>
            </w:pPr>
            <w:r w:rsidRPr="00697F6D">
              <w:rPr>
                <w:b/>
              </w:rPr>
              <w:t>Clientele</w:t>
            </w:r>
          </w:p>
        </w:tc>
        <w:tc>
          <w:tcPr>
            <w:tcW w:w="0" w:type="auto"/>
            <w:hideMark/>
          </w:tcPr>
          <w:p w:rsidR="00697F6D" w:rsidRPr="00697F6D" w:rsidRDefault="00697F6D" w:rsidP="00697F6D">
            <w:pPr>
              <w:spacing w:after="200" w:line="276" w:lineRule="auto"/>
              <w:jc w:val="center"/>
            </w:pPr>
            <w:r w:rsidRPr="00697F6D">
              <w:t>Investors, corporations, government</w:t>
            </w:r>
          </w:p>
        </w:tc>
        <w:tc>
          <w:tcPr>
            <w:tcW w:w="0" w:type="auto"/>
            <w:hideMark/>
          </w:tcPr>
          <w:p w:rsidR="00697F6D" w:rsidRPr="00697F6D" w:rsidRDefault="00697F6D" w:rsidP="00697F6D">
            <w:pPr>
              <w:spacing w:after="200" w:line="276" w:lineRule="auto"/>
              <w:jc w:val="center"/>
            </w:pPr>
            <w:r w:rsidRPr="00697F6D">
              <w:t>Small and medium sized business</w:t>
            </w:r>
          </w:p>
        </w:tc>
      </w:tr>
      <w:tr w:rsidR="00697F6D" w:rsidRPr="00697F6D" w:rsidTr="00697F6D">
        <w:tc>
          <w:tcPr>
            <w:tcW w:w="0" w:type="auto"/>
            <w:hideMark/>
          </w:tcPr>
          <w:p w:rsidR="00697F6D" w:rsidRPr="00697F6D" w:rsidRDefault="00697F6D" w:rsidP="00697F6D">
            <w:pPr>
              <w:spacing w:after="200" w:line="276" w:lineRule="auto"/>
              <w:jc w:val="center"/>
              <w:rPr>
                <w:b/>
              </w:rPr>
            </w:pPr>
            <w:r w:rsidRPr="00697F6D">
              <w:rPr>
                <w:b/>
              </w:rPr>
              <w:t>Primary Services</w:t>
            </w:r>
          </w:p>
        </w:tc>
        <w:tc>
          <w:tcPr>
            <w:tcW w:w="0" w:type="auto"/>
            <w:hideMark/>
          </w:tcPr>
          <w:p w:rsidR="00697F6D" w:rsidRPr="00697F6D" w:rsidRDefault="00697F6D" w:rsidP="00697F6D">
            <w:pPr>
              <w:spacing w:after="200" w:line="276" w:lineRule="auto"/>
              <w:jc w:val="center"/>
            </w:pPr>
            <w:r w:rsidRPr="00697F6D">
              <w:t>Assisting institutional investors and corporations with financial needs</w:t>
            </w:r>
          </w:p>
        </w:tc>
        <w:tc>
          <w:tcPr>
            <w:tcW w:w="0" w:type="auto"/>
            <w:hideMark/>
          </w:tcPr>
          <w:p w:rsidR="00697F6D" w:rsidRPr="00697F6D" w:rsidRDefault="00697F6D" w:rsidP="00697F6D">
            <w:pPr>
              <w:spacing w:after="200" w:line="276" w:lineRule="auto"/>
              <w:jc w:val="center"/>
            </w:pPr>
            <w:r w:rsidRPr="00697F6D">
              <w:t>Loans, mortgage loans, deposit accounts for small and medium businesses</w:t>
            </w:r>
          </w:p>
        </w:tc>
      </w:tr>
      <w:tr w:rsidR="00697F6D" w:rsidRPr="00697F6D" w:rsidTr="00697F6D">
        <w:tc>
          <w:tcPr>
            <w:tcW w:w="0" w:type="auto"/>
            <w:hideMark/>
          </w:tcPr>
          <w:p w:rsidR="00697F6D" w:rsidRPr="00697F6D" w:rsidRDefault="00697F6D" w:rsidP="00697F6D">
            <w:pPr>
              <w:spacing w:after="200" w:line="276" w:lineRule="auto"/>
              <w:jc w:val="center"/>
              <w:rPr>
                <w:b/>
              </w:rPr>
            </w:pPr>
            <w:r w:rsidRPr="00697F6D">
              <w:rPr>
                <w:b/>
              </w:rPr>
              <w:t>Other Services</w:t>
            </w:r>
          </w:p>
        </w:tc>
        <w:tc>
          <w:tcPr>
            <w:tcW w:w="0" w:type="auto"/>
            <w:hideMark/>
          </w:tcPr>
          <w:p w:rsidR="00697F6D" w:rsidRPr="00697F6D" w:rsidRDefault="00697F6D" w:rsidP="00697F6D">
            <w:pPr>
              <w:spacing w:after="200" w:line="276" w:lineRule="auto"/>
              <w:jc w:val="center"/>
            </w:pPr>
            <w:r w:rsidRPr="00697F6D">
              <w:t>Wealth and asset management, broker services, financial advisory services</w:t>
            </w:r>
          </w:p>
        </w:tc>
        <w:tc>
          <w:tcPr>
            <w:tcW w:w="0" w:type="auto"/>
            <w:hideMark/>
          </w:tcPr>
          <w:p w:rsidR="00697F6D" w:rsidRPr="00697F6D" w:rsidRDefault="00697F6D" w:rsidP="00697F6D">
            <w:pPr>
              <w:spacing w:after="200" w:line="276" w:lineRule="auto"/>
              <w:jc w:val="center"/>
            </w:pPr>
            <w:r w:rsidRPr="00697F6D">
              <w:t>Mobile banking, credit cards, M&amp;A services</w:t>
            </w:r>
          </w:p>
        </w:tc>
      </w:tr>
      <w:tr w:rsidR="00697F6D" w:rsidRPr="00697F6D" w:rsidTr="00697F6D">
        <w:tc>
          <w:tcPr>
            <w:tcW w:w="0" w:type="auto"/>
            <w:hideMark/>
          </w:tcPr>
          <w:p w:rsidR="00697F6D" w:rsidRPr="00697F6D" w:rsidRDefault="00697F6D" w:rsidP="00697F6D">
            <w:pPr>
              <w:spacing w:after="200" w:line="276" w:lineRule="auto"/>
              <w:jc w:val="center"/>
              <w:rPr>
                <w:b/>
              </w:rPr>
            </w:pPr>
            <w:r w:rsidRPr="00697F6D">
              <w:rPr>
                <w:b/>
              </w:rPr>
              <w:t>Profits</w:t>
            </w:r>
          </w:p>
        </w:tc>
        <w:tc>
          <w:tcPr>
            <w:tcW w:w="0" w:type="auto"/>
            <w:hideMark/>
          </w:tcPr>
          <w:p w:rsidR="00697F6D" w:rsidRPr="00697F6D" w:rsidRDefault="00697F6D" w:rsidP="00697F6D">
            <w:pPr>
              <w:spacing w:after="200" w:line="276" w:lineRule="auto"/>
              <w:jc w:val="center"/>
            </w:pPr>
            <w:r w:rsidRPr="00697F6D">
              <w:t>From fees on services</w:t>
            </w:r>
          </w:p>
        </w:tc>
        <w:tc>
          <w:tcPr>
            <w:tcW w:w="0" w:type="auto"/>
            <w:hideMark/>
          </w:tcPr>
          <w:p w:rsidR="00697F6D" w:rsidRPr="00697F6D" w:rsidRDefault="00697F6D" w:rsidP="00697F6D">
            <w:pPr>
              <w:spacing w:after="200" w:line="276" w:lineRule="auto"/>
              <w:jc w:val="center"/>
            </w:pPr>
            <w:r w:rsidRPr="00697F6D">
              <w:t>From fees for services provided and interest</w:t>
            </w:r>
          </w:p>
        </w:tc>
      </w:tr>
    </w:tbl>
    <w:p w:rsidR="0026193B" w:rsidRPr="00697F6D" w:rsidRDefault="0026193B" w:rsidP="0026193B">
      <w:pPr>
        <w:rPr>
          <w:b/>
        </w:rPr>
      </w:pPr>
    </w:p>
    <w:p w:rsidR="0026193B" w:rsidRPr="0026193B" w:rsidRDefault="0026193B" w:rsidP="0026193B"/>
    <w:p w:rsidR="0026193B" w:rsidRPr="0026193B" w:rsidRDefault="0026193B" w:rsidP="0026193B"/>
    <w:p w:rsidR="0026193B" w:rsidRDefault="0026193B" w:rsidP="0026193B"/>
    <w:p w:rsidR="00697F6D" w:rsidRDefault="00697F6D" w:rsidP="0026193B"/>
    <w:p w:rsidR="00697F6D" w:rsidRDefault="00697F6D">
      <w:r>
        <w:br w:type="page"/>
      </w:r>
    </w:p>
    <w:tbl>
      <w:tblPr>
        <w:tblStyle w:val="TableGrid"/>
        <w:tblpPr w:leftFromText="180" w:rightFromText="180" w:horzAnchor="margin" w:tblpY="567"/>
        <w:tblW w:w="10080" w:type="dxa"/>
        <w:tblLook w:val="04A0" w:firstRow="1" w:lastRow="0" w:firstColumn="1" w:lastColumn="0" w:noHBand="0" w:noVBand="1"/>
      </w:tblPr>
      <w:tblGrid>
        <w:gridCol w:w="2160"/>
        <w:gridCol w:w="3240"/>
        <w:gridCol w:w="4680"/>
      </w:tblGrid>
      <w:tr w:rsidR="00E7056C" w:rsidRPr="00E7056C" w:rsidTr="00E7056C">
        <w:trPr>
          <w:trHeight w:val="300"/>
        </w:trPr>
        <w:tc>
          <w:tcPr>
            <w:tcW w:w="2160" w:type="dxa"/>
            <w:noWrap/>
            <w:hideMark/>
          </w:tcPr>
          <w:p w:rsidR="00E7056C" w:rsidRPr="00E7056C" w:rsidRDefault="00E7056C" w:rsidP="00E7056C">
            <w:pPr>
              <w:jc w:val="center"/>
              <w:rPr>
                <w:rFonts w:ascii="Calibri" w:eastAsia="Times New Roman" w:hAnsi="Calibri" w:cs="Calibri"/>
                <w:b/>
                <w:bCs/>
                <w:color w:val="000000"/>
              </w:rPr>
            </w:pPr>
            <w:r w:rsidRPr="00E7056C">
              <w:rPr>
                <w:rFonts w:ascii="Calibri" w:eastAsia="Times New Roman" w:hAnsi="Calibri" w:cs="Calibri"/>
                <w:b/>
                <w:bCs/>
                <w:color w:val="000000"/>
              </w:rPr>
              <w:lastRenderedPageBreak/>
              <w:t>Category</w:t>
            </w:r>
          </w:p>
        </w:tc>
        <w:tc>
          <w:tcPr>
            <w:tcW w:w="3240" w:type="dxa"/>
            <w:noWrap/>
            <w:hideMark/>
          </w:tcPr>
          <w:p w:rsidR="00E7056C" w:rsidRPr="00E7056C" w:rsidRDefault="00E7056C" w:rsidP="00E7056C">
            <w:pPr>
              <w:jc w:val="center"/>
              <w:rPr>
                <w:rFonts w:ascii="Calibri" w:eastAsia="Times New Roman" w:hAnsi="Calibri" w:cs="Calibri"/>
                <w:b/>
                <w:bCs/>
                <w:color w:val="000000"/>
              </w:rPr>
            </w:pPr>
            <w:r w:rsidRPr="00E7056C">
              <w:rPr>
                <w:rFonts w:ascii="Calibri" w:eastAsia="Times New Roman" w:hAnsi="Calibri" w:cs="Calibri"/>
                <w:b/>
                <w:bCs/>
                <w:color w:val="000000"/>
              </w:rPr>
              <w:t>Investment Banking</w:t>
            </w:r>
          </w:p>
        </w:tc>
        <w:tc>
          <w:tcPr>
            <w:tcW w:w="4680" w:type="dxa"/>
            <w:noWrap/>
            <w:hideMark/>
          </w:tcPr>
          <w:p w:rsidR="00E7056C" w:rsidRPr="00E7056C" w:rsidRDefault="00E7056C" w:rsidP="00E7056C">
            <w:pPr>
              <w:jc w:val="center"/>
              <w:rPr>
                <w:rFonts w:ascii="Calibri" w:eastAsia="Times New Roman" w:hAnsi="Calibri" w:cs="Calibri"/>
                <w:b/>
                <w:bCs/>
                <w:color w:val="000000"/>
              </w:rPr>
            </w:pPr>
            <w:r w:rsidRPr="00E7056C">
              <w:rPr>
                <w:rFonts w:ascii="Calibri" w:eastAsia="Times New Roman" w:hAnsi="Calibri" w:cs="Calibri"/>
                <w:b/>
                <w:bCs/>
                <w:color w:val="000000"/>
              </w:rPr>
              <w:t>Commercial Banking</w:t>
            </w:r>
          </w:p>
        </w:tc>
      </w:tr>
      <w:tr w:rsidR="00E7056C" w:rsidRPr="00E7056C" w:rsidTr="00E7056C">
        <w:trPr>
          <w:trHeight w:val="300"/>
        </w:trPr>
        <w:tc>
          <w:tcPr>
            <w:tcW w:w="2160" w:type="dxa"/>
            <w:noWrap/>
            <w:hideMark/>
          </w:tcPr>
          <w:p w:rsidR="00E7056C" w:rsidRPr="00E7056C" w:rsidRDefault="00E7056C" w:rsidP="00E7056C">
            <w:pPr>
              <w:rPr>
                <w:rFonts w:ascii="Calibri" w:eastAsia="Times New Roman" w:hAnsi="Calibri" w:cs="Calibri"/>
                <w:b/>
                <w:color w:val="000000"/>
              </w:rPr>
            </w:pPr>
            <w:r w:rsidRPr="00E7056C">
              <w:rPr>
                <w:rFonts w:ascii="Calibri" w:eastAsia="Times New Roman" w:hAnsi="Calibri" w:cs="Calibri"/>
                <w:b/>
                <w:color w:val="000000"/>
              </w:rPr>
              <w:t>Stock Information</w:t>
            </w:r>
          </w:p>
        </w:tc>
        <w:tc>
          <w:tcPr>
            <w:tcW w:w="324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Detailed stock data for investment banks like JPMorgan Chase, Goldman Sachs, etc.</w:t>
            </w:r>
          </w:p>
        </w:tc>
        <w:tc>
          <w:tcPr>
            <w:tcW w:w="468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Stock information for commercial banks, tracking overall performance and market capitalization.</w:t>
            </w:r>
          </w:p>
        </w:tc>
      </w:tr>
      <w:tr w:rsidR="00E7056C" w:rsidRPr="00E7056C" w:rsidTr="00E7056C">
        <w:trPr>
          <w:trHeight w:val="300"/>
        </w:trPr>
        <w:tc>
          <w:tcPr>
            <w:tcW w:w="2160" w:type="dxa"/>
            <w:noWrap/>
            <w:hideMark/>
          </w:tcPr>
          <w:p w:rsidR="00E7056C" w:rsidRPr="00E7056C" w:rsidRDefault="00E7056C" w:rsidP="00E7056C">
            <w:pPr>
              <w:rPr>
                <w:rFonts w:ascii="Calibri" w:eastAsia="Times New Roman" w:hAnsi="Calibri" w:cs="Calibri"/>
                <w:b/>
                <w:color w:val="000000"/>
              </w:rPr>
            </w:pPr>
            <w:r w:rsidRPr="00E7056C">
              <w:rPr>
                <w:rFonts w:ascii="Calibri" w:eastAsia="Times New Roman" w:hAnsi="Calibri" w:cs="Calibri"/>
                <w:b/>
                <w:color w:val="000000"/>
              </w:rPr>
              <w:t>Financial Statements</w:t>
            </w:r>
          </w:p>
        </w:tc>
        <w:tc>
          <w:tcPr>
            <w:tcW w:w="324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Income statements, balance sheets, and cash flow statements highlighting underwriting and trading profits.</w:t>
            </w:r>
          </w:p>
        </w:tc>
        <w:tc>
          <w:tcPr>
            <w:tcW w:w="468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Financial statements showing revenue from loans, deposits, and other commercial banking activities.</w:t>
            </w:r>
          </w:p>
        </w:tc>
      </w:tr>
      <w:tr w:rsidR="00E7056C" w:rsidRPr="00E7056C" w:rsidTr="00E7056C">
        <w:trPr>
          <w:trHeight w:val="300"/>
        </w:trPr>
        <w:tc>
          <w:tcPr>
            <w:tcW w:w="2160" w:type="dxa"/>
            <w:noWrap/>
            <w:hideMark/>
          </w:tcPr>
          <w:p w:rsidR="00E7056C" w:rsidRPr="00E7056C" w:rsidRDefault="00E7056C" w:rsidP="00E7056C">
            <w:pPr>
              <w:rPr>
                <w:rFonts w:ascii="Calibri" w:eastAsia="Times New Roman" w:hAnsi="Calibri" w:cs="Calibri"/>
                <w:b/>
                <w:color w:val="000000"/>
              </w:rPr>
            </w:pPr>
            <w:r w:rsidRPr="00E7056C">
              <w:rPr>
                <w:rFonts w:ascii="Calibri" w:eastAsia="Times New Roman" w:hAnsi="Calibri" w:cs="Calibri"/>
                <w:b/>
                <w:color w:val="000000"/>
              </w:rPr>
              <w:t>News and Analysis</w:t>
            </w:r>
          </w:p>
        </w:tc>
        <w:tc>
          <w:tcPr>
            <w:tcW w:w="324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Latest news on M&amp;As, IPOs, and other significant deals involving investment banks.</w:t>
            </w:r>
          </w:p>
        </w:tc>
        <w:tc>
          <w:tcPr>
            <w:tcW w:w="468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News on regulatory changes, interest rates, and market trends affecting commercial banks.</w:t>
            </w:r>
          </w:p>
        </w:tc>
      </w:tr>
      <w:tr w:rsidR="00E7056C" w:rsidRPr="00E7056C" w:rsidTr="00E7056C">
        <w:trPr>
          <w:trHeight w:val="300"/>
        </w:trPr>
        <w:tc>
          <w:tcPr>
            <w:tcW w:w="2160" w:type="dxa"/>
            <w:noWrap/>
            <w:hideMark/>
          </w:tcPr>
          <w:p w:rsidR="00E7056C" w:rsidRPr="00E7056C" w:rsidRDefault="00E7056C" w:rsidP="00E7056C">
            <w:pPr>
              <w:rPr>
                <w:rFonts w:ascii="Calibri" w:eastAsia="Times New Roman" w:hAnsi="Calibri" w:cs="Calibri"/>
                <w:b/>
                <w:color w:val="000000"/>
              </w:rPr>
            </w:pPr>
            <w:r w:rsidRPr="00E7056C">
              <w:rPr>
                <w:rFonts w:ascii="Calibri" w:eastAsia="Times New Roman" w:hAnsi="Calibri" w:cs="Calibri"/>
                <w:b/>
                <w:color w:val="000000"/>
              </w:rPr>
              <w:t>Industry Data</w:t>
            </w:r>
          </w:p>
        </w:tc>
        <w:tc>
          <w:tcPr>
            <w:tcW w:w="324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Sector performance and comparative analysis of investment banks.</w:t>
            </w:r>
          </w:p>
        </w:tc>
        <w:tc>
          <w:tcPr>
            <w:tcW w:w="468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Key ratios like loan-to-deposit ratio and net interest margin for commercial banks.</w:t>
            </w:r>
          </w:p>
        </w:tc>
      </w:tr>
      <w:tr w:rsidR="00E7056C" w:rsidRPr="00E7056C" w:rsidTr="00E7056C">
        <w:trPr>
          <w:trHeight w:val="300"/>
        </w:trPr>
        <w:tc>
          <w:tcPr>
            <w:tcW w:w="2160" w:type="dxa"/>
            <w:noWrap/>
            <w:hideMark/>
          </w:tcPr>
          <w:p w:rsidR="00E7056C" w:rsidRPr="00E7056C" w:rsidRDefault="00E7056C" w:rsidP="00E7056C">
            <w:pPr>
              <w:rPr>
                <w:rFonts w:ascii="Calibri" w:eastAsia="Times New Roman" w:hAnsi="Calibri" w:cs="Calibri"/>
                <w:b/>
                <w:color w:val="000000"/>
              </w:rPr>
            </w:pPr>
            <w:r w:rsidRPr="00E7056C">
              <w:rPr>
                <w:rFonts w:ascii="Calibri" w:eastAsia="Times New Roman" w:hAnsi="Calibri" w:cs="Calibri"/>
                <w:b/>
                <w:color w:val="000000"/>
              </w:rPr>
              <w:t>Interest Rate Data</w:t>
            </w:r>
          </w:p>
        </w:tc>
        <w:tc>
          <w:tcPr>
            <w:tcW w:w="324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Data on interest rates affecting investment bank activities.</w:t>
            </w:r>
          </w:p>
        </w:tc>
        <w:tc>
          <w:tcPr>
            <w:tcW w:w="468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Current interest rates for loans, mortgages, and savings accounts in commercial banking.</w:t>
            </w:r>
          </w:p>
        </w:tc>
      </w:tr>
      <w:tr w:rsidR="00E7056C" w:rsidRPr="00E7056C" w:rsidTr="00E7056C">
        <w:trPr>
          <w:trHeight w:val="300"/>
        </w:trPr>
        <w:tc>
          <w:tcPr>
            <w:tcW w:w="2160" w:type="dxa"/>
            <w:noWrap/>
            <w:hideMark/>
          </w:tcPr>
          <w:p w:rsidR="00E7056C" w:rsidRPr="00E7056C" w:rsidRDefault="00E7056C" w:rsidP="00E7056C">
            <w:pPr>
              <w:rPr>
                <w:rFonts w:ascii="Calibri" w:eastAsia="Times New Roman" w:hAnsi="Calibri" w:cs="Calibri"/>
                <w:b/>
                <w:color w:val="000000"/>
              </w:rPr>
            </w:pPr>
            <w:r w:rsidRPr="00E7056C">
              <w:rPr>
                <w:rFonts w:ascii="Calibri" w:eastAsia="Times New Roman" w:hAnsi="Calibri" w:cs="Calibri"/>
                <w:b/>
                <w:color w:val="000000"/>
              </w:rPr>
              <w:t>Regulatory News</w:t>
            </w:r>
          </w:p>
        </w:tc>
        <w:tc>
          <w:tcPr>
            <w:tcW w:w="324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Updates on regulations impacting investment banking activities.</w:t>
            </w:r>
          </w:p>
        </w:tc>
        <w:tc>
          <w:tcPr>
            <w:tcW w:w="468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Information on regulatory changes from bodies like the Federal Reserve affecting commercial banks.</w:t>
            </w:r>
          </w:p>
        </w:tc>
      </w:tr>
      <w:tr w:rsidR="00E7056C" w:rsidRPr="00E7056C" w:rsidTr="00E7056C">
        <w:trPr>
          <w:trHeight w:val="300"/>
        </w:trPr>
        <w:tc>
          <w:tcPr>
            <w:tcW w:w="2160" w:type="dxa"/>
            <w:noWrap/>
            <w:hideMark/>
          </w:tcPr>
          <w:p w:rsidR="00E7056C" w:rsidRPr="00E7056C" w:rsidRDefault="00E7056C" w:rsidP="00E7056C">
            <w:pPr>
              <w:rPr>
                <w:rFonts w:ascii="Calibri" w:eastAsia="Times New Roman" w:hAnsi="Calibri" w:cs="Calibri"/>
                <w:b/>
                <w:color w:val="000000"/>
              </w:rPr>
            </w:pPr>
            <w:r w:rsidRPr="00E7056C">
              <w:rPr>
                <w:rFonts w:ascii="Calibri" w:eastAsia="Times New Roman" w:hAnsi="Calibri" w:cs="Calibri"/>
                <w:b/>
                <w:color w:val="000000"/>
              </w:rPr>
              <w:t>Key Ratios</w:t>
            </w:r>
          </w:p>
        </w:tc>
        <w:tc>
          <w:tcPr>
            <w:tcW w:w="324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Financial health indicators such as equity ratios and trading volumes for investment banks.</w:t>
            </w:r>
          </w:p>
        </w:tc>
        <w:tc>
          <w:tcPr>
            <w:tcW w:w="468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Ratios like non-performing loan ratio and net interest margin specific to commercial banking.</w:t>
            </w:r>
          </w:p>
        </w:tc>
      </w:tr>
      <w:tr w:rsidR="00E7056C" w:rsidRPr="00E7056C" w:rsidTr="00E7056C">
        <w:trPr>
          <w:trHeight w:val="300"/>
        </w:trPr>
        <w:tc>
          <w:tcPr>
            <w:tcW w:w="2160" w:type="dxa"/>
            <w:noWrap/>
            <w:hideMark/>
          </w:tcPr>
          <w:p w:rsidR="00E7056C" w:rsidRPr="00E7056C" w:rsidRDefault="00E7056C" w:rsidP="00E7056C">
            <w:pPr>
              <w:rPr>
                <w:rFonts w:ascii="Calibri" w:eastAsia="Times New Roman" w:hAnsi="Calibri" w:cs="Calibri"/>
                <w:b/>
                <w:color w:val="000000"/>
              </w:rPr>
            </w:pPr>
            <w:r w:rsidRPr="00E7056C">
              <w:rPr>
                <w:rFonts w:ascii="Calibri" w:eastAsia="Times New Roman" w:hAnsi="Calibri" w:cs="Calibri"/>
                <w:b/>
                <w:color w:val="000000"/>
              </w:rPr>
              <w:t>Practical Usage Examples</w:t>
            </w:r>
          </w:p>
        </w:tc>
        <w:tc>
          <w:tcPr>
            <w:tcW w:w="324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Comparing investment banking revenue and stock performance for investment decisions.</w:t>
            </w:r>
          </w:p>
        </w:tc>
        <w:tc>
          <w:tcPr>
            <w:tcW w:w="468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Monitoring interest rates and regulatory news for insights on commercial bank performance.</w:t>
            </w:r>
          </w:p>
        </w:tc>
      </w:tr>
      <w:tr w:rsidR="00E7056C" w:rsidRPr="00E7056C" w:rsidTr="00E7056C">
        <w:trPr>
          <w:trHeight w:val="300"/>
        </w:trPr>
        <w:tc>
          <w:tcPr>
            <w:tcW w:w="2160" w:type="dxa"/>
            <w:noWrap/>
            <w:hideMark/>
          </w:tcPr>
          <w:p w:rsidR="00E7056C" w:rsidRPr="00E7056C" w:rsidRDefault="00E7056C" w:rsidP="00E7056C">
            <w:pPr>
              <w:rPr>
                <w:rFonts w:ascii="Calibri" w:eastAsia="Times New Roman" w:hAnsi="Calibri" w:cs="Calibri"/>
                <w:b/>
                <w:color w:val="000000"/>
              </w:rPr>
            </w:pPr>
            <w:r w:rsidRPr="00E7056C">
              <w:rPr>
                <w:rFonts w:ascii="Calibri" w:eastAsia="Times New Roman" w:hAnsi="Calibri" w:cs="Calibri"/>
                <w:b/>
                <w:color w:val="000000"/>
              </w:rPr>
              <w:t>Market Analysis</w:t>
            </w:r>
          </w:p>
        </w:tc>
        <w:tc>
          <w:tcPr>
            <w:tcW w:w="324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Analyzing investment banking trends and financial metrics using Yahoo Finance tools.</w:t>
            </w:r>
          </w:p>
        </w:tc>
        <w:tc>
          <w:tcPr>
            <w:tcW w:w="468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Analyzing trends in commercial banking and assessing financial health using key metrics.</w:t>
            </w:r>
          </w:p>
        </w:tc>
      </w:tr>
      <w:tr w:rsidR="00E7056C" w:rsidRPr="00E7056C" w:rsidTr="00E7056C">
        <w:trPr>
          <w:trHeight w:val="300"/>
        </w:trPr>
        <w:tc>
          <w:tcPr>
            <w:tcW w:w="2160" w:type="dxa"/>
            <w:noWrap/>
            <w:hideMark/>
          </w:tcPr>
          <w:p w:rsidR="00E7056C" w:rsidRPr="00E7056C" w:rsidRDefault="00E7056C" w:rsidP="00E7056C">
            <w:pPr>
              <w:rPr>
                <w:rFonts w:ascii="Calibri" w:eastAsia="Times New Roman" w:hAnsi="Calibri" w:cs="Calibri"/>
                <w:b/>
                <w:color w:val="000000"/>
              </w:rPr>
            </w:pPr>
            <w:r w:rsidRPr="00E7056C">
              <w:rPr>
                <w:rFonts w:ascii="Calibri" w:eastAsia="Times New Roman" w:hAnsi="Calibri" w:cs="Calibri"/>
                <w:b/>
                <w:color w:val="000000"/>
              </w:rPr>
              <w:t>Regulatory Impact Studies</w:t>
            </w:r>
          </w:p>
        </w:tc>
        <w:tc>
          <w:tcPr>
            <w:tcW w:w="324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Accessing expert opinions and financial data on the impact of new banking regulations.</w:t>
            </w:r>
          </w:p>
        </w:tc>
        <w:tc>
          <w:tcPr>
            <w:tcW w:w="4680" w:type="dxa"/>
            <w:noWrap/>
            <w:hideMark/>
          </w:tcPr>
          <w:p w:rsidR="00E7056C" w:rsidRPr="00E7056C" w:rsidRDefault="00E7056C" w:rsidP="00E7056C">
            <w:pPr>
              <w:rPr>
                <w:rFonts w:ascii="Calibri" w:eastAsia="Times New Roman" w:hAnsi="Calibri" w:cs="Calibri"/>
                <w:color w:val="000000"/>
              </w:rPr>
            </w:pPr>
            <w:r w:rsidRPr="00E7056C">
              <w:rPr>
                <w:rFonts w:ascii="Calibri" w:eastAsia="Times New Roman" w:hAnsi="Calibri" w:cs="Calibri"/>
                <w:color w:val="000000"/>
              </w:rPr>
              <w:t>Studying regulatory impacts on commercial banks using detailed news articles and analysis.</w:t>
            </w:r>
          </w:p>
        </w:tc>
      </w:tr>
    </w:tbl>
    <w:p w:rsidR="00E7056C" w:rsidRDefault="00E7056C" w:rsidP="00E7056C">
      <w:pPr>
        <w:pStyle w:val="Heading3"/>
      </w:pPr>
      <w:bookmarkStart w:id="50" w:name="_Toc169624181"/>
      <w:r>
        <w:t>How Yahoo Finance can be related to Investment banking and Commercial Banking:</w:t>
      </w:r>
      <w:bookmarkEnd w:id="50"/>
    </w:p>
    <w:p w:rsidR="00E7056C" w:rsidRDefault="00E7056C" w:rsidP="00E7056C"/>
    <w:p w:rsidR="002B118D" w:rsidRPr="002B118D" w:rsidRDefault="002B118D" w:rsidP="002B118D"/>
    <w:p w:rsidR="002B118D" w:rsidRPr="002B118D" w:rsidRDefault="002B118D" w:rsidP="002B118D"/>
    <w:p w:rsidR="002B118D" w:rsidRDefault="002B118D" w:rsidP="00E7056C">
      <w:pPr>
        <w:pStyle w:val="Title"/>
        <w:jc w:val="right"/>
      </w:pPr>
    </w:p>
    <w:p w:rsidR="00E7056C" w:rsidRPr="00E7056C" w:rsidRDefault="00E7056C" w:rsidP="00E7056C">
      <w:pPr>
        <w:pStyle w:val="Title"/>
        <w:jc w:val="right"/>
      </w:pPr>
      <w:bookmarkStart w:id="51" w:name="_GoBack"/>
      <w:bookmarkEnd w:id="51"/>
      <w:r>
        <w:t>Thank You</w:t>
      </w:r>
    </w:p>
    <w:p w:rsidR="008F3AA2" w:rsidRPr="00E7056C" w:rsidRDefault="008F3AA2" w:rsidP="00E7056C"/>
    <w:sectPr w:rsidR="008F3AA2" w:rsidRPr="00E70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788"/>
    <w:multiLevelType w:val="multilevel"/>
    <w:tmpl w:val="3880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222419"/>
    <w:multiLevelType w:val="multilevel"/>
    <w:tmpl w:val="066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87D51"/>
    <w:multiLevelType w:val="multilevel"/>
    <w:tmpl w:val="D854A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923116"/>
    <w:multiLevelType w:val="multilevel"/>
    <w:tmpl w:val="CF7EA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C319F1"/>
    <w:multiLevelType w:val="multilevel"/>
    <w:tmpl w:val="DEDA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9639D9"/>
    <w:multiLevelType w:val="multilevel"/>
    <w:tmpl w:val="F8B8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5D0FA2"/>
    <w:multiLevelType w:val="multilevel"/>
    <w:tmpl w:val="E16C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7C5DFF"/>
    <w:multiLevelType w:val="multilevel"/>
    <w:tmpl w:val="834C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D115C4"/>
    <w:multiLevelType w:val="multilevel"/>
    <w:tmpl w:val="546E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1408BC"/>
    <w:multiLevelType w:val="multilevel"/>
    <w:tmpl w:val="95DE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D57C5D"/>
    <w:multiLevelType w:val="multilevel"/>
    <w:tmpl w:val="C42C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343BFC"/>
    <w:multiLevelType w:val="multilevel"/>
    <w:tmpl w:val="E7F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982964"/>
    <w:multiLevelType w:val="multilevel"/>
    <w:tmpl w:val="30E6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A87F7B"/>
    <w:multiLevelType w:val="multilevel"/>
    <w:tmpl w:val="EACC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2B6713"/>
    <w:multiLevelType w:val="multilevel"/>
    <w:tmpl w:val="4864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E1023A"/>
    <w:multiLevelType w:val="multilevel"/>
    <w:tmpl w:val="25BA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018382E"/>
    <w:multiLevelType w:val="multilevel"/>
    <w:tmpl w:val="E7B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080C7E"/>
    <w:multiLevelType w:val="hybridMultilevel"/>
    <w:tmpl w:val="00DC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C22DD4"/>
    <w:multiLevelType w:val="hybridMultilevel"/>
    <w:tmpl w:val="196C8D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DD0482"/>
    <w:multiLevelType w:val="multilevel"/>
    <w:tmpl w:val="47A6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457609"/>
    <w:multiLevelType w:val="multilevel"/>
    <w:tmpl w:val="EBFA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17"/>
  </w:num>
  <w:num w:numId="4">
    <w:abstractNumId w:val="3"/>
  </w:num>
  <w:num w:numId="5">
    <w:abstractNumId w:val="8"/>
  </w:num>
  <w:num w:numId="6">
    <w:abstractNumId w:val="10"/>
  </w:num>
  <w:num w:numId="7">
    <w:abstractNumId w:val="20"/>
  </w:num>
  <w:num w:numId="8">
    <w:abstractNumId w:val="15"/>
  </w:num>
  <w:num w:numId="9">
    <w:abstractNumId w:val="19"/>
  </w:num>
  <w:num w:numId="10">
    <w:abstractNumId w:val="2"/>
  </w:num>
  <w:num w:numId="11">
    <w:abstractNumId w:val="7"/>
  </w:num>
  <w:num w:numId="12">
    <w:abstractNumId w:val="6"/>
  </w:num>
  <w:num w:numId="13">
    <w:abstractNumId w:val="4"/>
  </w:num>
  <w:num w:numId="14">
    <w:abstractNumId w:val="12"/>
  </w:num>
  <w:num w:numId="15">
    <w:abstractNumId w:val="13"/>
  </w:num>
  <w:num w:numId="16">
    <w:abstractNumId w:val="18"/>
  </w:num>
  <w:num w:numId="17">
    <w:abstractNumId w:val="14"/>
  </w:num>
  <w:num w:numId="18">
    <w:abstractNumId w:val="9"/>
  </w:num>
  <w:num w:numId="19">
    <w:abstractNumId w:val="11"/>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020"/>
    <w:rsid w:val="00017020"/>
    <w:rsid w:val="000E6BF0"/>
    <w:rsid w:val="0026193B"/>
    <w:rsid w:val="002B118D"/>
    <w:rsid w:val="002B4F6D"/>
    <w:rsid w:val="003548AA"/>
    <w:rsid w:val="0047135A"/>
    <w:rsid w:val="004B5ABD"/>
    <w:rsid w:val="00555755"/>
    <w:rsid w:val="005666FE"/>
    <w:rsid w:val="00682893"/>
    <w:rsid w:val="00697F6D"/>
    <w:rsid w:val="008F3AA2"/>
    <w:rsid w:val="009848E0"/>
    <w:rsid w:val="009E3128"/>
    <w:rsid w:val="009E67B7"/>
    <w:rsid w:val="00A86334"/>
    <w:rsid w:val="00AE2105"/>
    <w:rsid w:val="00B10CBE"/>
    <w:rsid w:val="00B74735"/>
    <w:rsid w:val="00C34CDC"/>
    <w:rsid w:val="00CC4FF6"/>
    <w:rsid w:val="00E70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7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F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0C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02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71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135A"/>
    <w:rPr>
      <w:color w:val="0000FF"/>
      <w:u w:val="single"/>
    </w:rPr>
  </w:style>
  <w:style w:type="character" w:styleId="Strong">
    <w:name w:val="Strong"/>
    <w:basedOn w:val="DefaultParagraphFont"/>
    <w:uiPriority w:val="22"/>
    <w:qFormat/>
    <w:rsid w:val="002B4F6D"/>
    <w:rPr>
      <w:b/>
      <w:bCs/>
    </w:rPr>
  </w:style>
  <w:style w:type="character" w:customStyle="1" w:styleId="Heading2Char">
    <w:name w:val="Heading 2 Char"/>
    <w:basedOn w:val="DefaultParagraphFont"/>
    <w:link w:val="Heading2"/>
    <w:uiPriority w:val="9"/>
    <w:rsid w:val="008F3AA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F3AA2"/>
    <w:pPr>
      <w:ind w:left="720"/>
      <w:contextualSpacing/>
    </w:pPr>
  </w:style>
  <w:style w:type="paragraph" w:styleId="BalloonText">
    <w:name w:val="Balloon Text"/>
    <w:basedOn w:val="Normal"/>
    <w:link w:val="BalloonTextChar"/>
    <w:uiPriority w:val="99"/>
    <w:semiHidden/>
    <w:unhideWhenUsed/>
    <w:rsid w:val="00B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735"/>
    <w:rPr>
      <w:rFonts w:ascii="Tahoma" w:hAnsi="Tahoma" w:cs="Tahoma"/>
      <w:sz w:val="16"/>
      <w:szCs w:val="16"/>
    </w:rPr>
  </w:style>
  <w:style w:type="character" w:customStyle="1" w:styleId="Heading3Char">
    <w:name w:val="Heading 3 Char"/>
    <w:basedOn w:val="DefaultParagraphFont"/>
    <w:link w:val="Heading3"/>
    <w:uiPriority w:val="9"/>
    <w:rsid w:val="00CC4F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0CBE"/>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70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056C"/>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E7056C"/>
    <w:pPr>
      <w:outlineLvl w:val="9"/>
    </w:pPr>
    <w:rPr>
      <w:lang w:eastAsia="ja-JP"/>
    </w:rPr>
  </w:style>
  <w:style w:type="paragraph" w:styleId="TOC1">
    <w:name w:val="toc 1"/>
    <w:basedOn w:val="Normal"/>
    <w:next w:val="Normal"/>
    <w:autoRedefine/>
    <w:uiPriority w:val="39"/>
    <w:unhideWhenUsed/>
    <w:rsid w:val="00E7056C"/>
    <w:pPr>
      <w:spacing w:after="100"/>
    </w:pPr>
  </w:style>
  <w:style w:type="paragraph" w:styleId="TOC2">
    <w:name w:val="toc 2"/>
    <w:basedOn w:val="Normal"/>
    <w:next w:val="Normal"/>
    <w:autoRedefine/>
    <w:uiPriority w:val="39"/>
    <w:unhideWhenUsed/>
    <w:rsid w:val="00E7056C"/>
    <w:pPr>
      <w:spacing w:after="100"/>
      <w:ind w:left="220"/>
    </w:pPr>
  </w:style>
  <w:style w:type="paragraph" w:styleId="TOC3">
    <w:name w:val="toc 3"/>
    <w:basedOn w:val="Normal"/>
    <w:next w:val="Normal"/>
    <w:autoRedefine/>
    <w:uiPriority w:val="39"/>
    <w:unhideWhenUsed/>
    <w:rsid w:val="00E7056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7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F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0C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02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71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135A"/>
    <w:rPr>
      <w:color w:val="0000FF"/>
      <w:u w:val="single"/>
    </w:rPr>
  </w:style>
  <w:style w:type="character" w:styleId="Strong">
    <w:name w:val="Strong"/>
    <w:basedOn w:val="DefaultParagraphFont"/>
    <w:uiPriority w:val="22"/>
    <w:qFormat/>
    <w:rsid w:val="002B4F6D"/>
    <w:rPr>
      <w:b/>
      <w:bCs/>
    </w:rPr>
  </w:style>
  <w:style w:type="character" w:customStyle="1" w:styleId="Heading2Char">
    <w:name w:val="Heading 2 Char"/>
    <w:basedOn w:val="DefaultParagraphFont"/>
    <w:link w:val="Heading2"/>
    <w:uiPriority w:val="9"/>
    <w:rsid w:val="008F3AA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F3AA2"/>
    <w:pPr>
      <w:ind w:left="720"/>
      <w:contextualSpacing/>
    </w:pPr>
  </w:style>
  <w:style w:type="paragraph" w:styleId="BalloonText">
    <w:name w:val="Balloon Text"/>
    <w:basedOn w:val="Normal"/>
    <w:link w:val="BalloonTextChar"/>
    <w:uiPriority w:val="99"/>
    <w:semiHidden/>
    <w:unhideWhenUsed/>
    <w:rsid w:val="00B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735"/>
    <w:rPr>
      <w:rFonts w:ascii="Tahoma" w:hAnsi="Tahoma" w:cs="Tahoma"/>
      <w:sz w:val="16"/>
      <w:szCs w:val="16"/>
    </w:rPr>
  </w:style>
  <w:style w:type="character" w:customStyle="1" w:styleId="Heading3Char">
    <w:name w:val="Heading 3 Char"/>
    <w:basedOn w:val="DefaultParagraphFont"/>
    <w:link w:val="Heading3"/>
    <w:uiPriority w:val="9"/>
    <w:rsid w:val="00CC4FF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0CBE"/>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705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056C"/>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E7056C"/>
    <w:pPr>
      <w:outlineLvl w:val="9"/>
    </w:pPr>
    <w:rPr>
      <w:lang w:eastAsia="ja-JP"/>
    </w:rPr>
  </w:style>
  <w:style w:type="paragraph" w:styleId="TOC1">
    <w:name w:val="toc 1"/>
    <w:basedOn w:val="Normal"/>
    <w:next w:val="Normal"/>
    <w:autoRedefine/>
    <w:uiPriority w:val="39"/>
    <w:unhideWhenUsed/>
    <w:rsid w:val="00E7056C"/>
    <w:pPr>
      <w:spacing w:after="100"/>
    </w:pPr>
  </w:style>
  <w:style w:type="paragraph" w:styleId="TOC2">
    <w:name w:val="toc 2"/>
    <w:basedOn w:val="Normal"/>
    <w:next w:val="Normal"/>
    <w:autoRedefine/>
    <w:uiPriority w:val="39"/>
    <w:unhideWhenUsed/>
    <w:rsid w:val="00E7056C"/>
    <w:pPr>
      <w:spacing w:after="100"/>
      <w:ind w:left="220"/>
    </w:pPr>
  </w:style>
  <w:style w:type="paragraph" w:styleId="TOC3">
    <w:name w:val="toc 3"/>
    <w:basedOn w:val="Normal"/>
    <w:next w:val="Normal"/>
    <w:autoRedefine/>
    <w:uiPriority w:val="39"/>
    <w:unhideWhenUsed/>
    <w:rsid w:val="00E705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4523">
      <w:bodyDiv w:val="1"/>
      <w:marLeft w:val="0"/>
      <w:marRight w:val="0"/>
      <w:marTop w:val="0"/>
      <w:marBottom w:val="0"/>
      <w:divBdr>
        <w:top w:val="none" w:sz="0" w:space="0" w:color="auto"/>
        <w:left w:val="none" w:sz="0" w:space="0" w:color="auto"/>
        <w:bottom w:val="none" w:sz="0" w:space="0" w:color="auto"/>
        <w:right w:val="none" w:sz="0" w:space="0" w:color="auto"/>
      </w:divBdr>
    </w:div>
    <w:div w:id="88701369">
      <w:bodyDiv w:val="1"/>
      <w:marLeft w:val="0"/>
      <w:marRight w:val="0"/>
      <w:marTop w:val="0"/>
      <w:marBottom w:val="0"/>
      <w:divBdr>
        <w:top w:val="none" w:sz="0" w:space="0" w:color="auto"/>
        <w:left w:val="none" w:sz="0" w:space="0" w:color="auto"/>
        <w:bottom w:val="none" w:sz="0" w:space="0" w:color="auto"/>
        <w:right w:val="none" w:sz="0" w:space="0" w:color="auto"/>
      </w:divBdr>
    </w:div>
    <w:div w:id="164714886">
      <w:bodyDiv w:val="1"/>
      <w:marLeft w:val="0"/>
      <w:marRight w:val="0"/>
      <w:marTop w:val="0"/>
      <w:marBottom w:val="0"/>
      <w:divBdr>
        <w:top w:val="none" w:sz="0" w:space="0" w:color="auto"/>
        <w:left w:val="none" w:sz="0" w:space="0" w:color="auto"/>
        <w:bottom w:val="none" w:sz="0" w:space="0" w:color="auto"/>
        <w:right w:val="none" w:sz="0" w:space="0" w:color="auto"/>
      </w:divBdr>
    </w:div>
    <w:div w:id="172960058">
      <w:bodyDiv w:val="1"/>
      <w:marLeft w:val="0"/>
      <w:marRight w:val="0"/>
      <w:marTop w:val="0"/>
      <w:marBottom w:val="0"/>
      <w:divBdr>
        <w:top w:val="none" w:sz="0" w:space="0" w:color="auto"/>
        <w:left w:val="none" w:sz="0" w:space="0" w:color="auto"/>
        <w:bottom w:val="none" w:sz="0" w:space="0" w:color="auto"/>
        <w:right w:val="none" w:sz="0" w:space="0" w:color="auto"/>
      </w:divBdr>
    </w:div>
    <w:div w:id="213659634">
      <w:bodyDiv w:val="1"/>
      <w:marLeft w:val="0"/>
      <w:marRight w:val="0"/>
      <w:marTop w:val="0"/>
      <w:marBottom w:val="0"/>
      <w:divBdr>
        <w:top w:val="none" w:sz="0" w:space="0" w:color="auto"/>
        <w:left w:val="none" w:sz="0" w:space="0" w:color="auto"/>
        <w:bottom w:val="none" w:sz="0" w:space="0" w:color="auto"/>
        <w:right w:val="none" w:sz="0" w:space="0" w:color="auto"/>
      </w:divBdr>
    </w:div>
    <w:div w:id="444078032">
      <w:bodyDiv w:val="1"/>
      <w:marLeft w:val="0"/>
      <w:marRight w:val="0"/>
      <w:marTop w:val="0"/>
      <w:marBottom w:val="0"/>
      <w:divBdr>
        <w:top w:val="none" w:sz="0" w:space="0" w:color="auto"/>
        <w:left w:val="none" w:sz="0" w:space="0" w:color="auto"/>
        <w:bottom w:val="none" w:sz="0" w:space="0" w:color="auto"/>
        <w:right w:val="none" w:sz="0" w:space="0" w:color="auto"/>
      </w:divBdr>
    </w:div>
    <w:div w:id="486752826">
      <w:bodyDiv w:val="1"/>
      <w:marLeft w:val="0"/>
      <w:marRight w:val="0"/>
      <w:marTop w:val="0"/>
      <w:marBottom w:val="0"/>
      <w:divBdr>
        <w:top w:val="none" w:sz="0" w:space="0" w:color="auto"/>
        <w:left w:val="none" w:sz="0" w:space="0" w:color="auto"/>
        <w:bottom w:val="none" w:sz="0" w:space="0" w:color="auto"/>
        <w:right w:val="none" w:sz="0" w:space="0" w:color="auto"/>
      </w:divBdr>
    </w:div>
    <w:div w:id="507211898">
      <w:bodyDiv w:val="1"/>
      <w:marLeft w:val="0"/>
      <w:marRight w:val="0"/>
      <w:marTop w:val="0"/>
      <w:marBottom w:val="0"/>
      <w:divBdr>
        <w:top w:val="none" w:sz="0" w:space="0" w:color="auto"/>
        <w:left w:val="none" w:sz="0" w:space="0" w:color="auto"/>
        <w:bottom w:val="none" w:sz="0" w:space="0" w:color="auto"/>
        <w:right w:val="none" w:sz="0" w:space="0" w:color="auto"/>
      </w:divBdr>
    </w:div>
    <w:div w:id="527914779">
      <w:bodyDiv w:val="1"/>
      <w:marLeft w:val="0"/>
      <w:marRight w:val="0"/>
      <w:marTop w:val="0"/>
      <w:marBottom w:val="0"/>
      <w:divBdr>
        <w:top w:val="none" w:sz="0" w:space="0" w:color="auto"/>
        <w:left w:val="none" w:sz="0" w:space="0" w:color="auto"/>
        <w:bottom w:val="none" w:sz="0" w:space="0" w:color="auto"/>
        <w:right w:val="none" w:sz="0" w:space="0" w:color="auto"/>
      </w:divBdr>
    </w:div>
    <w:div w:id="609819568">
      <w:bodyDiv w:val="1"/>
      <w:marLeft w:val="0"/>
      <w:marRight w:val="0"/>
      <w:marTop w:val="0"/>
      <w:marBottom w:val="0"/>
      <w:divBdr>
        <w:top w:val="none" w:sz="0" w:space="0" w:color="auto"/>
        <w:left w:val="none" w:sz="0" w:space="0" w:color="auto"/>
        <w:bottom w:val="none" w:sz="0" w:space="0" w:color="auto"/>
        <w:right w:val="none" w:sz="0" w:space="0" w:color="auto"/>
      </w:divBdr>
    </w:div>
    <w:div w:id="689332971">
      <w:bodyDiv w:val="1"/>
      <w:marLeft w:val="0"/>
      <w:marRight w:val="0"/>
      <w:marTop w:val="0"/>
      <w:marBottom w:val="0"/>
      <w:divBdr>
        <w:top w:val="none" w:sz="0" w:space="0" w:color="auto"/>
        <w:left w:val="none" w:sz="0" w:space="0" w:color="auto"/>
        <w:bottom w:val="none" w:sz="0" w:space="0" w:color="auto"/>
        <w:right w:val="none" w:sz="0" w:space="0" w:color="auto"/>
      </w:divBdr>
    </w:div>
    <w:div w:id="735208277">
      <w:bodyDiv w:val="1"/>
      <w:marLeft w:val="0"/>
      <w:marRight w:val="0"/>
      <w:marTop w:val="0"/>
      <w:marBottom w:val="0"/>
      <w:divBdr>
        <w:top w:val="none" w:sz="0" w:space="0" w:color="auto"/>
        <w:left w:val="none" w:sz="0" w:space="0" w:color="auto"/>
        <w:bottom w:val="none" w:sz="0" w:space="0" w:color="auto"/>
        <w:right w:val="none" w:sz="0" w:space="0" w:color="auto"/>
      </w:divBdr>
    </w:div>
    <w:div w:id="762720910">
      <w:bodyDiv w:val="1"/>
      <w:marLeft w:val="0"/>
      <w:marRight w:val="0"/>
      <w:marTop w:val="0"/>
      <w:marBottom w:val="0"/>
      <w:divBdr>
        <w:top w:val="none" w:sz="0" w:space="0" w:color="auto"/>
        <w:left w:val="none" w:sz="0" w:space="0" w:color="auto"/>
        <w:bottom w:val="none" w:sz="0" w:space="0" w:color="auto"/>
        <w:right w:val="none" w:sz="0" w:space="0" w:color="auto"/>
      </w:divBdr>
    </w:div>
    <w:div w:id="798573962">
      <w:bodyDiv w:val="1"/>
      <w:marLeft w:val="0"/>
      <w:marRight w:val="0"/>
      <w:marTop w:val="0"/>
      <w:marBottom w:val="0"/>
      <w:divBdr>
        <w:top w:val="none" w:sz="0" w:space="0" w:color="auto"/>
        <w:left w:val="none" w:sz="0" w:space="0" w:color="auto"/>
        <w:bottom w:val="none" w:sz="0" w:space="0" w:color="auto"/>
        <w:right w:val="none" w:sz="0" w:space="0" w:color="auto"/>
      </w:divBdr>
    </w:div>
    <w:div w:id="839538458">
      <w:bodyDiv w:val="1"/>
      <w:marLeft w:val="0"/>
      <w:marRight w:val="0"/>
      <w:marTop w:val="0"/>
      <w:marBottom w:val="0"/>
      <w:divBdr>
        <w:top w:val="none" w:sz="0" w:space="0" w:color="auto"/>
        <w:left w:val="none" w:sz="0" w:space="0" w:color="auto"/>
        <w:bottom w:val="none" w:sz="0" w:space="0" w:color="auto"/>
        <w:right w:val="none" w:sz="0" w:space="0" w:color="auto"/>
      </w:divBdr>
    </w:div>
    <w:div w:id="895242560">
      <w:bodyDiv w:val="1"/>
      <w:marLeft w:val="0"/>
      <w:marRight w:val="0"/>
      <w:marTop w:val="0"/>
      <w:marBottom w:val="0"/>
      <w:divBdr>
        <w:top w:val="none" w:sz="0" w:space="0" w:color="auto"/>
        <w:left w:val="none" w:sz="0" w:space="0" w:color="auto"/>
        <w:bottom w:val="none" w:sz="0" w:space="0" w:color="auto"/>
        <w:right w:val="none" w:sz="0" w:space="0" w:color="auto"/>
      </w:divBdr>
      <w:divsChild>
        <w:div w:id="1674407415">
          <w:marLeft w:val="0"/>
          <w:marRight w:val="0"/>
          <w:marTop w:val="0"/>
          <w:marBottom w:val="0"/>
          <w:divBdr>
            <w:top w:val="none" w:sz="0" w:space="0" w:color="auto"/>
            <w:left w:val="none" w:sz="0" w:space="0" w:color="auto"/>
            <w:bottom w:val="none" w:sz="0" w:space="0" w:color="auto"/>
            <w:right w:val="none" w:sz="0" w:space="0" w:color="auto"/>
          </w:divBdr>
        </w:div>
      </w:divsChild>
    </w:div>
    <w:div w:id="902522023">
      <w:bodyDiv w:val="1"/>
      <w:marLeft w:val="0"/>
      <w:marRight w:val="0"/>
      <w:marTop w:val="0"/>
      <w:marBottom w:val="0"/>
      <w:divBdr>
        <w:top w:val="none" w:sz="0" w:space="0" w:color="auto"/>
        <w:left w:val="none" w:sz="0" w:space="0" w:color="auto"/>
        <w:bottom w:val="none" w:sz="0" w:space="0" w:color="auto"/>
        <w:right w:val="none" w:sz="0" w:space="0" w:color="auto"/>
      </w:divBdr>
    </w:div>
    <w:div w:id="942614417">
      <w:bodyDiv w:val="1"/>
      <w:marLeft w:val="0"/>
      <w:marRight w:val="0"/>
      <w:marTop w:val="0"/>
      <w:marBottom w:val="0"/>
      <w:divBdr>
        <w:top w:val="none" w:sz="0" w:space="0" w:color="auto"/>
        <w:left w:val="none" w:sz="0" w:space="0" w:color="auto"/>
        <w:bottom w:val="none" w:sz="0" w:space="0" w:color="auto"/>
        <w:right w:val="none" w:sz="0" w:space="0" w:color="auto"/>
      </w:divBdr>
    </w:div>
    <w:div w:id="1041056564">
      <w:bodyDiv w:val="1"/>
      <w:marLeft w:val="0"/>
      <w:marRight w:val="0"/>
      <w:marTop w:val="0"/>
      <w:marBottom w:val="0"/>
      <w:divBdr>
        <w:top w:val="none" w:sz="0" w:space="0" w:color="auto"/>
        <w:left w:val="none" w:sz="0" w:space="0" w:color="auto"/>
        <w:bottom w:val="none" w:sz="0" w:space="0" w:color="auto"/>
        <w:right w:val="none" w:sz="0" w:space="0" w:color="auto"/>
      </w:divBdr>
    </w:div>
    <w:div w:id="1056009908">
      <w:bodyDiv w:val="1"/>
      <w:marLeft w:val="0"/>
      <w:marRight w:val="0"/>
      <w:marTop w:val="0"/>
      <w:marBottom w:val="0"/>
      <w:divBdr>
        <w:top w:val="none" w:sz="0" w:space="0" w:color="auto"/>
        <w:left w:val="none" w:sz="0" w:space="0" w:color="auto"/>
        <w:bottom w:val="none" w:sz="0" w:space="0" w:color="auto"/>
        <w:right w:val="none" w:sz="0" w:space="0" w:color="auto"/>
      </w:divBdr>
    </w:div>
    <w:div w:id="1085805660">
      <w:bodyDiv w:val="1"/>
      <w:marLeft w:val="0"/>
      <w:marRight w:val="0"/>
      <w:marTop w:val="0"/>
      <w:marBottom w:val="0"/>
      <w:divBdr>
        <w:top w:val="none" w:sz="0" w:space="0" w:color="auto"/>
        <w:left w:val="none" w:sz="0" w:space="0" w:color="auto"/>
        <w:bottom w:val="none" w:sz="0" w:space="0" w:color="auto"/>
        <w:right w:val="none" w:sz="0" w:space="0" w:color="auto"/>
      </w:divBdr>
    </w:div>
    <w:div w:id="1143622324">
      <w:bodyDiv w:val="1"/>
      <w:marLeft w:val="0"/>
      <w:marRight w:val="0"/>
      <w:marTop w:val="0"/>
      <w:marBottom w:val="0"/>
      <w:divBdr>
        <w:top w:val="none" w:sz="0" w:space="0" w:color="auto"/>
        <w:left w:val="none" w:sz="0" w:space="0" w:color="auto"/>
        <w:bottom w:val="none" w:sz="0" w:space="0" w:color="auto"/>
        <w:right w:val="none" w:sz="0" w:space="0" w:color="auto"/>
      </w:divBdr>
    </w:div>
    <w:div w:id="1156798366">
      <w:bodyDiv w:val="1"/>
      <w:marLeft w:val="0"/>
      <w:marRight w:val="0"/>
      <w:marTop w:val="0"/>
      <w:marBottom w:val="0"/>
      <w:divBdr>
        <w:top w:val="none" w:sz="0" w:space="0" w:color="auto"/>
        <w:left w:val="none" w:sz="0" w:space="0" w:color="auto"/>
        <w:bottom w:val="none" w:sz="0" w:space="0" w:color="auto"/>
        <w:right w:val="none" w:sz="0" w:space="0" w:color="auto"/>
      </w:divBdr>
    </w:div>
    <w:div w:id="1316297910">
      <w:bodyDiv w:val="1"/>
      <w:marLeft w:val="0"/>
      <w:marRight w:val="0"/>
      <w:marTop w:val="0"/>
      <w:marBottom w:val="0"/>
      <w:divBdr>
        <w:top w:val="none" w:sz="0" w:space="0" w:color="auto"/>
        <w:left w:val="none" w:sz="0" w:space="0" w:color="auto"/>
        <w:bottom w:val="none" w:sz="0" w:space="0" w:color="auto"/>
        <w:right w:val="none" w:sz="0" w:space="0" w:color="auto"/>
      </w:divBdr>
    </w:div>
    <w:div w:id="1412309180">
      <w:bodyDiv w:val="1"/>
      <w:marLeft w:val="0"/>
      <w:marRight w:val="0"/>
      <w:marTop w:val="0"/>
      <w:marBottom w:val="0"/>
      <w:divBdr>
        <w:top w:val="none" w:sz="0" w:space="0" w:color="auto"/>
        <w:left w:val="none" w:sz="0" w:space="0" w:color="auto"/>
        <w:bottom w:val="none" w:sz="0" w:space="0" w:color="auto"/>
        <w:right w:val="none" w:sz="0" w:space="0" w:color="auto"/>
      </w:divBdr>
    </w:div>
    <w:div w:id="1509176943">
      <w:bodyDiv w:val="1"/>
      <w:marLeft w:val="0"/>
      <w:marRight w:val="0"/>
      <w:marTop w:val="0"/>
      <w:marBottom w:val="0"/>
      <w:divBdr>
        <w:top w:val="none" w:sz="0" w:space="0" w:color="auto"/>
        <w:left w:val="none" w:sz="0" w:space="0" w:color="auto"/>
        <w:bottom w:val="none" w:sz="0" w:space="0" w:color="auto"/>
        <w:right w:val="none" w:sz="0" w:space="0" w:color="auto"/>
      </w:divBdr>
    </w:div>
    <w:div w:id="1536503992">
      <w:bodyDiv w:val="1"/>
      <w:marLeft w:val="0"/>
      <w:marRight w:val="0"/>
      <w:marTop w:val="0"/>
      <w:marBottom w:val="0"/>
      <w:divBdr>
        <w:top w:val="none" w:sz="0" w:space="0" w:color="auto"/>
        <w:left w:val="none" w:sz="0" w:space="0" w:color="auto"/>
        <w:bottom w:val="none" w:sz="0" w:space="0" w:color="auto"/>
        <w:right w:val="none" w:sz="0" w:space="0" w:color="auto"/>
      </w:divBdr>
      <w:divsChild>
        <w:div w:id="171916988">
          <w:marLeft w:val="0"/>
          <w:marRight w:val="0"/>
          <w:marTop w:val="0"/>
          <w:marBottom w:val="0"/>
          <w:divBdr>
            <w:top w:val="none" w:sz="0" w:space="0" w:color="auto"/>
            <w:left w:val="none" w:sz="0" w:space="0" w:color="auto"/>
            <w:bottom w:val="none" w:sz="0" w:space="0" w:color="auto"/>
            <w:right w:val="none" w:sz="0" w:space="0" w:color="auto"/>
          </w:divBdr>
        </w:div>
      </w:divsChild>
    </w:div>
    <w:div w:id="1550536519">
      <w:bodyDiv w:val="1"/>
      <w:marLeft w:val="0"/>
      <w:marRight w:val="0"/>
      <w:marTop w:val="0"/>
      <w:marBottom w:val="0"/>
      <w:divBdr>
        <w:top w:val="none" w:sz="0" w:space="0" w:color="auto"/>
        <w:left w:val="none" w:sz="0" w:space="0" w:color="auto"/>
        <w:bottom w:val="none" w:sz="0" w:space="0" w:color="auto"/>
        <w:right w:val="none" w:sz="0" w:space="0" w:color="auto"/>
      </w:divBdr>
    </w:div>
    <w:div w:id="1658417826">
      <w:bodyDiv w:val="1"/>
      <w:marLeft w:val="0"/>
      <w:marRight w:val="0"/>
      <w:marTop w:val="0"/>
      <w:marBottom w:val="0"/>
      <w:divBdr>
        <w:top w:val="none" w:sz="0" w:space="0" w:color="auto"/>
        <w:left w:val="none" w:sz="0" w:space="0" w:color="auto"/>
        <w:bottom w:val="none" w:sz="0" w:space="0" w:color="auto"/>
        <w:right w:val="none" w:sz="0" w:space="0" w:color="auto"/>
      </w:divBdr>
    </w:div>
    <w:div w:id="1710569800">
      <w:bodyDiv w:val="1"/>
      <w:marLeft w:val="0"/>
      <w:marRight w:val="0"/>
      <w:marTop w:val="0"/>
      <w:marBottom w:val="0"/>
      <w:divBdr>
        <w:top w:val="none" w:sz="0" w:space="0" w:color="auto"/>
        <w:left w:val="none" w:sz="0" w:space="0" w:color="auto"/>
        <w:bottom w:val="none" w:sz="0" w:space="0" w:color="auto"/>
        <w:right w:val="none" w:sz="0" w:space="0" w:color="auto"/>
      </w:divBdr>
    </w:div>
    <w:div w:id="2026706284">
      <w:bodyDiv w:val="1"/>
      <w:marLeft w:val="0"/>
      <w:marRight w:val="0"/>
      <w:marTop w:val="0"/>
      <w:marBottom w:val="0"/>
      <w:divBdr>
        <w:top w:val="none" w:sz="0" w:space="0" w:color="auto"/>
        <w:left w:val="none" w:sz="0" w:space="0" w:color="auto"/>
        <w:bottom w:val="none" w:sz="0" w:space="0" w:color="auto"/>
        <w:right w:val="none" w:sz="0" w:space="0" w:color="auto"/>
      </w:divBdr>
    </w:div>
    <w:div w:id="206236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ortgage.asp"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s://www.investopedia.com/terms/c/certificateofdeposit.asp"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J.P. Morgan Chase</c:v>
                </c:pt>
              </c:strCache>
            </c:strRef>
          </c:tx>
          <c:cat>
            <c:numRef>
              <c:f>Sheet1!$A$2:$A$6</c:f>
              <c:numCache>
                <c:formatCode>General</c:formatCode>
                <c:ptCount val="5"/>
                <c:pt idx="0">
                  <c:v>2019</c:v>
                </c:pt>
                <c:pt idx="1">
                  <c:v>2020</c:v>
                </c:pt>
                <c:pt idx="2">
                  <c:v>2021</c:v>
                </c:pt>
                <c:pt idx="3">
                  <c:v>2022</c:v>
                </c:pt>
                <c:pt idx="4">
                  <c:v>2023</c:v>
                </c:pt>
              </c:numCache>
            </c:numRef>
          </c:cat>
          <c:val>
            <c:numRef>
              <c:f>Sheet1!$B$2:$B$6</c:f>
              <c:numCache>
                <c:formatCode>General</c:formatCode>
                <c:ptCount val="5"/>
                <c:pt idx="0">
                  <c:v>139.46</c:v>
                </c:pt>
                <c:pt idx="1">
                  <c:v>130.55000000000001</c:v>
                </c:pt>
                <c:pt idx="2">
                  <c:v>125.89</c:v>
                </c:pt>
                <c:pt idx="3">
                  <c:v>177.09</c:v>
                </c:pt>
                <c:pt idx="4">
                  <c:v>251.07</c:v>
                </c:pt>
              </c:numCache>
            </c:numRef>
          </c:val>
          <c:smooth val="0"/>
        </c:ser>
        <c:ser>
          <c:idx val="1"/>
          <c:order val="1"/>
          <c:tx>
            <c:strRef>
              <c:f>Sheet1!$C$1</c:f>
              <c:strCache>
                <c:ptCount val="1"/>
                <c:pt idx="0">
                  <c:v>Bank of America Corp.</c:v>
                </c:pt>
              </c:strCache>
            </c:strRef>
          </c:tx>
          <c:cat>
            <c:numRef>
              <c:f>Sheet1!$A$2:$A$6</c:f>
              <c:numCache>
                <c:formatCode>General</c:formatCode>
                <c:ptCount val="5"/>
                <c:pt idx="0">
                  <c:v>2019</c:v>
                </c:pt>
                <c:pt idx="1">
                  <c:v>2020</c:v>
                </c:pt>
                <c:pt idx="2">
                  <c:v>2021</c:v>
                </c:pt>
                <c:pt idx="3">
                  <c:v>2022</c:v>
                </c:pt>
                <c:pt idx="4">
                  <c:v>2023</c:v>
                </c:pt>
              </c:numCache>
            </c:numRef>
          </c:cat>
          <c:val>
            <c:numRef>
              <c:f>Sheet1!$C$2:$C$6</c:f>
              <c:numCache>
                <c:formatCode>General</c:formatCode>
                <c:ptCount val="5"/>
                <c:pt idx="0">
                  <c:v>111.52</c:v>
                </c:pt>
                <c:pt idx="1">
                  <c:v>91.03</c:v>
                </c:pt>
                <c:pt idx="2">
                  <c:v>94.38</c:v>
                </c:pt>
                <c:pt idx="3">
                  <c:v>130.96</c:v>
                </c:pt>
                <c:pt idx="4">
                  <c:v>179.51</c:v>
                </c:pt>
              </c:numCache>
            </c:numRef>
          </c:val>
          <c:smooth val="0"/>
        </c:ser>
        <c:ser>
          <c:idx val="2"/>
          <c:order val="2"/>
          <c:tx>
            <c:strRef>
              <c:f>Sheet1!$D$1</c:f>
              <c:strCache>
                <c:ptCount val="1"/>
                <c:pt idx="0">
                  <c:v>Citigroup</c:v>
                </c:pt>
              </c:strCache>
            </c:strRef>
          </c:tx>
          <c:cat>
            <c:numRef>
              <c:f>Sheet1!$A$2:$A$6</c:f>
              <c:numCache>
                <c:formatCode>General</c:formatCode>
                <c:ptCount val="5"/>
                <c:pt idx="0">
                  <c:v>2019</c:v>
                </c:pt>
                <c:pt idx="1">
                  <c:v>2020</c:v>
                </c:pt>
                <c:pt idx="2">
                  <c:v>2021</c:v>
                </c:pt>
                <c:pt idx="3">
                  <c:v>2022</c:v>
                </c:pt>
                <c:pt idx="4">
                  <c:v>2023</c:v>
                </c:pt>
              </c:numCache>
            </c:numRef>
          </c:cat>
          <c:val>
            <c:numRef>
              <c:f>Sheet1!$D$2:$D$6</c:f>
              <c:numCache>
                <c:formatCode>General</c:formatCode>
                <c:ptCount val="5"/>
                <c:pt idx="0">
                  <c:v>103.93</c:v>
                </c:pt>
                <c:pt idx="1">
                  <c:v>84.15</c:v>
                </c:pt>
                <c:pt idx="2">
                  <c:v>79.63</c:v>
                </c:pt>
                <c:pt idx="3">
                  <c:v>117.1</c:v>
                </c:pt>
                <c:pt idx="4">
                  <c:v>163.13999999999999</c:v>
                </c:pt>
              </c:numCache>
            </c:numRef>
          </c:val>
          <c:smooth val="0"/>
        </c:ser>
        <c:ser>
          <c:idx val="3"/>
          <c:order val="3"/>
          <c:tx>
            <c:strRef>
              <c:f>Sheet1!$E$1</c:f>
              <c:strCache>
                <c:ptCount val="1"/>
                <c:pt idx="0">
                  <c:v>Wells Fargo</c:v>
                </c:pt>
              </c:strCache>
            </c:strRef>
          </c:tx>
          <c:cat>
            <c:numRef>
              <c:f>Sheet1!$A$2:$A$6</c:f>
              <c:numCache>
                <c:formatCode>General</c:formatCode>
                <c:ptCount val="5"/>
                <c:pt idx="0">
                  <c:v>2019</c:v>
                </c:pt>
                <c:pt idx="1">
                  <c:v>2020</c:v>
                </c:pt>
                <c:pt idx="2">
                  <c:v>2021</c:v>
                </c:pt>
                <c:pt idx="3">
                  <c:v>2022</c:v>
                </c:pt>
                <c:pt idx="4">
                  <c:v>2023</c:v>
                </c:pt>
              </c:numCache>
            </c:numRef>
          </c:cat>
          <c:val>
            <c:numRef>
              <c:f>Sheet1!$E$2:$E$6</c:f>
              <c:numCache>
                <c:formatCode>General</c:formatCode>
                <c:ptCount val="5"/>
                <c:pt idx="0">
                  <c:v>100.51</c:v>
                </c:pt>
                <c:pt idx="1">
                  <c:v>80.86</c:v>
                </c:pt>
                <c:pt idx="2">
                  <c:v>81.99</c:v>
                </c:pt>
                <c:pt idx="3">
                  <c:v>91.5</c:v>
                </c:pt>
                <c:pt idx="4">
                  <c:v>120.06</c:v>
                </c:pt>
              </c:numCache>
            </c:numRef>
          </c:val>
          <c:smooth val="0"/>
        </c:ser>
        <c:dLbls>
          <c:showLegendKey val="0"/>
          <c:showVal val="0"/>
          <c:showCatName val="0"/>
          <c:showSerName val="0"/>
          <c:showPercent val="0"/>
          <c:showBubbleSize val="0"/>
        </c:dLbls>
        <c:marker val="1"/>
        <c:smooth val="0"/>
        <c:axId val="192611456"/>
        <c:axId val="192612992"/>
      </c:lineChart>
      <c:catAx>
        <c:axId val="192611456"/>
        <c:scaling>
          <c:orientation val="minMax"/>
        </c:scaling>
        <c:delete val="0"/>
        <c:axPos val="b"/>
        <c:numFmt formatCode="General" sourceLinked="1"/>
        <c:majorTickMark val="out"/>
        <c:minorTickMark val="none"/>
        <c:tickLblPos val="nextTo"/>
        <c:crossAx val="192612992"/>
        <c:crosses val="autoZero"/>
        <c:auto val="1"/>
        <c:lblAlgn val="ctr"/>
        <c:lblOffset val="100"/>
        <c:noMultiLvlLbl val="0"/>
      </c:catAx>
      <c:valAx>
        <c:axId val="192612992"/>
        <c:scaling>
          <c:orientation val="minMax"/>
        </c:scaling>
        <c:delete val="0"/>
        <c:axPos val="l"/>
        <c:majorGridlines/>
        <c:numFmt formatCode="General" sourceLinked="1"/>
        <c:majorTickMark val="out"/>
        <c:minorTickMark val="none"/>
        <c:tickLblPos val="nextTo"/>
        <c:crossAx val="1926114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93B29-D124-47CA-97CC-ADC4CF5F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10</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2024-06-17T19:42:00Z</dcterms:created>
  <dcterms:modified xsi:type="dcterms:W3CDTF">2024-06-26T11:39:00Z</dcterms:modified>
</cp:coreProperties>
</file>