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40D" w:rsidRDefault="0060640D" w:rsidP="0060640D">
      <w:pPr>
        <w:pStyle w:val="Heading1"/>
        <w:spacing w:line="480" w:lineRule="auto"/>
        <w:jc w:val="center"/>
      </w:pPr>
      <w:bookmarkStart w:id="0" w:name="_Toc168681394"/>
      <w:bookmarkStart w:id="1" w:name="_Toc169018610"/>
      <w:bookmarkStart w:id="2" w:name="_Toc169099747"/>
      <w:bookmarkStart w:id="3" w:name="_Toc169194466"/>
      <w:bookmarkStart w:id="4" w:name="_Toc169526155"/>
      <w:bookmarkStart w:id="5" w:name="_Toc169624170"/>
      <w:bookmarkStart w:id="6" w:name="_GoBack"/>
      <w:r>
        <w:rPr>
          <w:noProof/>
        </w:rPr>
        <w:drawing>
          <wp:inline distT="0" distB="0" distL="0" distR="0" wp14:anchorId="16B27253" wp14:editId="56D892B9">
            <wp:extent cx="2838450" cy="1287105"/>
            <wp:effectExtent l="0" t="0" r="0" b="8890"/>
            <wp:docPr id="5" name="Picture 5" descr="Quinte Financial Technologies | FinTec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nte Financial Technologies | FinTech Solu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1287105"/>
                    </a:xfrm>
                    <a:prstGeom prst="rect">
                      <a:avLst/>
                    </a:prstGeom>
                    <a:noFill/>
                    <a:ln>
                      <a:noFill/>
                    </a:ln>
                  </pic:spPr>
                </pic:pic>
              </a:graphicData>
            </a:graphic>
          </wp:inline>
        </w:drawing>
      </w:r>
      <w:bookmarkEnd w:id="0"/>
      <w:bookmarkEnd w:id="1"/>
      <w:bookmarkEnd w:id="2"/>
      <w:bookmarkEnd w:id="3"/>
      <w:bookmarkEnd w:id="4"/>
      <w:bookmarkEnd w:id="5"/>
    </w:p>
    <w:p w:rsidR="0060640D" w:rsidRDefault="0060640D" w:rsidP="0060640D">
      <w:pPr>
        <w:jc w:val="center"/>
        <w:rPr>
          <w:b/>
          <w:sz w:val="28"/>
        </w:rPr>
      </w:pPr>
      <w:bookmarkStart w:id="7" w:name="_Toc168493927"/>
      <w:bookmarkStart w:id="8" w:name="_Toc168494038"/>
      <w:bookmarkStart w:id="9" w:name="_Toc168681395"/>
      <w:bookmarkStart w:id="10" w:name="_Toc169018611"/>
      <w:bookmarkStart w:id="11" w:name="_Toc169099748"/>
      <w:bookmarkStart w:id="12" w:name="_Toc169194467"/>
      <w:bookmarkStart w:id="13" w:name="_Toc169526156"/>
      <w:bookmarkStart w:id="14" w:name="_Toc169624171"/>
    </w:p>
    <w:p w:rsidR="0060640D" w:rsidRPr="00DF16FE" w:rsidRDefault="0060640D" w:rsidP="0060640D">
      <w:pPr>
        <w:jc w:val="center"/>
        <w:rPr>
          <w:b/>
          <w:sz w:val="28"/>
        </w:rPr>
      </w:pPr>
      <w:r w:rsidRPr="00DF16FE">
        <w:rPr>
          <w:b/>
          <w:sz w:val="28"/>
        </w:rPr>
        <w:t xml:space="preserve">Assignment </w:t>
      </w:r>
      <w:bookmarkEnd w:id="7"/>
      <w:bookmarkEnd w:id="8"/>
      <w:bookmarkEnd w:id="9"/>
      <w:bookmarkEnd w:id="10"/>
      <w:bookmarkEnd w:id="11"/>
      <w:bookmarkEnd w:id="12"/>
      <w:r w:rsidRPr="00DF16FE">
        <w:rPr>
          <w:b/>
          <w:sz w:val="28"/>
        </w:rPr>
        <w:t>on</w:t>
      </w:r>
      <w:bookmarkEnd w:id="13"/>
      <w:bookmarkEnd w:id="14"/>
    </w:p>
    <w:p w:rsidR="0060640D" w:rsidRPr="001C5E88" w:rsidRDefault="0060640D" w:rsidP="0060640D">
      <w:pPr>
        <w:jc w:val="center"/>
        <w:rPr>
          <w:b/>
          <w:sz w:val="28"/>
        </w:rPr>
      </w:pPr>
      <w:r>
        <w:rPr>
          <w:b/>
          <w:sz w:val="28"/>
        </w:rPr>
        <w:t xml:space="preserve">COMPLIANCE AND REGULATORY AFFAIRS AND </w:t>
      </w:r>
      <w:r>
        <w:rPr>
          <w:b/>
          <w:sz w:val="28"/>
        </w:rPr>
        <w:t xml:space="preserve"> </w:t>
      </w:r>
    </w:p>
    <w:p w:rsidR="0060640D" w:rsidRDefault="0060640D" w:rsidP="0060640D">
      <w:pPr>
        <w:jc w:val="center"/>
        <w:rPr>
          <w:b/>
          <w:sz w:val="28"/>
        </w:rPr>
      </w:pPr>
      <w:r w:rsidRPr="001C5E88">
        <w:rPr>
          <w:b/>
          <w:sz w:val="28"/>
        </w:rPr>
        <w:t>CUSTOMER RELA</w:t>
      </w:r>
      <w:r>
        <w:rPr>
          <w:b/>
          <w:sz w:val="28"/>
        </w:rPr>
        <w:t xml:space="preserve">TIONSHIP MANAGEMENT </w:t>
      </w:r>
    </w:p>
    <w:p w:rsidR="0060640D" w:rsidRDefault="0060640D" w:rsidP="0060640D">
      <w:pPr>
        <w:jc w:val="center"/>
        <w:rPr>
          <w:b/>
          <w:sz w:val="28"/>
        </w:rPr>
      </w:pPr>
    </w:p>
    <w:p w:rsidR="0060640D" w:rsidRPr="00DF16FE" w:rsidRDefault="0060640D" w:rsidP="0060640D">
      <w:pPr>
        <w:jc w:val="center"/>
        <w:rPr>
          <w:b/>
          <w:sz w:val="28"/>
        </w:rPr>
      </w:pPr>
    </w:p>
    <w:p w:rsidR="0060640D" w:rsidRPr="00DF16FE" w:rsidRDefault="0060640D" w:rsidP="0060640D">
      <w:pPr>
        <w:jc w:val="center"/>
        <w:rPr>
          <w:b/>
          <w:sz w:val="28"/>
        </w:rPr>
      </w:pPr>
      <w:bookmarkStart w:id="15" w:name="_Toc168493929"/>
      <w:bookmarkStart w:id="16" w:name="_Toc168494040"/>
      <w:bookmarkStart w:id="17" w:name="_Toc168681398"/>
      <w:bookmarkStart w:id="18" w:name="_Toc169018613"/>
      <w:bookmarkStart w:id="19" w:name="_Toc169099751"/>
      <w:bookmarkStart w:id="20" w:name="_Toc169194470"/>
      <w:bookmarkStart w:id="21" w:name="_Toc169526158"/>
      <w:bookmarkStart w:id="22" w:name="_Toc169624173"/>
      <w:r w:rsidRPr="00DF16FE">
        <w:rPr>
          <w:b/>
          <w:sz w:val="28"/>
        </w:rPr>
        <w:t>Under Supervision of:</w:t>
      </w:r>
      <w:bookmarkEnd w:id="15"/>
      <w:bookmarkEnd w:id="16"/>
      <w:bookmarkEnd w:id="17"/>
      <w:bookmarkEnd w:id="18"/>
      <w:bookmarkEnd w:id="19"/>
      <w:bookmarkEnd w:id="20"/>
      <w:bookmarkEnd w:id="21"/>
      <w:bookmarkEnd w:id="22"/>
    </w:p>
    <w:p w:rsidR="0060640D" w:rsidRPr="00DF16FE" w:rsidRDefault="0060640D" w:rsidP="0060640D">
      <w:pPr>
        <w:jc w:val="center"/>
        <w:rPr>
          <w:b/>
          <w:sz w:val="28"/>
        </w:rPr>
      </w:pPr>
      <w:bookmarkStart w:id="23" w:name="_Toc168493930"/>
      <w:bookmarkStart w:id="24" w:name="_Toc168494041"/>
      <w:bookmarkStart w:id="25" w:name="_Toc168681399"/>
      <w:bookmarkStart w:id="26" w:name="_Toc169018614"/>
      <w:bookmarkStart w:id="27" w:name="_Toc169099752"/>
      <w:bookmarkStart w:id="28" w:name="_Toc169194471"/>
      <w:bookmarkStart w:id="29" w:name="_Toc169526159"/>
      <w:bookmarkStart w:id="30" w:name="_Toc169624174"/>
      <w:r w:rsidRPr="00DF16FE">
        <w:rPr>
          <w:b/>
          <w:sz w:val="28"/>
        </w:rPr>
        <w:t xml:space="preserve">Mr. Mohammad </w:t>
      </w:r>
      <w:proofErr w:type="spellStart"/>
      <w:r w:rsidRPr="00DF16FE">
        <w:rPr>
          <w:b/>
          <w:sz w:val="28"/>
        </w:rPr>
        <w:t>Mozammil</w:t>
      </w:r>
      <w:bookmarkEnd w:id="23"/>
      <w:bookmarkEnd w:id="24"/>
      <w:bookmarkEnd w:id="25"/>
      <w:bookmarkEnd w:id="26"/>
      <w:bookmarkEnd w:id="27"/>
      <w:bookmarkEnd w:id="28"/>
      <w:bookmarkEnd w:id="29"/>
      <w:bookmarkEnd w:id="30"/>
      <w:proofErr w:type="spellEnd"/>
    </w:p>
    <w:p w:rsidR="0060640D" w:rsidRDefault="0060640D" w:rsidP="0060640D">
      <w:pPr>
        <w:jc w:val="center"/>
        <w:rPr>
          <w:b/>
          <w:sz w:val="28"/>
        </w:rPr>
      </w:pPr>
      <w:bookmarkStart w:id="31" w:name="_Toc168493931"/>
      <w:bookmarkStart w:id="32" w:name="_Toc168494042"/>
      <w:bookmarkStart w:id="33" w:name="_Toc168681400"/>
      <w:bookmarkStart w:id="34" w:name="_Toc169018615"/>
      <w:bookmarkStart w:id="35" w:name="_Toc169099753"/>
      <w:bookmarkStart w:id="36" w:name="_Toc169194472"/>
      <w:bookmarkStart w:id="37" w:name="_Toc169526160"/>
      <w:bookmarkStart w:id="38" w:name="_Toc169624175"/>
    </w:p>
    <w:p w:rsidR="0060640D" w:rsidRPr="00DF16FE" w:rsidRDefault="0060640D" w:rsidP="0060640D">
      <w:pPr>
        <w:jc w:val="center"/>
        <w:rPr>
          <w:b/>
          <w:sz w:val="28"/>
        </w:rPr>
      </w:pPr>
    </w:p>
    <w:p w:rsidR="0060640D" w:rsidRPr="00DF16FE" w:rsidRDefault="0060640D" w:rsidP="0060640D">
      <w:pPr>
        <w:jc w:val="center"/>
        <w:rPr>
          <w:b/>
          <w:sz w:val="28"/>
        </w:rPr>
      </w:pPr>
      <w:r w:rsidRPr="00DF16FE">
        <w:rPr>
          <w:b/>
          <w:sz w:val="28"/>
        </w:rPr>
        <w:t>Submitted On:</w:t>
      </w:r>
    </w:p>
    <w:p w:rsidR="0060640D" w:rsidRPr="00DF16FE" w:rsidRDefault="0060640D" w:rsidP="0060640D">
      <w:pPr>
        <w:jc w:val="center"/>
        <w:rPr>
          <w:b/>
          <w:sz w:val="28"/>
        </w:rPr>
      </w:pPr>
      <w:r w:rsidRPr="00DF16FE">
        <w:rPr>
          <w:b/>
          <w:sz w:val="28"/>
        </w:rPr>
        <w:t>2</w:t>
      </w:r>
      <w:r>
        <w:rPr>
          <w:b/>
          <w:sz w:val="28"/>
        </w:rPr>
        <w:t>1</w:t>
      </w:r>
      <w:r w:rsidRPr="00DF16FE">
        <w:rPr>
          <w:b/>
          <w:sz w:val="28"/>
          <w:vertAlign w:val="superscript"/>
        </w:rPr>
        <w:t xml:space="preserve">th </w:t>
      </w:r>
      <w:r w:rsidRPr="00DF16FE">
        <w:rPr>
          <w:b/>
          <w:sz w:val="28"/>
        </w:rPr>
        <w:t>June, 2024</w:t>
      </w:r>
    </w:p>
    <w:p w:rsidR="0060640D" w:rsidRDefault="0060640D" w:rsidP="0060640D">
      <w:pPr>
        <w:rPr>
          <w:b/>
          <w:sz w:val="28"/>
        </w:rPr>
      </w:pPr>
    </w:p>
    <w:p w:rsidR="0060640D" w:rsidRPr="00DF16FE" w:rsidRDefault="0060640D" w:rsidP="0060640D">
      <w:pPr>
        <w:rPr>
          <w:b/>
          <w:sz w:val="28"/>
        </w:rPr>
      </w:pPr>
    </w:p>
    <w:p w:rsidR="0060640D" w:rsidRPr="00DF16FE" w:rsidRDefault="0060640D" w:rsidP="0060640D">
      <w:pPr>
        <w:jc w:val="center"/>
        <w:rPr>
          <w:b/>
          <w:sz w:val="28"/>
        </w:rPr>
      </w:pPr>
      <w:r w:rsidRPr="00DF16FE">
        <w:rPr>
          <w:b/>
          <w:sz w:val="28"/>
        </w:rPr>
        <w:t>Submitted By:</w:t>
      </w:r>
      <w:bookmarkEnd w:id="31"/>
      <w:bookmarkEnd w:id="32"/>
      <w:bookmarkEnd w:id="33"/>
      <w:bookmarkEnd w:id="34"/>
      <w:bookmarkEnd w:id="35"/>
      <w:bookmarkEnd w:id="36"/>
      <w:bookmarkEnd w:id="37"/>
      <w:bookmarkEnd w:id="38"/>
    </w:p>
    <w:p w:rsidR="0060640D" w:rsidRPr="00DF16FE" w:rsidRDefault="0060640D" w:rsidP="0060640D">
      <w:pPr>
        <w:jc w:val="center"/>
        <w:rPr>
          <w:b/>
          <w:sz w:val="28"/>
        </w:rPr>
      </w:pPr>
      <w:bookmarkStart w:id="39" w:name="_Toc168493932"/>
      <w:bookmarkStart w:id="40" w:name="_Toc168494043"/>
      <w:bookmarkStart w:id="41" w:name="_Toc168681401"/>
      <w:bookmarkStart w:id="42" w:name="_Toc169018616"/>
      <w:bookmarkStart w:id="43" w:name="_Toc169099754"/>
      <w:bookmarkStart w:id="44" w:name="_Toc169194473"/>
      <w:bookmarkStart w:id="45" w:name="_Toc169526161"/>
      <w:bookmarkStart w:id="46" w:name="_Toc169624176"/>
      <w:proofErr w:type="spellStart"/>
      <w:r w:rsidRPr="00DF16FE">
        <w:rPr>
          <w:b/>
          <w:sz w:val="28"/>
        </w:rPr>
        <w:t>Archita</w:t>
      </w:r>
      <w:proofErr w:type="spellEnd"/>
      <w:r w:rsidRPr="00DF16FE">
        <w:rPr>
          <w:b/>
          <w:sz w:val="28"/>
        </w:rPr>
        <w:t xml:space="preserve"> Gupta</w:t>
      </w:r>
      <w:bookmarkEnd w:id="39"/>
      <w:bookmarkEnd w:id="40"/>
      <w:bookmarkEnd w:id="41"/>
      <w:bookmarkEnd w:id="42"/>
      <w:bookmarkEnd w:id="43"/>
      <w:bookmarkEnd w:id="44"/>
      <w:bookmarkEnd w:id="45"/>
      <w:bookmarkEnd w:id="46"/>
      <w:bookmarkEnd w:id="6"/>
    </w:p>
    <w:p w:rsidR="009751FB" w:rsidRDefault="009751FB" w:rsidP="009751FB">
      <w:pPr>
        <w:pStyle w:val="Heading3"/>
        <w:jc w:val="center"/>
      </w:pPr>
    </w:p>
    <w:p w:rsidR="009751FB" w:rsidRPr="009313B9" w:rsidRDefault="009751FB" w:rsidP="009751FB">
      <w:pPr>
        <w:rPr>
          <w:rFonts w:asciiTheme="majorHAnsi" w:eastAsiaTheme="majorEastAsia" w:hAnsiTheme="majorHAnsi" w:cstheme="majorBidi"/>
          <w:color w:val="4F81BD" w:themeColor="accent1"/>
        </w:rPr>
      </w:pPr>
      <w:r>
        <w:br w:type="page"/>
      </w:r>
    </w:p>
    <w:sdt>
      <w:sdtPr>
        <w:rPr>
          <w:rFonts w:asciiTheme="minorHAnsi" w:eastAsiaTheme="minorHAnsi" w:hAnsiTheme="minorHAnsi" w:cstheme="minorBidi"/>
          <w:b w:val="0"/>
          <w:bCs w:val="0"/>
          <w:color w:val="auto"/>
          <w:sz w:val="22"/>
          <w:szCs w:val="22"/>
          <w:lang w:eastAsia="en-US"/>
        </w:rPr>
        <w:id w:val="845753955"/>
        <w:docPartObj>
          <w:docPartGallery w:val="Table of Contents"/>
          <w:docPartUnique/>
        </w:docPartObj>
      </w:sdtPr>
      <w:sdtEndPr>
        <w:rPr>
          <w:noProof/>
        </w:rPr>
      </w:sdtEndPr>
      <w:sdtContent>
        <w:p w:rsidR="009751FB" w:rsidRDefault="009751FB">
          <w:pPr>
            <w:pStyle w:val="TOCHeading"/>
          </w:pPr>
          <w:r>
            <w:t>Table of Contents</w:t>
          </w:r>
        </w:p>
        <w:p w:rsidR="009751FB" w:rsidRDefault="009751FB">
          <w:pPr>
            <w:pStyle w:val="TOC1"/>
            <w:tabs>
              <w:tab w:val="right" w:leader="dot" w:pos="9350"/>
            </w:tabs>
            <w:rPr>
              <w:noProof/>
            </w:rPr>
          </w:pPr>
          <w:r>
            <w:fldChar w:fldCharType="begin"/>
          </w:r>
          <w:r>
            <w:instrText xml:space="preserve"> TOC \o "1-3" \h \z \u </w:instrText>
          </w:r>
          <w:r>
            <w:fldChar w:fldCharType="separate"/>
          </w:r>
          <w:hyperlink w:anchor="_Toc169880565" w:history="1">
            <w:r w:rsidRPr="00BE74BE">
              <w:rPr>
                <w:rStyle w:val="Hyperlink"/>
                <w:noProof/>
              </w:rPr>
              <w:t>Compliance and Regulatory Affairs in Banking</w:t>
            </w:r>
            <w:r>
              <w:rPr>
                <w:noProof/>
                <w:webHidden/>
              </w:rPr>
              <w:tab/>
            </w:r>
            <w:r>
              <w:rPr>
                <w:noProof/>
                <w:webHidden/>
              </w:rPr>
              <w:fldChar w:fldCharType="begin"/>
            </w:r>
            <w:r>
              <w:rPr>
                <w:noProof/>
                <w:webHidden/>
              </w:rPr>
              <w:instrText xml:space="preserve"> PAGEREF _Toc169880565 \h </w:instrText>
            </w:r>
            <w:r>
              <w:rPr>
                <w:noProof/>
                <w:webHidden/>
              </w:rPr>
            </w:r>
            <w:r>
              <w:rPr>
                <w:noProof/>
                <w:webHidden/>
              </w:rPr>
              <w:fldChar w:fldCharType="separate"/>
            </w:r>
            <w:r>
              <w:rPr>
                <w:noProof/>
                <w:webHidden/>
              </w:rPr>
              <w:t>3</w:t>
            </w:r>
            <w:r>
              <w:rPr>
                <w:noProof/>
                <w:webHidden/>
              </w:rPr>
              <w:fldChar w:fldCharType="end"/>
            </w:r>
          </w:hyperlink>
        </w:p>
        <w:p w:rsidR="009751FB" w:rsidRDefault="0060640D">
          <w:pPr>
            <w:pStyle w:val="TOC2"/>
            <w:tabs>
              <w:tab w:val="right" w:leader="dot" w:pos="9350"/>
            </w:tabs>
            <w:rPr>
              <w:noProof/>
            </w:rPr>
          </w:pPr>
          <w:hyperlink w:anchor="_Toc169880566" w:history="1">
            <w:r w:rsidR="009751FB" w:rsidRPr="00BE74BE">
              <w:rPr>
                <w:rStyle w:val="Hyperlink"/>
                <w:noProof/>
              </w:rPr>
              <w:t>Regulatory Bodies in US Banking:</w:t>
            </w:r>
            <w:r w:rsidR="009751FB">
              <w:rPr>
                <w:noProof/>
                <w:webHidden/>
              </w:rPr>
              <w:tab/>
            </w:r>
            <w:r w:rsidR="009751FB">
              <w:rPr>
                <w:noProof/>
                <w:webHidden/>
              </w:rPr>
              <w:fldChar w:fldCharType="begin"/>
            </w:r>
            <w:r w:rsidR="009751FB">
              <w:rPr>
                <w:noProof/>
                <w:webHidden/>
              </w:rPr>
              <w:instrText xml:space="preserve"> PAGEREF _Toc169880566 \h </w:instrText>
            </w:r>
            <w:r w:rsidR="009751FB">
              <w:rPr>
                <w:noProof/>
                <w:webHidden/>
              </w:rPr>
            </w:r>
            <w:r w:rsidR="009751FB">
              <w:rPr>
                <w:noProof/>
                <w:webHidden/>
              </w:rPr>
              <w:fldChar w:fldCharType="separate"/>
            </w:r>
            <w:r w:rsidR="009751FB">
              <w:rPr>
                <w:noProof/>
                <w:webHidden/>
              </w:rPr>
              <w:t>3</w:t>
            </w:r>
            <w:r w:rsidR="009751FB">
              <w:rPr>
                <w:noProof/>
                <w:webHidden/>
              </w:rPr>
              <w:fldChar w:fldCharType="end"/>
            </w:r>
          </w:hyperlink>
        </w:p>
        <w:p w:rsidR="009751FB" w:rsidRDefault="0060640D">
          <w:pPr>
            <w:pStyle w:val="TOC2"/>
            <w:tabs>
              <w:tab w:val="right" w:leader="dot" w:pos="9350"/>
            </w:tabs>
            <w:rPr>
              <w:noProof/>
            </w:rPr>
          </w:pPr>
          <w:hyperlink w:anchor="_Toc169880567" w:history="1">
            <w:r w:rsidR="009751FB" w:rsidRPr="00BE74BE">
              <w:rPr>
                <w:rStyle w:val="Hyperlink"/>
                <w:noProof/>
              </w:rPr>
              <w:t>Recent Developments in Compliance and Regulatory Affairs</w:t>
            </w:r>
            <w:r w:rsidR="009751FB">
              <w:rPr>
                <w:noProof/>
                <w:webHidden/>
              </w:rPr>
              <w:tab/>
            </w:r>
            <w:r w:rsidR="009751FB">
              <w:rPr>
                <w:noProof/>
                <w:webHidden/>
              </w:rPr>
              <w:fldChar w:fldCharType="begin"/>
            </w:r>
            <w:r w:rsidR="009751FB">
              <w:rPr>
                <w:noProof/>
                <w:webHidden/>
              </w:rPr>
              <w:instrText xml:space="preserve"> PAGEREF _Toc169880567 \h </w:instrText>
            </w:r>
            <w:r w:rsidR="009751FB">
              <w:rPr>
                <w:noProof/>
                <w:webHidden/>
              </w:rPr>
            </w:r>
            <w:r w:rsidR="009751FB">
              <w:rPr>
                <w:noProof/>
                <w:webHidden/>
              </w:rPr>
              <w:fldChar w:fldCharType="separate"/>
            </w:r>
            <w:r w:rsidR="009751FB">
              <w:rPr>
                <w:noProof/>
                <w:webHidden/>
              </w:rPr>
              <w:t>7</w:t>
            </w:r>
            <w:r w:rsidR="009751FB">
              <w:rPr>
                <w:noProof/>
                <w:webHidden/>
              </w:rPr>
              <w:fldChar w:fldCharType="end"/>
            </w:r>
          </w:hyperlink>
        </w:p>
        <w:p w:rsidR="009751FB" w:rsidRDefault="0060640D">
          <w:pPr>
            <w:pStyle w:val="TOC1"/>
            <w:tabs>
              <w:tab w:val="right" w:leader="dot" w:pos="9350"/>
            </w:tabs>
            <w:rPr>
              <w:noProof/>
            </w:rPr>
          </w:pPr>
          <w:hyperlink w:anchor="_Toc169880568" w:history="1">
            <w:r w:rsidR="009751FB" w:rsidRPr="00BE74BE">
              <w:rPr>
                <w:rStyle w:val="Hyperlink"/>
                <w:noProof/>
              </w:rPr>
              <w:t>Customer Relationship Management in Banking</w:t>
            </w:r>
            <w:r w:rsidR="009751FB">
              <w:rPr>
                <w:noProof/>
                <w:webHidden/>
              </w:rPr>
              <w:tab/>
            </w:r>
            <w:r w:rsidR="009751FB">
              <w:rPr>
                <w:noProof/>
                <w:webHidden/>
              </w:rPr>
              <w:fldChar w:fldCharType="begin"/>
            </w:r>
            <w:r w:rsidR="009751FB">
              <w:rPr>
                <w:noProof/>
                <w:webHidden/>
              </w:rPr>
              <w:instrText xml:space="preserve"> PAGEREF _Toc169880568 \h </w:instrText>
            </w:r>
            <w:r w:rsidR="009751FB">
              <w:rPr>
                <w:noProof/>
                <w:webHidden/>
              </w:rPr>
            </w:r>
            <w:r w:rsidR="009751FB">
              <w:rPr>
                <w:noProof/>
                <w:webHidden/>
              </w:rPr>
              <w:fldChar w:fldCharType="separate"/>
            </w:r>
            <w:r w:rsidR="009751FB">
              <w:rPr>
                <w:noProof/>
                <w:webHidden/>
              </w:rPr>
              <w:t>10</w:t>
            </w:r>
            <w:r w:rsidR="009751FB">
              <w:rPr>
                <w:noProof/>
                <w:webHidden/>
              </w:rPr>
              <w:fldChar w:fldCharType="end"/>
            </w:r>
          </w:hyperlink>
        </w:p>
        <w:p w:rsidR="009751FB" w:rsidRDefault="0060640D">
          <w:pPr>
            <w:pStyle w:val="TOC2"/>
            <w:tabs>
              <w:tab w:val="right" w:leader="dot" w:pos="9350"/>
            </w:tabs>
            <w:rPr>
              <w:noProof/>
            </w:rPr>
          </w:pPr>
          <w:hyperlink w:anchor="_Toc169880569" w:history="1">
            <w:r w:rsidR="009751FB" w:rsidRPr="00BE74BE">
              <w:rPr>
                <w:rStyle w:val="Hyperlink"/>
                <w:noProof/>
              </w:rPr>
              <w:t>Recent Developments:</w:t>
            </w:r>
            <w:r w:rsidR="009751FB">
              <w:rPr>
                <w:noProof/>
                <w:webHidden/>
              </w:rPr>
              <w:tab/>
            </w:r>
            <w:r w:rsidR="009751FB">
              <w:rPr>
                <w:noProof/>
                <w:webHidden/>
              </w:rPr>
              <w:fldChar w:fldCharType="begin"/>
            </w:r>
            <w:r w:rsidR="009751FB">
              <w:rPr>
                <w:noProof/>
                <w:webHidden/>
              </w:rPr>
              <w:instrText xml:space="preserve"> PAGEREF _Toc169880569 \h </w:instrText>
            </w:r>
            <w:r w:rsidR="009751FB">
              <w:rPr>
                <w:noProof/>
                <w:webHidden/>
              </w:rPr>
            </w:r>
            <w:r w:rsidR="009751FB">
              <w:rPr>
                <w:noProof/>
                <w:webHidden/>
              </w:rPr>
              <w:fldChar w:fldCharType="separate"/>
            </w:r>
            <w:r w:rsidR="009751FB">
              <w:rPr>
                <w:noProof/>
                <w:webHidden/>
              </w:rPr>
              <w:t>10</w:t>
            </w:r>
            <w:r w:rsidR="009751FB">
              <w:rPr>
                <w:noProof/>
                <w:webHidden/>
              </w:rPr>
              <w:fldChar w:fldCharType="end"/>
            </w:r>
          </w:hyperlink>
        </w:p>
        <w:p w:rsidR="009751FB" w:rsidRDefault="009751FB">
          <w:r>
            <w:rPr>
              <w:b/>
              <w:bCs/>
              <w:noProof/>
            </w:rPr>
            <w:fldChar w:fldCharType="end"/>
          </w:r>
        </w:p>
      </w:sdtContent>
    </w:sdt>
    <w:p w:rsidR="003D0728" w:rsidRDefault="003D0728"/>
    <w:p w:rsidR="003D0728" w:rsidRDefault="003D0728">
      <w:r>
        <w:br w:type="page"/>
      </w:r>
    </w:p>
    <w:p w:rsidR="002A7433" w:rsidRDefault="003D0728" w:rsidP="003D0728">
      <w:pPr>
        <w:pStyle w:val="Heading1"/>
        <w:jc w:val="center"/>
      </w:pPr>
      <w:bookmarkStart w:id="47" w:name="_Toc169880565"/>
      <w:r>
        <w:lastRenderedPageBreak/>
        <w:t>Compliance and Regulatory Affairs in Banking</w:t>
      </w:r>
      <w:bookmarkEnd w:id="47"/>
    </w:p>
    <w:p w:rsidR="003D0728" w:rsidRDefault="003D0728" w:rsidP="003D0728"/>
    <w:p w:rsidR="00A6302A" w:rsidRDefault="008F1C02" w:rsidP="003D0728">
      <w:r w:rsidRPr="008F1C02">
        <w:t>Compliance and regulatory affairs in banking involve ensuring that banks adhere to all applicable laws, regulations, guidelines, and specifications relevant to their operations. This helps maintain the integrity of the financial system, protects consumers, and ensures the stability and soundness of financial institutions.</w:t>
      </w:r>
    </w:p>
    <w:p w:rsidR="003D0728" w:rsidRPr="003D0728" w:rsidRDefault="003D0728" w:rsidP="003D0728">
      <w:pPr>
        <w:rPr>
          <w:b/>
          <w:bCs/>
        </w:rPr>
      </w:pPr>
      <w:bookmarkStart w:id="48" w:name="_Toc169880566"/>
      <w:r w:rsidRPr="003D0728">
        <w:rPr>
          <w:rStyle w:val="Heading2Char"/>
        </w:rPr>
        <w:t>Regulatory Bodies in US Banking</w:t>
      </w:r>
      <w:r>
        <w:rPr>
          <w:rStyle w:val="Heading2Char"/>
        </w:rPr>
        <w:t>:</w:t>
      </w:r>
      <w:bookmarkEnd w:id="48"/>
    </w:p>
    <w:p w:rsidR="003D0728" w:rsidRPr="003D0728" w:rsidRDefault="003D0728" w:rsidP="00037378">
      <w:pPr>
        <w:pStyle w:val="ListParagraph"/>
        <w:numPr>
          <w:ilvl w:val="0"/>
          <w:numId w:val="3"/>
        </w:numPr>
      </w:pPr>
      <w:r w:rsidRPr="000C1C78">
        <w:rPr>
          <w:b/>
          <w:bCs/>
        </w:rPr>
        <w:t>Federal Reserve System (The Fed</w:t>
      </w:r>
      <w:proofErr w:type="gramStart"/>
      <w:r w:rsidRPr="000C1C78">
        <w:rPr>
          <w:b/>
          <w:bCs/>
        </w:rPr>
        <w:t>)</w:t>
      </w:r>
      <w:r>
        <w:t>-</w:t>
      </w:r>
      <w:proofErr w:type="gramEnd"/>
      <w:r>
        <w:t xml:space="preserve"> </w:t>
      </w:r>
      <w:r w:rsidRPr="003D0728">
        <w:t>The central bank of the United States, responsible for monetary policy, supervising and regulating banks, maintaining financial stability, and providing banking services.</w:t>
      </w:r>
    </w:p>
    <w:p w:rsidR="003D0728" w:rsidRPr="003D0728" w:rsidRDefault="003D0728" w:rsidP="003D0728">
      <w:pPr>
        <w:numPr>
          <w:ilvl w:val="0"/>
          <w:numId w:val="1"/>
        </w:numPr>
      </w:pPr>
      <w:r w:rsidRPr="003D0728">
        <w:rPr>
          <w:b/>
          <w:bCs/>
        </w:rPr>
        <w:t>Recent Developments</w:t>
      </w:r>
      <w:r w:rsidRPr="003D0728">
        <w:t>:</w:t>
      </w:r>
    </w:p>
    <w:p w:rsidR="003D0728" w:rsidRDefault="003D0728" w:rsidP="003D0728">
      <w:pPr>
        <w:numPr>
          <w:ilvl w:val="1"/>
          <w:numId w:val="1"/>
        </w:numPr>
      </w:pPr>
      <w:r w:rsidRPr="003D0728">
        <w:rPr>
          <w:b/>
          <w:bCs/>
        </w:rPr>
        <w:t>Interest Rate Policies</w:t>
      </w:r>
      <w:r w:rsidRPr="003D0728">
        <w:t>: The Fed has recently adjusted interest rates to manage inflation and economic growth. For instance, throughout 2023, the Fed raised rates to combat high inflation.</w:t>
      </w:r>
    </w:p>
    <w:tbl>
      <w:tblPr>
        <w:tblStyle w:val="TableGrid"/>
        <w:tblW w:w="0" w:type="auto"/>
        <w:jc w:val="center"/>
        <w:tblLook w:val="04A0" w:firstRow="1" w:lastRow="0" w:firstColumn="1" w:lastColumn="0" w:noHBand="0" w:noVBand="1"/>
      </w:tblPr>
      <w:tblGrid>
        <w:gridCol w:w="3192"/>
        <w:gridCol w:w="3192"/>
        <w:gridCol w:w="3192"/>
      </w:tblGrid>
      <w:tr w:rsidR="003D0728" w:rsidRPr="00F31081" w:rsidTr="00F31081">
        <w:trPr>
          <w:jc w:val="center"/>
        </w:trPr>
        <w:tc>
          <w:tcPr>
            <w:tcW w:w="3192" w:type="dxa"/>
            <w:vAlign w:val="center"/>
          </w:tcPr>
          <w:p w:rsidR="003D0728" w:rsidRPr="00F31081" w:rsidRDefault="00F31081" w:rsidP="00F31081">
            <w:pPr>
              <w:jc w:val="center"/>
              <w:rPr>
                <w:b/>
              </w:rPr>
            </w:pPr>
            <w:r w:rsidRPr="00F31081">
              <w:rPr>
                <w:b/>
              </w:rPr>
              <w:t>FOMC Meeting Date</w:t>
            </w:r>
          </w:p>
        </w:tc>
        <w:tc>
          <w:tcPr>
            <w:tcW w:w="3192" w:type="dxa"/>
            <w:vAlign w:val="center"/>
          </w:tcPr>
          <w:p w:rsidR="003D0728" w:rsidRPr="00F31081" w:rsidRDefault="00F31081" w:rsidP="00F31081">
            <w:pPr>
              <w:jc w:val="center"/>
              <w:rPr>
                <w:b/>
              </w:rPr>
            </w:pPr>
            <w:r w:rsidRPr="00F31081">
              <w:rPr>
                <w:b/>
              </w:rPr>
              <w:t>Rate Change (bps)</w:t>
            </w:r>
          </w:p>
        </w:tc>
        <w:tc>
          <w:tcPr>
            <w:tcW w:w="3192" w:type="dxa"/>
            <w:vAlign w:val="center"/>
          </w:tcPr>
          <w:p w:rsidR="003D0728" w:rsidRPr="00F31081" w:rsidRDefault="00F31081" w:rsidP="00F31081">
            <w:pPr>
              <w:jc w:val="center"/>
              <w:rPr>
                <w:b/>
              </w:rPr>
            </w:pPr>
            <w:r w:rsidRPr="00F31081">
              <w:rPr>
                <w:b/>
              </w:rPr>
              <w:t>Federal Funds Rate</w:t>
            </w:r>
          </w:p>
        </w:tc>
      </w:tr>
      <w:tr w:rsidR="00F31081" w:rsidRPr="00F31081" w:rsidTr="008401E6">
        <w:trPr>
          <w:jc w:val="center"/>
        </w:trPr>
        <w:tc>
          <w:tcPr>
            <w:tcW w:w="9576" w:type="dxa"/>
            <w:gridSpan w:val="3"/>
            <w:vAlign w:val="center"/>
          </w:tcPr>
          <w:p w:rsidR="00F31081" w:rsidRPr="00F31081" w:rsidRDefault="00F31081" w:rsidP="00F31081">
            <w:pPr>
              <w:rPr>
                <w:b/>
              </w:rPr>
            </w:pPr>
            <w:r>
              <w:rPr>
                <w:b/>
              </w:rPr>
              <w:t>Recent:</w:t>
            </w:r>
          </w:p>
        </w:tc>
      </w:tr>
      <w:tr w:rsidR="003D0728" w:rsidRPr="003D0728" w:rsidTr="00F31081">
        <w:trPr>
          <w:jc w:val="center"/>
        </w:trPr>
        <w:tc>
          <w:tcPr>
            <w:tcW w:w="0" w:type="auto"/>
            <w:vAlign w:val="center"/>
            <w:hideMark/>
          </w:tcPr>
          <w:p w:rsidR="003D0728" w:rsidRPr="003D0728" w:rsidRDefault="003D0728" w:rsidP="00F31081">
            <w:pPr>
              <w:spacing w:line="360" w:lineRule="atLeast"/>
              <w:jc w:val="center"/>
              <w:rPr>
                <w:rFonts w:ascii="Arial" w:eastAsia="Times New Roman" w:hAnsi="Arial" w:cs="Arial"/>
                <w:color w:val="333333"/>
                <w:sz w:val="21"/>
                <w:szCs w:val="21"/>
              </w:rPr>
            </w:pPr>
            <w:r w:rsidRPr="003D0728">
              <w:rPr>
                <w:rFonts w:ascii="Arial" w:eastAsia="Times New Roman" w:hAnsi="Arial" w:cs="Arial"/>
                <w:color w:val="333333"/>
                <w:sz w:val="21"/>
                <w:szCs w:val="21"/>
              </w:rPr>
              <w:t>July 26, 2023</w:t>
            </w:r>
          </w:p>
        </w:tc>
        <w:tc>
          <w:tcPr>
            <w:tcW w:w="0" w:type="auto"/>
            <w:vAlign w:val="center"/>
            <w:hideMark/>
          </w:tcPr>
          <w:p w:rsidR="003D0728" w:rsidRPr="003D0728" w:rsidRDefault="003D0728" w:rsidP="00F31081">
            <w:pPr>
              <w:spacing w:line="360" w:lineRule="atLeast"/>
              <w:jc w:val="center"/>
              <w:rPr>
                <w:rFonts w:ascii="Arial" w:eastAsia="Times New Roman" w:hAnsi="Arial" w:cs="Arial"/>
                <w:color w:val="333333"/>
                <w:sz w:val="21"/>
                <w:szCs w:val="21"/>
              </w:rPr>
            </w:pPr>
            <w:r w:rsidRPr="003D0728">
              <w:rPr>
                <w:rFonts w:ascii="Arial" w:eastAsia="Times New Roman" w:hAnsi="Arial" w:cs="Arial"/>
                <w:color w:val="333333"/>
                <w:sz w:val="21"/>
                <w:szCs w:val="21"/>
              </w:rPr>
              <w:t>+25</w:t>
            </w:r>
          </w:p>
        </w:tc>
        <w:tc>
          <w:tcPr>
            <w:tcW w:w="0" w:type="auto"/>
            <w:vAlign w:val="center"/>
            <w:hideMark/>
          </w:tcPr>
          <w:p w:rsidR="003D0728" w:rsidRPr="003D0728" w:rsidRDefault="003D0728" w:rsidP="00F31081">
            <w:pPr>
              <w:spacing w:line="360" w:lineRule="atLeast"/>
              <w:jc w:val="center"/>
              <w:rPr>
                <w:rFonts w:ascii="Arial" w:eastAsia="Times New Roman" w:hAnsi="Arial" w:cs="Arial"/>
                <w:color w:val="333333"/>
                <w:sz w:val="21"/>
                <w:szCs w:val="21"/>
              </w:rPr>
            </w:pPr>
            <w:r w:rsidRPr="003D0728">
              <w:rPr>
                <w:rFonts w:ascii="Arial" w:eastAsia="Times New Roman" w:hAnsi="Arial" w:cs="Arial"/>
                <w:color w:val="333333"/>
                <w:sz w:val="21"/>
                <w:szCs w:val="21"/>
              </w:rPr>
              <w:t>5.25% to 5.50%</w:t>
            </w:r>
          </w:p>
        </w:tc>
      </w:tr>
      <w:tr w:rsidR="003D0728" w:rsidRPr="003D0728" w:rsidTr="00F31081">
        <w:trPr>
          <w:jc w:val="center"/>
        </w:trPr>
        <w:tc>
          <w:tcPr>
            <w:tcW w:w="0" w:type="auto"/>
            <w:vAlign w:val="center"/>
            <w:hideMark/>
          </w:tcPr>
          <w:p w:rsidR="003D0728" w:rsidRPr="003D0728" w:rsidRDefault="003D0728" w:rsidP="00F31081">
            <w:pPr>
              <w:spacing w:line="360" w:lineRule="atLeast"/>
              <w:jc w:val="center"/>
              <w:rPr>
                <w:rFonts w:ascii="Arial" w:eastAsia="Times New Roman" w:hAnsi="Arial" w:cs="Arial"/>
                <w:color w:val="333333"/>
                <w:sz w:val="21"/>
                <w:szCs w:val="21"/>
              </w:rPr>
            </w:pPr>
            <w:r w:rsidRPr="003D0728">
              <w:rPr>
                <w:rFonts w:ascii="Arial" w:eastAsia="Times New Roman" w:hAnsi="Arial" w:cs="Arial"/>
                <w:color w:val="333333"/>
                <w:sz w:val="21"/>
                <w:szCs w:val="21"/>
              </w:rPr>
              <w:t>May 3, 2023</w:t>
            </w:r>
          </w:p>
        </w:tc>
        <w:tc>
          <w:tcPr>
            <w:tcW w:w="0" w:type="auto"/>
            <w:vAlign w:val="center"/>
            <w:hideMark/>
          </w:tcPr>
          <w:p w:rsidR="003D0728" w:rsidRPr="003D0728" w:rsidRDefault="003D0728" w:rsidP="00F31081">
            <w:pPr>
              <w:spacing w:line="360" w:lineRule="atLeast"/>
              <w:jc w:val="center"/>
              <w:rPr>
                <w:rFonts w:ascii="Arial" w:eastAsia="Times New Roman" w:hAnsi="Arial" w:cs="Arial"/>
                <w:color w:val="333333"/>
                <w:sz w:val="21"/>
                <w:szCs w:val="21"/>
              </w:rPr>
            </w:pPr>
            <w:r w:rsidRPr="003D0728">
              <w:rPr>
                <w:rFonts w:ascii="Arial" w:eastAsia="Times New Roman" w:hAnsi="Arial" w:cs="Arial"/>
                <w:color w:val="333333"/>
                <w:sz w:val="21"/>
                <w:szCs w:val="21"/>
              </w:rPr>
              <w:t>+25</w:t>
            </w:r>
          </w:p>
        </w:tc>
        <w:tc>
          <w:tcPr>
            <w:tcW w:w="0" w:type="auto"/>
            <w:vAlign w:val="center"/>
            <w:hideMark/>
          </w:tcPr>
          <w:p w:rsidR="003D0728" w:rsidRPr="003D0728" w:rsidRDefault="003D0728" w:rsidP="00F31081">
            <w:pPr>
              <w:spacing w:line="360" w:lineRule="atLeast"/>
              <w:jc w:val="center"/>
              <w:rPr>
                <w:rFonts w:ascii="Arial" w:eastAsia="Times New Roman" w:hAnsi="Arial" w:cs="Arial"/>
                <w:color w:val="333333"/>
                <w:sz w:val="21"/>
                <w:szCs w:val="21"/>
              </w:rPr>
            </w:pPr>
            <w:r w:rsidRPr="003D0728">
              <w:rPr>
                <w:rFonts w:ascii="Arial" w:eastAsia="Times New Roman" w:hAnsi="Arial" w:cs="Arial"/>
                <w:color w:val="333333"/>
                <w:sz w:val="21"/>
                <w:szCs w:val="21"/>
              </w:rPr>
              <w:t>5.00% to 5.25%</w:t>
            </w:r>
          </w:p>
        </w:tc>
      </w:tr>
      <w:tr w:rsidR="003D0728" w:rsidRPr="003D0728" w:rsidTr="00F31081">
        <w:trPr>
          <w:jc w:val="center"/>
        </w:trPr>
        <w:tc>
          <w:tcPr>
            <w:tcW w:w="0" w:type="auto"/>
            <w:vAlign w:val="center"/>
            <w:hideMark/>
          </w:tcPr>
          <w:p w:rsidR="003D0728" w:rsidRPr="003D0728" w:rsidRDefault="003D0728" w:rsidP="00F31081">
            <w:pPr>
              <w:spacing w:line="360" w:lineRule="atLeast"/>
              <w:jc w:val="center"/>
              <w:rPr>
                <w:rFonts w:ascii="Arial" w:eastAsia="Times New Roman" w:hAnsi="Arial" w:cs="Arial"/>
                <w:color w:val="333333"/>
                <w:sz w:val="21"/>
                <w:szCs w:val="21"/>
              </w:rPr>
            </w:pPr>
            <w:r w:rsidRPr="003D0728">
              <w:rPr>
                <w:rFonts w:ascii="Arial" w:eastAsia="Times New Roman" w:hAnsi="Arial" w:cs="Arial"/>
                <w:color w:val="333333"/>
                <w:sz w:val="21"/>
                <w:szCs w:val="21"/>
              </w:rPr>
              <w:t>March 22, 2023</w:t>
            </w:r>
          </w:p>
        </w:tc>
        <w:tc>
          <w:tcPr>
            <w:tcW w:w="0" w:type="auto"/>
            <w:vAlign w:val="center"/>
            <w:hideMark/>
          </w:tcPr>
          <w:p w:rsidR="003D0728" w:rsidRPr="003D0728" w:rsidRDefault="003D0728" w:rsidP="00F31081">
            <w:pPr>
              <w:spacing w:line="360" w:lineRule="atLeast"/>
              <w:jc w:val="center"/>
              <w:rPr>
                <w:rFonts w:ascii="Arial" w:eastAsia="Times New Roman" w:hAnsi="Arial" w:cs="Arial"/>
                <w:color w:val="333333"/>
                <w:sz w:val="21"/>
                <w:szCs w:val="21"/>
              </w:rPr>
            </w:pPr>
            <w:r w:rsidRPr="003D0728">
              <w:rPr>
                <w:rFonts w:ascii="Arial" w:eastAsia="Times New Roman" w:hAnsi="Arial" w:cs="Arial"/>
                <w:color w:val="333333"/>
                <w:sz w:val="21"/>
                <w:szCs w:val="21"/>
              </w:rPr>
              <w:t>+25</w:t>
            </w:r>
          </w:p>
        </w:tc>
        <w:tc>
          <w:tcPr>
            <w:tcW w:w="0" w:type="auto"/>
            <w:vAlign w:val="center"/>
            <w:hideMark/>
          </w:tcPr>
          <w:p w:rsidR="003D0728" w:rsidRPr="003D0728" w:rsidRDefault="003D0728" w:rsidP="00F31081">
            <w:pPr>
              <w:spacing w:line="360" w:lineRule="atLeast"/>
              <w:jc w:val="center"/>
              <w:rPr>
                <w:rFonts w:ascii="Arial" w:eastAsia="Times New Roman" w:hAnsi="Arial" w:cs="Arial"/>
                <w:color w:val="333333"/>
                <w:sz w:val="21"/>
                <w:szCs w:val="21"/>
              </w:rPr>
            </w:pPr>
            <w:r w:rsidRPr="003D0728">
              <w:rPr>
                <w:rFonts w:ascii="Arial" w:eastAsia="Times New Roman" w:hAnsi="Arial" w:cs="Arial"/>
                <w:color w:val="333333"/>
                <w:sz w:val="21"/>
                <w:szCs w:val="21"/>
              </w:rPr>
              <w:t>4.75% to 5.00%</w:t>
            </w:r>
          </w:p>
        </w:tc>
      </w:tr>
      <w:tr w:rsidR="003D0728" w:rsidRPr="003D0728" w:rsidTr="00F31081">
        <w:trPr>
          <w:jc w:val="center"/>
        </w:trPr>
        <w:tc>
          <w:tcPr>
            <w:tcW w:w="0" w:type="auto"/>
            <w:vAlign w:val="center"/>
            <w:hideMark/>
          </w:tcPr>
          <w:p w:rsidR="003D0728" w:rsidRPr="003D0728" w:rsidRDefault="003D0728" w:rsidP="00F31081">
            <w:pPr>
              <w:spacing w:line="360" w:lineRule="atLeast"/>
              <w:jc w:val="center"/>
              <w:rPr>
                <w:rFonts w:ascii="Arial" w:eastAsia="Times New Roman" w:hAnsi="Arial" w:cs="Arial"/>
                <w:color w:val="333333"/>
                <w:sz w:val="21"/>
                <w:szCs w:val="21"/>
              </w:rPr>
            </w:pPr>
            <w:r w:rsidRPr="003D0728">
              <w:rPr>
                <w:rFonts w:ascii="Arial" w:eastAsia="Times New Roman" w:hAnsi="Arial" w:cs="Arial"/>
                <w:color w:val="333333"/>
                <w:sz w:val="21"/>
                <w:szCs w:val="21"/>
              </w:rPr>
              <w:t>Feb 1, 2023</w:t>
            </w:r>
          </w:p>
        </w:tc>
        <w:tc>
          <w:tcPr>
            <w:tcW w:w="0" w:type="auto"/>
            <w:vAlign w:val="center"/>
            <w:hideMark/>
          </w:tcPr>
          <w:p w:rsidR="003D0728" w:rsidRPr="003D0728" w:rsidRDefault="003D0728" w:rsidP="00F31081">
            <w:pPr>
              <w:spacing w:line="360" w:lineRule="atLeast"/>
              <w:jc w:val="center"/>
              <w:rPr>
                <w:rFonts w:ascii="Arial" w:eastAsia="Times New Roman" w:hAnsi="Arial" w:cs="Arial"/>
                <w:color w:val="333333"/>
                <w:sz w:val="21"/>
                <w:szCs w:val="21"/>
              </w:rPr>
            </w:pPr>
            <w:r w:rsidRPr="003D0728">
              <w:rPr>
                <w:rFonts w:ascii="Arial" w:eastAsia="Times New Roman" w:hAnsi="Arial" w:cs="Arial"/>
                <w:color w:val="333333"/>
                <w:sz w:val="21"/>
                <w:szCs w:val="21"/>
              </w:rPr>
              <w:t>+25</w:t>
            </w:r>
          </w:p>
        </w:tc>
        <w:tc>
          <w:tcPr>
            <w:tcW w:w="0" w:type="auto"/>
            <w:vAlign w:val="center"/>
            <w:hideMark/>
          </w:tcPr>
          <w:p w:rsidR="003D0728" w:rsidRPr="003D0728" w:rsidRDefault="003D0728" w:rsidP="00F31081">
            <w:pPr>
              <w:spacing w:line="360" w:lineRule="atLeast"/>
              <w:jc w:val="center"/>
              <w:rPr>
                <w:rFonts w:ascii="Arial" w:eastAsia="Times New Roman" w:hAnsi="Arial" w:cs="Arial"/>
                <w:color w:val="333333"/>
                <w:sz w:val="21"/>
                <w:szCs w:val="21"/>
              </w:rPr>
            </w:pPr>
            <w:r w:rsidRPr="003D0728">
              <w:rPr>
                <w:rFonts w:ascii="Arial" w:eastAsia="Times New Roman" w:hAnsi="Arial" w:cs="Arial"/>
                <w:color w:val="333333"/>
                <w:sz w:val="21"/>
                <w:szCs w:val="21"/>
              </w:rPr>
              <w:t>4.50% to 4.75%</w:t>
            </w:r>
          </w:p>
        </w:tc>
      </w:tr>
      <w:tr w:rsidR="003D0728" w:rsidRPr="003D0728" w:rsidTr="00F31081">
        <w:trPr>
          <w:jc w:val="center"/>
        </w:trPr>
        <w:tc>
          <w:tcPr>
            <w:tcW w:w="0" w:type="auto"/>
            <w:vAlign w:val="center"/>
            <w:hideMark/>
          </w:tcPr>
          <w:p w:rsidR="003D0728" w:rsidRPr="003D0728" w:rsidRDefault="003D0728" w:rsidP="00F31081">
            <w:pPr>
              <w:spacing w:line="360" w:lineRule="atLeast"/>
              <w:jc w:val="center"/>
              <w:rPr>
                <w:rFonts w:ascii="Arial" w:eastAsia="Times New Roman" w:hAnsi="Arial" w:cs="Arial"/>
                <w:color w:val="333333"/>
                <w:sz w:val="21"/>
                <w:szCs w:val="21"/>
              </w:rPr>
            </w:pPr>
            <w:r w:rsidRPr="003D0728">
              <w:rPr>
                <w:rFonts w:ascii="Arial" w:eastAsia="Times New Roman" w:hAnsi="Arial" w:cs="Arial"/>
                <w:color w:val="333333"/>
                <w:sz w:val="21"/>
                <w:szCs w:val="21"/>
              </w:rPr>
              <w:t>Dec 14, 2022</w:t>
            </w:r>
          </w:p>
        </w:tc>
        <w:tc>
          <w:tcPr>
            <w:tcW w:w="0" w:type="auto"/>
            <w:vAlign w:val="center"/>
            <w:hideMark/>
          </w:tcPr>
          <w:p w:rsidR="003D0728" w:rsidRPr="003D0728" w:rsidRDefault="003D0728" w:rsidP="00F31081">
            <w:pPr>
              <w:spacing w:line="360" w:lineRule="atLeast"/>
              <w:jc w:val="center"/>
              <w:rPr>
                <w:rFonts w:ascii="Arial" w:eastAsia="Times New Roman" w:hAnsi="Arial" w:cs="Arial"/>
                <w:color w:val="333333"/>
                <w:sz w:val="21"/>
                <w:szCs w:val="21"/>
              </w:rPr>
            </w:pPr>
            <w:r w:rsidRPr="003D0728">
              <w:rPr>
                <w:rFonts w:ascii="Arial" w:eastAsia="Times New Roman" w:hAnsi="Arial" w:cs="Arial"/>
                <w:color w:val="333333"/>
                <w:sz w:val="21"/>
                <w:szCs w:val="21"/>
              </w:rPr>
              <w:t>+50</w:t>
            </w:r>
          </w:p>
        </w:tc>
        <w:tc>
          <w:tcPr>
            <w:tcW w:w="0" w:type="auto"/>
            <w:vAlign w:val="center"/>
            <w:hideMark/>
          </w:tcPr>
          <w:p w:rsidR="003D0728" w:rsidRPr="003D0728" w:rsidRDefault="003D0728" w:rsidP="00F31081">
            <w:pPr>
              <w:spacing w:line="360" w:lineRule="atLeast"/>
              <w:jc w:val="center"/>
              <w:rPr>
                <w:rFonts w:ascii="Arial" w:eastAsia="Times New Roman" w:hAnsi="Arial" w:cs="Arial"/>
                <w:color w:val="333333"/>
                <w:sz w:val="21"/>
                <w:szCs w:val="21"/>
              </w:rPr>
            </w:pPr>
            <w:r w:rsidRPr="003D0728">
              <w:rPr>
                <w:rFonts w:ascii="Arial" w:eastAsia="Times New Roman" w:hAnsi="Arial" w:cs="Arial"/>
                <w:color w:val="333333"/>
                <w:sz w:val="21"/>
                <w:szCs w:val="21"/>
              </w:rPr>
              <w:t>4.25% to 4.50%</w:t>
            </w:r>
          </w:p>
        </w:tc>
      </w:tr>
      <w:tr w:rsidR="003D0728" w:rsidRPr="003D0728" w:rsidTr="00F31081">
        <w:trPr>
          <w:jc w:val="center"/>
        </w:trPr>
        <w:tc>
          <w:tcPr>
            <w:tcW w:w="0" w:type="auto"/>
            <w:vAlign w:val="center"/>
            <w:hideMark/>
          </w:tcPr>
          <w:p w:rsidR="003D0728" w:rsidRPr="003D0728" w:rsidRDefault="003D0728" w:rsidP="00F31081">
            <w:pPr>
              <w:spacing w:line="360" w:lineRule="atLeast"/>
              <w:jc w:val="center"/>
              <w:rPr>
                <w:rFonts w:ascii="Arial" w:eastAsia="Times New Roman" w:hAnsi="Arial" w:cs="Arial"/>
                <w:color w:val="333333"/>
                <w:sz w:val="21"/>
                <w:szCs w:val="21"/>
              </w:rPr>
            </w:pPr>
            <w:r w:rsidRPr="003D0728">
              <w:rPr>
                <w:rFonts w:ascii="Arial" w:eastAsia="Times New Roman" w:hAnsi="Arial" w:cs="Arial"/>
                <w:color w:val="333333"/>
                <w:sz w:val="21"/>
                <w:szCs w:val="21"/>
              </w:rPr>
              <w:t>Nov 2, 2022</w:t>
            </w:r>
          </w:p>
        </w:tc>
        <w:tc>
          <w:tcPr>
            <w:tcW w:w="0" w:type="auto"/>
            <w:vAlign w:val="center"/>
            <w:hideMark/>
          </w:tcPr>
          <w:p w:rsidR="003D0728" w:rsidRPr="003D0728" w:rsidRDefault="003D0728" w:rsidP="00F31081">
            <w:pPr>
              <w:spacing w:line="360" w:lineRule="atLeast"/>
              <w:jc w:val="center"/>
              <w:rPr>
                <w:rFonts w:ascii="Arial" w:eastAsia="Times New Roman" w:hAnsi="Arial" w:cs="Arial"/>
                <w:color w:val="333333"/>
                <w:sz w:val="21"/>
                <w:szCs w:val="21"/>
              </w:rPr>
            </w:pPr>
            <w:r w:rsidRPr="003D0728">
              <w:rPr>
                <w:rFonts w:ascii="Arial" w:eastAsia="Times New Roman" w:hAnsi="Arial" w:cs="Arial"/>
                <w:color w:val="333333"/>
                <w:sz w:val="21"/>
                <w:szCs w:val="21"/>
              </w:rPr>
              <w:t>+75</w:t>
            </w:r>
          </w:p>
        </w:tc>
        <w:tc>
          <w:tcPr>
            <w:tcW w:w="0" w:type="auto"/>
            <w:vAlign w:val="center"/>
            <w:hideMark/>
          </w:tcPr>
          <w:p w:rsidR="003D0728" w:rsidRPr="003D0728" w:rsidRDefault="003D0728" w:rsidP="00F31081">
            <w:pPr>
              <w:spacing w:line="360" w:lineRule="atLeast"/>
              <w:jc w:val="center"/>
              <w:rPr>
                <w:rFonts w:ascii="Arial" w:eastAsia="Times New Roman" w:hAnsi="Arial" w:cs="Arial"/>
                <w:color w:val="333333"/>
                <w:sz w:val="21"/>
                <w:szCs w:val="21"/>
              </w:rPr>
            </w:pPr>
            <w:r w:rsidRPr="003D0728">
              <w:rPr>
                <w:rFonts w:ascii="Arial" w:eastAsia="Times New Roman" w:hAnsi="Arial" w:cs="Arial"/>
                <w:color w:val="333333"/>
                <w:sz w:val="21"/>
                <w:szCs w:val="21"/>
              </w:rPr>
              <w:t>3.75% to 4.00%</w:t>
            </w:r>
          </w:p>
        </w:tc>
      </w:tr>
      <w:tr w:rsidR="003D0728" w:rsidRPr="003D0728" w:rsidTr="00F31081">
        <w:trPr>
          <w:jc w:val="center"/>
        </w:trPr>
        <w:tc>
          <w:tcPr>
            <w:tcW w:w="0" w:type="auto"/>
            <w:vAlign w:val="center"/>
            <w:hideMark/>
          </w:tcPr>
          <w:p w:rsidR="003D0728" w:rsidRPr="003D0728" w:rsidRDefault="003D0728" w:rsidP="00F31081">
            <w:pPr>
              <w:spacing w:line="360" w:lineRule="atLeast"/>
              <w:jc w:val="center"/>
              <w:rPr>
                <w:rFonts w:ascii="Arial" w:eastAsia="Times New Roman" w:hAnsi="Arial" w:cs="Arial"/>
                <w:color w:val="333333"/>
                <w:sz w:val="21"/>
                <w:szCs w:val="21"/>
              </w:rPr>
            </w:pPr>
            <w:r w:rsidRPr="003D0728">
              <w:rPr>
                <w:rFonts w:ascii="Arial" w:eastAsia="Times New Roman" w:hAnsi="Arial" w:cs="Arial"/>
                <w:color w:val="333333"/>
                <w:sz w:val="21"/>
                <w:szCs w:val="21"/>
              </w:rPr>
              <w:t>Sept 21, 2022</w:t>
            </w:r>
          </w:p>
        </w:tc>
        <w:tc>
          <w:tcPr>
            <w:tcW w:w="0" w:type="auto"/>
            <w:vAlign w:val="center"/>
            <w:hideMark/>
          </w:tcPr>
          <w:p w:rsidR="003D0728" w:rsidRPr="003D0728" w:rsidRDefault="003D0728" w:rsidP="00F31081">
            <w:pPr>
              <w:spacing w:line="360" w:lineRule="atLeast"/>
              <w:jc w:val="center"/>
              <w:rPr>
                <w:rFonts w:ascii="Arial" w:eastAsia="Times New Roman" w:hAnsi="Arial" w:cs="Arial"/>
                <w:color w:val="333333"/>
                <w:sz w:val="21"/>
                <w:szCs w:val="21"/>
              </w:rPr>
            </w:pPr>
            <w:r w:rsidRPr="003D0728">
              <w:rPr>
                <w:rFonts w:ascii="Arial" w:eastAsia="Times New Roman" w:hAnsi="Arial" w:cs="Arial"/>
                <w:color w:val="333333"/>
                <w:sz w:val="21"/>
                <w:szCs w:val="21"/>
              </w:rPr>
              <w:t>+75</w:t>
            </w:r>
          </w:p>
        </w:tc>
        <w:tc>
          <w:tcPr>
            <w:tcW w:w="0" w:type="auto"/>
            <w:vAlign w:val="center"/>
            <w:hideMark/>
          </w:tcPr>
          <w:p w:rsidR="003D0728" w:rsidRPr="003D0728" w:rsidRDefault="003D0728" w:rsidP="00F31081">
            <w:pPr>
              <w:spacing w:line="360" w:lineRule="atLeast"/>
              <w:jc w:val="center"/>
              <w:rPr>
                <w:rFonts w:ascii="Arial" w:eastAsia="Times New Roman" w:hAnsi="Arial" w:cs="Arial"/>
                <w:color w:val="333333"/>
                <w:sz w:val="21"/>
                <w:szCs w:val="21"/>
              </w:rPr>
            </w:pPr>
            <w:r w:rsidRPr="003D0728">
              <w:rPr>
                <w:rFonts w:ascii="Arial" w:eastAsia="Times New Roman" w:hAnsi="Arial" w:cs="Arial"/>
                <w:color w:val="333333"/>
                <w:sz w:val="21"/>
                <w:szCs w:val="21"/>
              </w:rPr>
              <w:t>3.00% to 3.25%</w:t>
            </w:r>
          </w:p>
        </w:tc>
      </w:tr>
      <w:tr w:rsidR="003D0728" w:rsidRPr="003D0728" w:rsidTr="00F31081">
        <w:trPr>
          <w:jc w:val="center"/>
        </w:trPr>
        <w:tc>
          <w:tcPr>
            <w:tcW w:w="0" w:type="auto"/>
            <w:vAlign w:val="center"/>
            <w:hideMark/>
          </w:tcPr>
          <w:p w:rsidR="003D0728" w:rsidRPr="003D0728" w:rsidRDefault="003D0728" w:rsidP="00F31081">
            <w:pPr>
              <w:spacing w:line="360" w:lineRule="atLeast"/>
              <w:jc w:val="center"/>
              <w:rPr>
                <w:rFonts w:ascii="Arial" w:eastAsia="Times New Roman" w:hAnsi="Arial" w:cs="Arial"/>
                <w:color w:val="333333"/>
                <w:sz w:val="21"/>
                <w:szCs w:val="21"/>
              </w:rPr>
            </w:pPr>
            <w:r w:rsidRPr="003D0728">
              <w:rPr>
                <w:rFonts w:ascii="Arial" w:eastAsia="Times New Roman" w:hAnsi="Arial" w:cs="Arial"/>
                <w:color w:val="333333"/>
                <w:sz w:val="21"/>
                <w:szCs w:val="21"/>
              </w:rPr>
              <w:t>July 27, 2022</w:t>
            </w:r>
          </w:p>
        </w:tc>
        <w:tc>
          <w:tcPr>
            <w:tcW w:w="0" w:type="auto"/>
            <w:vAlign w:val="center"/>
            <w:hideMark/>
          </w:tcPr>
          <w:p w:rsidR="003D0728" w:rsidRPr="003D0728" w:rsidRDefault="003D0728" w:rsidP="00F31081">
            <w:pPr>
              <w:spacing w:line="360" w:lineRule="atLeast"/>
              <w:jc w:val="center"/>
              <w:rPr>
                <w:rFonts w:ascii="Arial" w:eastAsia="Times New Roman" w:hAnsi="Arial" w:cs="Arial"/>
                <w:color w:val="333333"/>
                <w:sz w:val="21"/>
                <w:szCs w:val="21"/>
              </w:rPr>
            </w:pPr>
            <w:r w:rsidRPr="003D0728">
              <w:rPr>
                <w:rFonts w:ascii="Arial" w:eastAsia="Times New Roman" w:hAnsi="Arial" w:cs="Arial"/>
                <w:color w:val="333333"/>
                <w:sz w:val="21"/>
                <w:szCs w:val="21"/>
              </w:rPr>
              <w:t>+75</w:t>
            </w:r>
          </w:p>
        </w:tc>
        <w:tc>
          <w:tcPr>
            <w:tcW w:w="0" w:type="auto"/>
            <w:vAlign w:val="center"/>
            <w:hideMark/>
          </w:tcPr>
          <w:p w:rsidR="003D0728" w:rsidRPr="003D0728" w:rsidRDefault="003D0728" w:rsidP="00F31081">
            <w:pPr>
              <w:spacing w:line="360" w:lineRule="atLeast"/>
              <w:jc w:val="center"/>
              <w:rPr>
                <w:rFonts w:ascii="Arial" w:eastAsia="Times New Roman" w:hAnsi="Arial" w:cs="Arial"/>
                <w:color w:val="333333"/>
                <w:sz w:val="21"/>
                <w:szCs w:val="21"/>
              </w:rPr>
            </w:pPr>
            <w:r w:rsidRPr="003D0728">
              <w:rPr>
                <w:rFonts w:ascii="Arial" w:eastAsia="Times New Roman" w:hAnsi="Arial" w:cs="Arial"/>
                <w:color w:val="333333"/>
                <w:sz w:val="21"/>
                <w:szCs w:val="21"/>
              </w:rPr>
              <w:t>2.25% to 2.50%</w:t>
            </w:r>
          </w:p>
        </w:tc>
      </w:tr>
      <w:tr w:rsidR="003D0728" w:rsidRPr="003D0728" w:rsidTr="00F31081">
        <w:trPr>
          <w:jc w:val="center"/>
        </w:trPr>
        <w:tc>
          <w:tcPr>
            <w:tcW w:w="0" w:type="auto"/>
            <w:vAlign w:val="center"/>
            <w:hideMark/>
          </w:tcPr>
          <w:p w:rsidR="003D0728" w:rsidRPr="003D0728" w:rsidRDefault="003D0728" w:rsidP="00F31081">
            <w:pPr>
              <w:spacing w:line="360" w:lineRule="atLeast"/>
              <w:jc w:val="center"/>
              <w:rPr>
                <w:rFonts w:ascii="Arial" w:eastAsia="Times New Roman" w:hAnsi="Arial" w:cs="Arial"/>
                <w:color w:val="333333"/>
                <w:sz w:val="21"/>
                <w:szCs w:val="21"/>
              </w:rPr>
            </w:pPr>
            <w:r w:rsidRPr="003D0728">
              <w:rPr>
                <w:rFonts w:ascii="Arial" w:eastAsia="Times New Roman" w:hAnsi="Arial" w:cs="Arial"/>
                <w:color w:val="333333"/>
                <w:sz w:val="21"/>
                <w:szCs w:val="21"/>
              </w:rPr>
              <w:t>June 16, 2022</w:t>
            </w:r>
          </w:p>
        </w:tc>
        <w:tc>
          <w:tcPr>
            <w:tcW w:w="0" w:type="auto"/>
            <w:vAlign w:val="center"/>
            <w:hideMark/>
          </w:tcPr>
          <w:p w:rsidR="003D0728" w:rsidRPr="003D0728" w:rsidRDefault="003D0728" w:rsidP="00F31081">
            <w:pPr>
              <w:spacing w:line="360" w:lineRule="atLeast"/>
              <w:jc w:val="center"/>
              <w:rPr>
                <w:rFonts w:ascii="Arial" w:eastAsia="Times New Roman" w:hAnsi="Arial" w:cs="Arial"/>
                <w:color w:val="333333"/>
                <w:sz w:val="21"/>
                <w:szCs w:val="21"/>
              </w:rPr>
            </w:pPr>
            <w:r w:rsidRPr="003D0728">
              <w:rPr>
                <w:rFonts w:ascii="Arial" w:eastAsia="Times New Roman" w:hAnsi="Arial" w:cs="Arial"/>
                <w:color w:val="333333"/>
                <w:sz w:val="21"/>
                <w:szCs w:val="21"/>
              </w:rPr>
              <w:t>+75</w:t>
            </w:r>
          </w:p>
        </w:tc>
        <w:tc>
          <w:tcPr>
            <w:tcW w:w="0" w:type="auto"/>
            <w:vAlign w:val="center"/>
            <w:hideMark/>
          </w:tcPr>
          <w:p w:rsidR="003D0728" w:rsidRPr="003D0728" w:rsidRDefault="003D0728" w:rsidP="00F31081">
            <w:pPr>
              <w:spacing w:line="360" w:lineRule="atLeast"/>
              <w:jc w:val="center"/>
              <w:rPr>
                <w:rFonts w:ascii="Arial" w:eastAsia="Times New Roman" w:hAnsi="Arial" w:cs="Arial"/>
                <w:color w:val="333333"/>
                <w:sz w:val="21"/>
                <w:szCs w:val="21"/>
              </w:rPr>
            </w:pPr>
            <w:r w:rsidRPr="003D0728">
              <w:rPr>
                <w:rFonts w:ascii="Arial" w:eastAsia="Times New Roman" w:hAnsi="Arial" w:cs="Arial"/>
                <w:color w:val="333333"/>
                <w:sz w:val="21"/>
                <w:szCs w:val="21"/>
              </w:rPr>
              <w:t>1.50% to 1.75%</w:t>
            </w:r>
          </w:p>
        </w:tc>
      </w:tr>
      <w:tr w:rsidR="003D0728" w:rsidRPr="003D0728" w:rsidTr="00F31081">
        <w:trPr>
          <w:jc w:val="center"/>
        </w:trPr>
        <w:tc>
          <w:tcPr>
            <w:tcW w:w="0" w:type="auto"/>
            <w:vAlign w:val="center"/>
            <w:hideMark/>
          </w:tcPr>
          <w:p w:rsidR="003D0728" w:rsidRPr="003D0728" w:rsidRDefault="003D0728" w:rsidP="00F31081">
            <w:pPr>
              <w:spacing w:line="360" w:lineRule="atLeast"/>
              <w:jc w:val="center"/>
              <w:rPr>
                <w:rFonts w:ascii="Arial" w:eastAsia="Times New Roman" w:hAnsi="Arial" w:cs="Arial"/>
                <w:color w:val="333333"/>
                <w:sz w:val="21"/>
                <w:szCs w:val="21"/>
              </w:rPr>
            </w:pPr>
            <w:r w:rsidRPr="003D0728">
              <w:rPr>
                <w:rFonts w:ascii="Arial" w:eastAsia="Times New Roman" w:hAnsi="Arial" w:cs="Arial"/>
                <w:color w:val="333333"/>
                <w:sz w:val="21"/>
                <w:szCs w:val="21"/>
              </w:rPr>
              <w:t>May 5, 2022</w:t>
            </w:r>
          </w:p>
        </w:tc>
        <w:tc>
          <w:tcPr>
            <w:tcW w:w="0" w:type="auto"/>
            <w:vAlign w:val="center"/>
            <w:hideMark/>
          </w:tcPr>
          <w:p w:rsidR="003D0728" w:rsidRPr="003D0728" w:rsidRDefault="003D0728" w:rsidP="00F31081">
            <w:pPr>
              <w:spacing w:line="360" w:lineRule="atLeast"/>
              <w:jc w:val="center"/>
              <w:rPr>
                <w:rFonts w:ascii="Arial" w:eastAsia="Times New Roman" w:hAnsi="Arial" w:cs="Arial"/>
                <w:color w:val="333333"/>
                <w:sz w:val="21"/>
                <w:szCs w:val="21"/>
              </w:rPr>
            </w:pPr>
            <w:r w:rsidRPr="003D0728">
              <w:rPr>
                <w:rFonts w:ascii="Arial" w:eastAsia="Times New Roman" w:hAnsi="Arial" w:cs="Arial"/>
                <w:color w:val="333333"/>
                <w:sz w:val="21"/>
                <w:szCs w:val="21"/>
              </w:rPr>
              <w:t>+50</w:t>
            </w:r>
          </w:p>
        </w:tc>
        <w:tc>
          <w:tcPr>
            <w:tcW w:w="0" w:type="auto"/>
            <w:vAlign w:val="center"/>
            <w:hideMark/>
          </w:tcPr>
          <w:p w:rsidR="003D0728" w:rsidRPr="003D0728" w:rsidRDefault="003D0728" w:rsidP="00F31081">
            <w:pPr>
              <w:spacing w:line="360" w:lineRule="atLeast"/>
              <w:jc w:val="center"/>
              <w:rPr>
                <w:rFonts w:ascii="Arial" w:eastAsia="Times New Roman" w:hAnsi="Arial" w:cs="Arial"/>
                <w:color w:val="333333"/>
                <w:sz w:val="21"/>
                <w:szCs w:val="21"/>
              </w:rPr>
            </w:pPr>
            <w:r w:rsidRPr="003D0728">
              <w:rPr>
                <w:rFonts w:ascii="Arial" w:eastAsia="Times New Roman" w:hAnsi="Arial" w:cs="Arial"/>
                <w:color w:val="333333"/>
                <w:sz w:val="21"/>
                <w:szCs w:val="21"/>
              </w:rPr>
              <w:t>0.75% to 1.00%</w:t>
            </w:r>
          </w:p>
        </w:tc>
      </w:tr>
      <w:tr w:rsidR="003D0728" w:rsidRPr="003D0728" w:rsidTr="00F31081">
        <w:trPr>
          <w:jc w:val="center"/>
        </w:trPr>
        <w:tc>
          <w:tcPr>
            <w:tcW w:w="0" w:type="auto"/>
            <w:vAlign w:val="center"/>
            <w:hideMark/>
          </w:tcPr>
          <w:p w:rsidR="003D0728" w:rsidRPr="003D0728" w:rsidRDefault="003D0728" w:rsidP="00F31081">
            <w:pPr>
              <w:spacing w:line="360" w:lineRule="atLeast"/>
              <w:jc w:val="center"/>
              <w:rPr>
                <w:rFonts w:ascii="Arial" w:eastAsia="Times New Roman" w:hAnsi="Arial" w:cs="Arial"/>
                <w:color w:val="333333"/>
                <w:sz w:val="21"/>
                <w:szCs w:val="21"/>
              </w:rPr>
            </w:pPr>
            <w:r w:rsidRPr="003D0728">
              <w:rPr>
                <w:rFonts w:ascii="Arial" w:eastAsia="Times New Roman" w:hAnsi="Arial" w:cs="Arial"/>
                <w:color w:val="333333"/>
                <w:sz w:val="21"/>
                <w:szCs w:val="21"/>
              </w:rPr>
              <w:t>March 17, 2022</w:t>
            </w:r>
          </w:p>
        </w:tc>
        <w:tc>
          <w:tcPr>
            <w:tcW w:w="0" w:type="auto"/>
            <w:vAlign w:val="center"/>
            <w:hideMark/>
          </w:tcPr>
          <w:p w:rsidR="003D0728" w:rsidRPr="003D0728" w:rsidRDefault="003D0728" w:rsidP="00F31081">
            <w:pPr>
              <w:spacing w:line="360" w:lineRule="atLeast"/>
              <w:jc w:val="center"/>
              <w:rPr>
                <w:rFonts w:ascii="Arial" w:eastAsia="Times New Roman" w:hAnsi="Arial" w:cs="Arial"/>
                <w:color w:val="333333"/>
                <w:sz w:val="21"/>
                <w:szCs w:val="21"/>
              </w:rPr>
            </w:pPr>
            <w:r w:rsidRPr="003D0728">
              <w:rPr>
                <w:rFonts w:ascii="Arial" w:eastAsia="Times New Roman" w:hAnsi="Arial" w:cs="Arial"/>
                <w:color w:val="333333"/>
                <w:sz w:val="21"/>
                <w:szCs w:val="21"/>
              </w:rPr>
              <w:t>+25</w:t>
            </w:r>
          </w:p>
        </w:tc>
        <w:tc>
          <w:tcPr>
            <w:tcW w:w="0" w:type="auto"/>
            <w:vAlign w:val="center"/>
            <w:hideMark/>
          </w:tcPr>
          <w:p w:rsidR="003D0728" w:rsidRPr="003D0728" w:rsidRDefault="003D0728" w:rsidP="00F31081">
            <w:pPr>
              <w:spacing w:line="360" w:lineRule="atLeast"/>
              <w:jc w:val="center"/>
              <w:rPr>
                <w:rFonts w:ascii="Arial" w:eastAsia="Times New Roman" w:hAnsi="Arial" w:cs="Arial"/>
                <w:color w:val="333333"/>
                <w:sz w:val="21"/>
                <w:szCs w:val="21"/>
              </w:rPr>
            </w:pPr>
            <w:r w:rsidRPr="003D0728">
              <w:rPr>
                <w:rFonts w:ascii="Arial" w:eastAsia="Times New Roman" w:hAnsi="Arial" w:cs="Arial"/>
                <w:color w:val="333333"/>
                <w:sz w:val="21"/>
                <w:szCs w:val="21"/>
              </w:rPr>
              <w:t>0.25% to 0.50%</w:t>
            </w:r>
          </w:p>
        </w:tc>
      </w:tr>
      <w:tr w:rsidR="00F31081" w:rsidRPr="00F31081" w:rsidTr="00643BDE">
        <w:trPr>
          <w:jc w:val="center"/>
        </w:trPr>
        <w:tc>
          <w:tcPr>
            <w:tcW w:w="9576" w:type="dxa"/>
            <w:gridSpan w:val="3"/>
            <w:vAlign w:val="center"/>
          </w:tcPr>
          <w:p w:rsidR="00F31081" w:rsidRPr="00F31081" w:rsidRDefault="00F31081" w:rsidP="00F31081">
            <w:pPr>
              <w:rPr>
                <w:b/>
              </w:rPr>
            </w:pPr>
            <w:r w:rsidRPr="00F31081">
              <w:rPr>
                <w:b/>
              </w:rPr>
              <w:t>During Covid-19</w:t>
            </w:r>
            <w:r>
              <w:rPr>
                <w:b/>
              </w:rPr>
              <w:t>:</w:t>
            </w:r>
          </w:p>
        </w:tc>
      </w:tr>
      <w:tr w:rsidR="00F31081" w:rsidRPr="00F31081" w:rsidTr="00F31081">
        <w:trPr>
          <w:jc w:val="center"/>
        </w:trPr>
        <w:tc>
          <w:tcPr>
            <w:tcW w:w="0" w:type="auto"/>
            <w:vAlign w:val="center"/>
            <w:hideMark/>
          </w:tcPr>
          <w:p w:rsidR="00F31081" w:rsidRPr="00F31081" w:rsidRDefault="00F31081" w:rsidP="00F31081">
            <w:pPr>
              <w:spacing w:line="360" w:lineRule="atLeast"/>
              <w:jc w:val="center"/>
              <w:rPr>
                <w:rFonts w:ascii="Arial" w:eastAsia="Times New Roman" w:hAnsi="Arial" w:cs="Arial"/>
                <w:color w:val="333333"/>
                <w:sz w:val="21"/>
                <w:szCs w:val="21"/>
              </w:rPr>
            </w:pPr>
            <w:r w:rsidRPr="00F31081">
              <w:rPr>
                <w:rFonts w:ascii="Arial" w:eastAsia="Times New Roman" w:hAnsi="Arial" w:cs="Arial"/>
                <w:color w:val="333333"/>
                <w:sz w:val="21"/>
                <w:szCs w:val="21"/>
              </w:rPr>
              <w:t>March 16, 2020</w:t>
            </w:r>
          </w:p>
        </w:tc>
        <w:tc>
          <w:tcPr>
            <w:tcW w:w="0" w:type="auto"/>
            <w:vAlign w:val="center"/>
            <w:hideMark/>
          </w:tcPr>
          <w:p w:rsidR="00F31081" w:rsidRPr="00F31081" w:rsidRDefault="00F31081" w:rsidP="00F31081">
            <w:pPr>
              <w:spacing w:line="360" w:lineRule="atLeast"/>
              <w:jc w:val="center"/>
              <w:rPr>
                <w:rFonts w:ascii="Arial" w:eastAsia="Times New Roman" w:hAnsi="Arial" w:cs="Arial"/>
                <w:color w:val="333333"/>
                <w:sz w:val="21"/>
                <w:szCs w:val="21"/>
              </w:rPr>
            </w:pPr>
            <w:r w:rsidRPr="00F31081">
              <w:rPr>
                <w:rFonts w:ascii="Arial" w:eastAsia="Times New Roman" w:hAnsi="Arial" w:cs="Arial"/>
                <w:color w:val="333333"/>
                <w:sz w:val="21"/>
                <w:szCs w:val="21"/>
              </w:rPr>
              <w:t>-100</w:t>
            </w:r>
          </w:p>
        </w:tc>
        <w:tc>
          <w:tcPr>
            <w:tcW w:w="0" w:type="auto"/>
            <w:vAlign w:val="center"/>
            <w:hideMark/>
          </w:tcPr>
          <w:p w:rsidR="00F31081" w:rsidRPr="00F31081" w:rsidRDefault="00F31081" w:rsidP="00F31081">
            <w:pPr>
              <w:spacing w:line="360" w:lineRule="atLeast"/>
              <w:jc w:val="center"/>
              <w:rPr>
                <w:rFonts w:ascii="Arial" w:eastAsia="Times New Roman" w:hAnsi="Arial" w:cs="Arial"/>
                <w:color w:val="333333"/>
                <w:sz w:val="21"/>
                <w:szCs w:val="21"/>
              </w:rPr>
            </w:pPr>
            <w:r w:rsidRPr="00F31081">
              <w:rPr>
                <w:rFonts w:ascii="Arial" w:eastAsia="Times New Roman" w:hAnsi="Arial" w:cs="Arial"/>
                <w:color w:val="333333"/>
                <w:sz w:val="21"/>
                <w:szCs w:val="21"/>
              </w:rPr>
              <w:t>0% to 0.25%</w:t>
            </w:r>
          </w:p>
        </w:tc>
      </w:tr>
      <w:tr w:rsidR="00F31081" w:rsidRPr="00F31081" w:rsidTr="00F31081">
        <w:trPr>
          <w:jc w:val="center"/>
        </w:trPr>
        <w:tc>
          <w:tcPr>
            <w:tcW w:w="0" w:type="auto"/>
            <w:vAlign w:val="center"/>
            <w:hideMark/>
          </w:tcPr>
          <w:p w:rsidR="00F31081" w:rsidRPr="00F31081" w:rsidRDefault="00F31081" w:rsidP="00F31081">
            <w:pPr>
              <w:spacing w:line="360" w:lineRule="atLeast"/>
              <w:jc w:val="center"/>
              <w:rPr>
                <w:rFonts w:ascii="Arial" w:eastAsia="Times New Roman" w:hAnsi="Arial" w:cs="Arial"/>
                <w:color w:val="333333"/>
                <w:sz w:val="21"/>
                <w:szCs w:val="21"/>
              </w:rPr>
            </w:pPr>
            <w:r w:rsidRPr="00F31081">
              <w:rPr>
                <w:rFonts w:ascii="Arial" w:eastAsia="Times New Roman" w:hAnsi="Arial" w:cs="Arial"/>
                <w:color w:val="333333"/>
                <w:sz w:val="21"/>
                <w:szCs w:val="21"/>
              </w:rPr>
              <w:t>March 3, 2020</w:t>
            </w:r>
          </w:p>
        </w:tc>
        <w:tc>
          <w:tcPr>
            <w:tcW w:w="0" w:type="auto"/>
            <w:vAlign w:val="center"/>
            <w:hideMark/>
          </w:tcPr>
          <w:p w:rsidR="00F31081" w:rsidRPr="00F31081" w:rsidRDefault="00F31081" w:rsidP="00F31081">
            <w:pPr>
              <w:spacing w:line="360" w:lineRule="atLeast"/>
              <w:jc w:val="center"/>
              <w:rPr>
                <w:rFonts w:ascii="Arial" w:eastAsia="Times New Roman" w:hAnsi="Arial" w:cs="Arial"/>
                <w:color w:val="333333"/>
                <w:sz w:val="21"/>
                <w:szCs w:val="21"/>
              </w:rPr>
            </w:pPr>
            <w:r w:rsidRPr="00F31081">
              <w:rPr>
                <w:rFonts w:ascii="Arial" w:eastAsia="Times New Roman" w:hAnsi="Arial" w:cs="Arial"/>
                <w:color w:val="333333"/>
                <w:sz w:val="21"/>
                <w:szCs w:val="21"/>
              </w:rPr>
              <w:t>-50</w:t>
            </w:r>
          </w:p>
        </w:tc>
        <w:tc>
          <w:tcPr>
            <w:tcW w:w="0" w:type="auto"/>
            <w:vAlign w:val="center"/>
            <w:hideMark/>
          </w:tcPr>
          <w:p w:rsidR="00F31081" w:rsidRPr="00F31081" w:rsidRDefault="00F31081" w:rsidP="00F31081">
            <w:pPr>
              <w:spacing w:line="360" w:lineRule="atLeast"/>
              <w:jc w:val="center"/>
              <w:rPr>
                <w:rFonts w:ascii="Arial" w:eastAsia="Times New Roman" w:hAnsi="Arial" w:cs="Arial"/>
                <w:color w:val="333333"/>
                <w:sz w:val="21"/>
                <w:szCs w:val="21"/>
              </w:rPr>
            </w:pPr>
            <w:r w:rsidRPr="00F31081">
              <w:rPr>
                <w:rFonts w:ascii="Arial" w:eastAsia="Times New Roman" w:hAnsi="Arial" w:cs="Arial"/>
                <w:color w:val="333333"/>
                <w:sz w:val="21"/>
                <w:szCs w:val="21"/>
              </w:rPr>
              <w:t>1.0% to 1.25%</w:t>
            </w:r>
          </w:p>
        </w:tc>
      </w:tr>
      <w:tr w:rsidR="00F31081" w:rsidRPr="00F31081" w:rsidTr="003755E2">
        <w:trPr>
          <w:jc w:val="center"/>
        </w:trPr>
        <w:tc>
          <w:tcPr>
            <w:tcW w:w="9576" w:type="dxa"/>
            <w:gridSpan w:val="3"/>
            <w:vAlign w:val="center"/>
          </w:tcPr>
          <w:p w:rsidR="00F31081" w:rsidRPr="00F31081" w:rsidRDefault="00F31081" w:rsidP="00F31081">
            <w:pPr>
              <w:rPr>
                <w:b/>
              </w:rPr>
            </w:pPr>
            <w:r>
              <w:rPr>
                <w:b/>
              </w:rPr>
              <w:t>Before Covid-19:</w:t>
            </w:r>
          </w:p>
        </w:tc>
      </w:tr>
      <w:tr w:rsidR="00F31081" w:rsidRPr="00F31081" w:rsidTr="00F31081">
        <w:trPr>
          <w:jc w:val="center"/>
        </w:trPr>
        <w:tc>
          <w:tcPr>
            <w:tcW w:w="0" w:type="auto"/>
            <w:vAlign w:val="center"/>
            <w:hideMark/>
          </w:tcPr>
          <w:p w:rsidR="00F31081" w:rsidRPr="00F31081" w:rsidRDefault="00F31081" w:rsidP="00F31081">
            <w:pPr>
              <w:spacing w:line="360" w:lineRule="atLeast"/>
              <w:jc w:val="center"/>
              <w:rPr>
                <w:rFonts w:ascii="Arial" w:eastAsia="Times New Roman" w:hAnsi="Arial" w:cs="Arial"/>
                <w:color w:val="333333"/>
                <w:sz w:val="21"/>
                <w:szCs w:val="21"/>
              </w:rPr>
            </w:pPr>
            <w:r w:rsidRPr="00F31081">
              <w:rPr>
                <w:rFonts w:ascii="Arial" w:eastAsia="Times New Roman" w:hAnsi="Arial" w:cs="Arial"/>
                <w:color w:val="333333"/>
                <w:sz w:val="21"/>
                <w:szCs w:val="21"/>
              </w:rPr>
              <w:t>October 31, 2019</w:t>
            </w:r>
          </w:p>
        </w:tc>
        <w:tc>
          <w:tcPr>
            <w:tcW w:w="0" w:type="auto"/>
            <w:vAlign w:val="center"/>
            <w:hideMark/>
          </w:tcPr>
          <w:p w:rsidR="00F31081" w:rsidRPr="00F31081" w:rsidRDefault="00F31081" w:rsidP="00F31081">
            <w:pPr>
              <w:spacing w:line="360" w:lineRule="atLeast"/>
              <w:jc w:val="center"/>
              <w:rPr>
                <w:rFonts w:ascii="Arial" w:eastAsia="Times New Roman" w:hAnsi="Arial" w:cs="Arial"/>
                <w:color w:val="333333"/>
                <w:sz w:val="21"/>
                <w:szCs w:val="21"/>
              </w:rPr>
            </w:pPr>
            <w:r w:rsidRPr="00F31081">
              <w:rPr>
                <w:rFonts w:ascii="Arial" w:eastAsia="Times New Roman" w:hAnsi="Arial" w:cs="Arial"/>
                <w:color w:val="333333"/>
                <w:sz w:val="21"/>
                <w:szCs w:val="21"/>
              </w:rPr>
              <w:t>-25</w:t>
            </w:r>
          </w:p>
        </w:tc>
        <w:tc>
          <w:tcPr>
            <w:tcW w:w="0" w:type="auto"/>
            <w:vAlign w:val="center"/>
            <w:hideMark/>
          </w:tcPr>
          <w:p w:rsidR="00F31081" w:rsidRPr="00F31081" w:rsidRDefault="00F31081" w:rsidP="00F31081">
            <w:pPr>
              <w:spacing w:line="360" w:lineRule="atLeast"/>
              <w:jc w:val="center"/>
              <w:rPr>
                <w:rFonts w:ascii="Arial" w:eastAsia="Times New Roman" w:hAnsi="Arial" w:cs="Arial"/>
                <w:color w:val="333333"/>
                <w:sz w:val="21"/>
                <w:szCs w:val="21"/>
              </w:rPr>
            </w:pPr>
            <w:r w:rsidRPr="00F31081">
              <w:rPr>
                <w:rFonts w:ascii="Arial" w:eastAsia="Times New Roman" w:hAnsi="Arial" w:cs="Arial"/>
                <w:color w:val="333333"/>
                <w:sz w:val="21"/>
                <w:szCs w:val="21"/>
              </w:rPr>
              <w:t>1.50% to 1.75%</w:t>
            </w:r>
          </w:p>
        </w:tc>
      </w:tr>
      <w:tr w:rsidR="00F31081" w:rsidRPr="00F31081" w:rsidTr="00F31081">
        <w:trPr>
          <w:jc w:val="center"/>
        </w:trPr>
        <w:tc>
          <w:tcPr>
            <w:tcW w:w="0" w:type="auto"/>
            <w:vAlign w:val="center"/>
            <w:hideMark/>
          </w:tcPr>
          <w:p w:rsidR="00F31081" w:rsidRPr="00F31081" w:rsidRDefault="00F31081" w:rsidP="00F31081">
            <w:pPr>
              <w:spacing w:line="360" w:lineRule="atLeast"/>
              <w:jc w:val="center"/>
              <w:rPr>
                <w:rFonts w:ascii="Arial" w:eastAsia="Times New Roman" w:hAnsi="Arial" w:cs="Arial"/>
                <w:color w:val="333333"/>
                <w:sz w:val="21"/>
                <w:szCs w:val="21"/>
              </w:rPr>
            </w:pPr>
            <w:r w:rsidRPr="00F31081">
              <w:rPr>
                <w:rFonts w:ascii="Arial" w:eastAsia="Times New Roman" w:hAnsi="Arial" w:cs="Arial"/>
                <w:color w:val="333333"/>
                <w:sz w:val="21"/>
                <w:szCs w:val="21"/>
              </w:rPr>
              <w:t>Sept. 19, 2019</w:t>
            </w:r>
          </w:p>
        </w:tc>
        <w:tc>
          <w:tcPr>
            <w:tcW w:w="0" w:type="auto"/>
            <w:vAlign w:val="center"/>
            <w:hideMark/>
          </w:tcPr>
          <w:p w:rsidR="00F31081" w:rsidRPr="00F31081" w:rsidRDefault="00F31081" w:rsidP="00F31081">
            <w:pPr>
              <w:spacing w:line="360" w:lineRule="atLeast"/>
              <w:jc w:val="center"/>
              <w:rPr>
                <w:rFonts w:ascii="Arial" w:eastAsia="Times New Roman" w:hAnsi="Arial" w:cs="Arial"/>
                <w:color w:val="333333"/>
                <w:sz w:val="21"/>
                <w:szCs w:val="21"/>
              </w:rPr>
            </w:pPr>
            <w:r w:rsidRPr="00F31081">
              <w:rPr>
                <w:rFonts w:ascii="Arial" w:eastAsia="Times New Roman" w:hAnsi="Arial" w:cs="Arial"/>
                <w:color w:val="333333"/>
                <w:sz w:val="21"/>
                <w:szCs w:val="21"/>
              </w:rPr>
              <w:t>-25</w:t>
            </w:r>
          </w:p>
        </w:tc>
        <w:tc>
          <w:tcPr>
            <w:tcW w:w="0" w:type="auto"/>
            <w:vAlign w:val="center"/>
            <w:hideMark/>
          </w:tcPr>
          <w:p w:rsidR="00F31081" w:rsidRPr="00F31081" w:rsidRDefault="00F31081" w:rsidP="00F31081">
            <w:pPr>
              <w:spacing w:line="360" w:lineRule="atLeast"/>
              <w:jc w:val="center"/>
              <w:rPr>
                <w:rFonts w:ascii="Arial" w:eastAsia="Times New Roman" w:hAnsi="Arial" w:cs="Arial"/>
                <w:color w:val="333333"/>
                <w:sz w:val="21"/>
                <w:szCs w:val="21"/>
              </w:rPr>
            </w:pPr>
            <w:r w:rsidRPr="00F31081">
              <w:rPr>
                <w:rFonts w:ascii="Arial" w:eastAsia="Times New Roman" w:hAnsi="Arial" w:cs="Arial"/>
                <w:color w:val="333333"/>
                <w:sz w:val="21"/>
                <w:szCs w:val="21"/>
              </w:rPr>
              <w:t>1.75% to 2.0%</w:t>
            </w:r>
          </w:p>
        </w:tc>
      </w:tr>
      <w:tr w:rsidR="00F31081" w:rsidRPr="00F31081" w:rsidTr="00F31081">
        <w:trPr>
          <w:jc w:val="center"/>
        </w:trPr>
        <w:tc>
          <w:tcPr>
            <w:tcW w:w="0" w:type="auto"/>
            <w:vAlign w:val="center"/>
            <w:hideMark/>
          </w:tcPr>
          <w:p w:rsidR="00F31081" w:rsidRPr="00F31081" w:rsidRDefault="00F31081" w:rsidP="00F31081">
            <w:pPr>
              <w:spacing w:line="360" w:lineRule="atLeast"/>
              <w:jc w:val="center"/>
              <w:rPr>
                <w:rFonts w:ascii="Arial" w:eastAsia="Times New Roman" w:hAnsi="Arial" w:cs="Arial"/>
                <w:color w:val="333333"/>
                <w:sz w:val="21"/>
                <w:szCs w:val="21"/>
              </w:rPr>
            </w:pPr>
            <w:r w:rsidRPr="00F31081">
              <w:rPr>
                <w:rFonts w:ascii="Arial" w:eastAsia="Times New Roman" w:hAnsi="Arial" w:cs="Arial"/>
                <w:color w:val="333333"/>
                <w:sz w:val="21"/>
                <w:szCs w:val="21"/>
              </w:rPr>
              <w:t>Aug. 1, 2019</w:t>
            </w:r>
          </w:p>
        </w:tc>
        <w:tc>
          <w:tcPr>
            <w:tcW w:w="0" w:type="auto"/>
            <w:vAlign w:val="center"/>
            <w:hideMark/>
          </w:tcPr>
          <w:p w:rsidR="00F31081" w:rsidRPr="00F31081" w:rsidRDefault="00F31081" w:rsidP="00F31081">
            <w:pPr>
              <w:spacing w:line="360" w:lineRule="atLeast"/>
              <w:jc w:val="center"/>
              <w:rPr>
                <w:rFonts w:ascii="Arial" w:eastAsia="Times New Roman" w:hAnsi="Arial" w:cs="Arial"/>
                <w:color w:val="333333"/>
                <w:sz w:val="21"/>
                <w:szCs w:val="21"/>
              </w:rPr>
            </w:pPr>
            <w:r w:rsidRPr="00F31081">
              <w:rPr>
                <w:rFonts w:ascii="Arial" w:eastAsia="Times New Roman" w:hAnsi="Arial" w:cs="Arial"/>
                <w:color w:val="333333"/>
                <w:sz w:val="21"/>
                <w:szCs w:val="21"/>
              </w:rPr>
              <w:t>-25</w:t>
            </w:r>
          </w:p>
        </w:tc>
        <w:tc>
          <w:tcPr>
            <w:tcW w:w="0" w:type="auto"/>
            <w:vAlign w:val="center"/>
            <w:hideMark/>
          </w:tcPr>
          <w:p w:rsidR="00F31081" w:rsidRPr="00F31081" w:rsidRDefault="00F31081" w:rsidP="00F31081">
            <w:pPr>
              <w:spacing w:line="360" w:lineRule="atLeast"/>
              <w:jc w:val="center"/>
              <w:rPr>
                <w:rFonts w:ascii="Arial" w:eastAsia="Times New Roman" w:hAnsi="Arial" w:cs="Arial"/>
                <w:color w:val="333333"/>
                <w:sz w:val="21"/>
                <w:szCs w:val="21"/>
              </w:rPr>
            </w:pPr>
            <w:r w:rsidRPr="00F31081">
              <w:rPr>
                <w:rFonts w:ascii="Arial" w:eastAsia="Times New Roman" w:hAnsi="Arial" w:cs="Arial"/>
                <w:color w:val="333333"/>
                <w:sz w:val="21"/>
                <w:szCs w:val="21"/>
              </w:rPr>
              <w:t>2.0% to 2.25%</w:t>
            </w:r>
          </w:p>
        </w:tc>
      </w:tr>
    </w:tbl>
    <w:p w:rsidR="000B5291" w:rsidRDefault="000B5291" w:rsidP="003D0728">
      <w:pPr>
        <w:rPr>
          <w:i/>
        </w:rPr>
      </w:pPr>
    </w:p>
    <w:p w:rsidR="003D0728" w:rsidRDefault="00F31081" w:rsidP="003D0728">
      <w:pPr>
        <w:rPr>
          <w:i/>
        </w:rPr>
      </w:pPr>
      <w:r w:rsidRPr="00F31081">
        <w:rPr>
          <w:i/>
        </w:rPr>
        <w:lastRenderedPageBreak/>
        <w:t>The Federal Open Market Committee is a committee within the Federal Reserve System that is charged under United States law with overseeing the nation's open market operations. This Federal Reserve committee makes key decisions about interest rates and the growth of the United States money supply.</w:t>
      </w:r>
    </w:p>
    <w:p w:rsidR="00F31081" w:rsidRPr="00F31081" w:rsidRDefault="00F31081" w:rsidP="003D0728">
      <w:r w:rsidRPr="00F31081">
        <w:t>Analysis:</w:t>
      </w:r>
    </w:p>
    <w:p w:rsidR="00F31081" w:rsidRPr="00F31081" w:rsidRDefault="00F31081" w:rsidP="00F31081">
      <w:pPr>
        <w:pStyle w:val="ListParagraph"/>
        <w:numPr>
          <w:ilvl w:val="0"/>
          <w:numId w:val="1"/>
        </w:numPr>
      </w:pPr>
      <w:r w:rsidRPr="00F31081">
        <w:t xml:space="preserve">Rapid rate hikes post-COVID: From March 2022 to July 2023, the Fed aggressively raised rates from near-zero to 5.25-5.50%, with several 75 bps hikes. This indicates a strong response to high inflation following pandemic-era economic stimulus. </w:t>
      </w:r>
    </w:p>
    <w:p w:rsidR="00F31081" w:rsidRPr="00F31081" w:rsidRDefault="00F31081" w:rsidP="00F31081">
      <w:pPr>
        <w:pStyle w:val="ListParagraph"/>
        <w:numPr>
          <w:ilvl w:val="0"/>
          <w:numId w:val="1"/>
        </w:numPr>
      </w:pPr>
      <w:r w:rsidRPr="00F31081">
        <w:t xml:space="preserve">COVID-19 emergency cuts: In March 2020, the Fed made two emergency rate cuts totaling 150 bps, bringing rates to near-zero. This drastic action was taken to support the economy during the initial COVID-19 shock. </w:t>
      </w:r>
    </w:p>
    <w:p w:rsidR="003D0728" w:rsidRDefault="00F31081" w:rsidP="00F31081">
      <w:pPr>
        <w:pStyle w:val="ListParagraph"/>
        <w:numPr>
          <w:ilvl w:val="0"/>
          <w:numId w:val="1"/>
        </w:numPr>
      </w:pPr>
      <w:r w:rsidRPr="00F31081">
        <w:t>Pre-COVID easing cycle: From August to October 2019, the Fed implemented three 25 bps rate cuts</w:t>
      </w:r>
      <w:r w:rsidR="00BD64FA">
        <w:t xml:space="preserve"> </w:t>
      </w:r>
      <w:r w:rsidR="00BD64FA" w:rsidRPr="00BD64FA">
        <w:t>"mid-cycle adjustment" to counter potential economic harm from the US-China trade war and persistently low inflation.</w:t>
      </w:r>
      <w:r w:rsidR="00BD64FA">
        <w:t xml:space="preserve"> </w:t>
      </w:r>
      <w:r w:rsidR="00BD64FA" w:rsidRPr="00BD64FA">
        <w:t>These modest cuts aimed to sustain economic expansion and proved effective in supporting the economy before the COVID-19 pandemic hit.</w:t>
      </w:r>
    </w:p>
    <w:p w:rsidR="004F06A5" w:rsidRPr="004F06A5" w:rsidRDefault="004F06A5" w:rsidP="00037378">
      <w:pPr>
        <w:pStyle w:val="ListParagraph"/>
        <w:numPr>
          <w:ilvl w:val="0"/>
          <w:numId w:val="3"/>
        </w:numPr>
      </w:pPr>
      <w:r w:rsidRPr="000C1C78">
        <w:rPr>
          <w:b/>
          <w:bCs/>
        </w:rPr>
        <w:t>Office of the Comptroller of the Currency (OCC</w:t>
      </w:r>
      <w:proofErr w:type="gramStart"/>
      <w:r w:rsidRPr="000C1C78">
        <w:rPr>
          <w:b/>
          <w:bCs/>
        </w:rPr>
        <w:t>)</w:t>
      </w:r>
      <w:r>
        <w:t>-</w:t>
      </w:r>
      <w:proofErr w:type="gramEnd"/>
      <w:r>
        <w:t xml:space="preserve"> </w:t>
      </w:r>
      <w:r w:rsidRPr="004F06A5">
        <w:t>Charters, regulates, and supervises all national banks and federal savings associations.</w:t>
      </w:r>
    </w:p>
    <w:p w:rsidR="004F06A5" w:rsidRPr="004F06A5" w:rsidRDefault="004F06A5" w:rsidP="00037378">
      <w:pPr>
        <w:numPr>
          <w:ilvl w:val="0"/>
          <w:numId w:val="2"/>
        </w:numPr>
      </w:pPr>
      <w:r w:rsidRPr="004F06A5">
        <w:rPr>
          <w:b/>
          <w:bCs/>
        </w:rPr>
        <w:t>Recent Developments</w:t>
      </w:r>
      <w:r w:rsidRPr="004F06A5">
        <w:t>:</w:t>
      </w:r>
    </w:p>
    <w:p w:rsidR="004F06A5" w:rsidRPr="004F06A5" w:rsidRDefault="004F06A5" w:rsidP="00037378">
      <w:pPr>
        <w:numPr>
          <w:ilvl w:val="1"/>
          <w:numId w:val="2"/>
        </w:numPr>
      </w:pPr>
      <w:r w:rsidRPr="004F06A5">
        <w:rPr>
          <w:b/>
          <w:bCs/>
        </w:rPr>
        <w:t>Climate Risk Management</w:t>
      </w:r>
      <w:r w:rsidRPr="004F06A5">
        <w:t xml:space="preserve">: </w:t>
      </w:r>
      <w:r w:rsidR="007F04A7">
        <w:t>On June 3, 2023, the OCC</w:t>
      </w:r>
      <w:r w:rsidR="007F04A7" w:rsidRPr="004F06A5">
        <w:t xml:space="preserve"> </w:t>
      </w:r>
      <w:r w:rsidR="007F04A7">
        <w:t>i</w:t>
      </w:r>
      <w:r w:rsidRPr="004F06A5">
        <w:t xml:space="preserve">ssued final </w:t>
      </w:r>
      <w:r w:rsidRPr="004F06A5">
        <w:rPr>
          <w:i/>
        </w:rPr>
        <w:t>Climate-Related Financial Risk Management</w:t>
      </w:r>
      <w:r w:rsidRPr="004F06A5">
        <w:t xml:space="preserve"> principles for banks over $100B</w:t>
      </w:r>
      <w:r>
        <w:t xml:space="preserve"> to</w:t>
      </w:r>
      <w:r w:rsidRPr="004F06A5">
        <w:t xml:space="preserve"> develop risk management frameworks and capabilities to identify, measure, monitor, and control those risks.</w:t>
      </w:r>
      <w:r>
        <w:t xml:space="preserve"> </w:t>
      </w:r>
      <w:r w:rsidRPr="004F06A5">
        <w:t>This includes:</w:t>
      </w:r>
    </w:p>
    <w:p w:rsidR="004F06A5" w:rsidRPr="004F06A5" w:rsidRDefault="004F06A5" w:rsidP="00037378">
      <w:pPr>
        <w:numPr>
          <w:ilvl w:val="2"/>
          <w:numId w:val="2"/>
        </w:numPr>
      </w:pPr>
      <w:r w:rsidRPr="004F06A5">
        <w:t>Requiring banks to assess and mitigate risks from climate change to their loan portfolios and operations.</w:t>
      </w:r>
    </w:p>
    <w:p w:rsidR="004F06A5" w:rsidRPr="004F06A5" w:rsidRDefault="004F06A5" w:rsidP="00037378">
      <w:pPr>
        <w:numPr>
          <w:ilvl w:val="2"/>
          <w:numId w:val="2"/>
        </w:numPr>
      </w:pPr>
      <w:r w:rsidRPr="004F06A5">
        <w:t>Encouraging scenario analysis and stress testing for various climate change outcomes.</w:t>
      </w:r>
    </w:p>
    <w:p w:rsidR="004F06A5" w:rsidRPr="004F06A5" w:rsidRDefault="004F06A5" w:rsidP="00037378">
      <w:pPr>
        <w:numPr>
          <w:ilvl w:val="2"/>
          <w:numId w:val="2"/>
        </w:numPr>
      </w:pPr>
      <w:r w:rsidRPr="004F06A5">
        <w:t>Promoting the development of climate risk governance structures within banks.</w:t>
      </w:r>
    </w:p>
    <w:p w:rsidR="004F06A5" w:rsidRPr="004F06A5" w:rsidRDefault="004F06A5" w:rsidP="00037378">
      <w:pPr>
        <w:numPr>
          <w:ilvl w:val="1"/>
          <w:numId w:val="2"/>
        </w:numPr>
      </w:pPr>
      <w:r w:rsidRPr="004F06A5">
        <w:rPr>
          <w:b/>
          <w:bCs/>
        </w:rPr>
        <w:t>Community Reinvestment Act (CRA) Revisions</w:t>
      </w:r>
      <w:r w:rsidRPr="004F06A5">
        <w:t xml:space="preserve">: </w:t>
      </w:r>
      <w:r w:rsidR="007F04A7">
        <w:t>On October 14, 2023, the OCC</w:t>
      </w:r>
      <w:r w:rsidR="007F04A7" w:rsidRPr="004F06A5">
        <w:t xml:space="preserve"> </w:t>
      </w:r>
      <w:r w:rsidR="007F04A7">
        <w:t>p</w:t>
      </w:r>
      <w:r w:rsidRPr="004F06A5">
        <w:t>ropos</w:t>
      </w:r>
      <w:r w:rsidR="00651A87">
        <w:t>ed</w:t>
      </w:r>
      <w:r w:rsidRPr="004F06A5">
        <w:t xml:space="preserve"> updates to the CRA to better address the needs of low- and moderate-income communities.</w:t>
      </w:r>
      <w:r>
        <w:t xml:space="preserve"> </w:t>
      </w:r>
      <w:r w:rsidRPr="004F06A5">
        <w:t>Key proposed changes include:</w:t>
      </w:r>
    </w:p>
    <w:p w:rsidR="004F06A5" w:rsidRPr="004F06A5" w:rsidRDefault="004F06A5" w:rsidP="00037378">
      <w:pPr>
        <w:numPr>
          <w:ilvl w:val="2"/>
          <w:numId w:val="2"/>
        </w:numPr>
      </w:pPr>
      <w:r w:rsidRPr="004F06A5">
        <w:t>Expanding assessment areas beyond physical branch locations to include areas where banks conduct significant business digitally.</w:t>
      </w:r>
    </w:p>
    <w:p w:rsidR="004F06A5" w:rsidRPr="004F06A5" w:rsidRDefault="004F06A5" w:rsidP="00037378">
      <w:pPr>
        <w:numPr>
          <w:ilvl w:val="2"/>
          <w:numId w:val="2"/>
        </w:numPr>
      </w:pPr>
      <w:r w:rsidRPr="004F06A5">
        <w:t>Clarifying and expanding the activities that qualifies for CRA credit.</w:t>
      </w:r>
    </w:p>
    <w:p w:rsidR="000C1C78" w:rsidRDefault="004F06A5" w:rsidP="00037378">
      <w:pPr>
        <w:numPr>
          <w:ilvl w:val="2"/>
          <w:numId w:val="2"/>
        </w:numPr>
      </w:pPr>
      <w:r w:rsidRPr="004F06A5">
        <w:t>Updating how banks are evaluated for CRA performance to ensure more consistent and transparent assessments.</w:t>
      </w:r>
    </w:p>
    <w:p w:rsidR="000C1C78" w:rsidRPr="000C1C78" w:rsidRDefault="000C1C78" w:rsidP="00037378">
      <w:pPr>
        <w:pStyle w:val="ListParagraph"/>
        <w:numPr>
          <w:ilvl w:val="0"/>
          <w:numId w:val="3"/>
        </w:numPr>
      </w:pPr>
      <w:r w:rsidRPr="000C1C78">
        <w:rPr>
          <w:b/>
          <w:bCs/>
        </w:rPr>
        <w:lastRenderedPageBreak/>
        <w:t>Federal Deposit Insurance Corporation (FDIC)</w:t>
      </w:r>
      <w:r>
        <w:rPr>
          <w:b/>
          <w:bCs/>
        </w:rPr>
        <w:t xml:space="preserve">- </w:t>
      </w:r>
      <w:r w:rsidRPr="000C1C78">
        <w:t>Provides deposit insurance to depositors in US commercial banks and savings institutions, supervising financial institutions for safety, soundness, and consumer protection.</w:t>
      </w:r>
    </w:p>
    <w:p w:rsidR="000C1C78" w:rsidRPr="000C1C78" w:rsidRDefault="000C1C78" w:rsidP="00037378">
      <w:pPr>
        <w:numPr>
          <w:ilvl w:val="0"/>
          <w:numId w:val="4"/>
        </w:numPr>
      </w:pPr>
      <w:r w:rsidRPr="000C1C78">
        <w:rPr>
          <w:b/>
          <w:bCs/>
        </w:rPr>
        <w:t>Recent Developments</w:t>
      </w:r>
      <w:r w:rsidRPr="000C1C78">
        <w:t>:</w:t>
      </w:r>
    </w:p>
    <w:p w:rsidR="000C1C78" w:rsidRPr="000C1C78" w:rsidRDefault="000C1C78" w:rsidP="00037378">
      <w:pPr>
        <w:numPr>
          <w:ilvl w:val="1"/>
          <w:numId w:val="4"/>
        </w:numPr>
      </w:pPr>
      <w:r w:rsidRPr="000C1C78">
        <w:rPr>
          <w:b/>
          <w:bCs/>
        </w:rPr>
        <w:t>Resolution Plans (Living Wills)</w:t>
      </w:r>
      <w:r w:rsidRPr="000C1C78">
        <w:t xml:space="preserve">: </w:t>
      </w:r>
      <w:r w:rsidR="00651A87">
        <w:t>On May 15, 2023, the FDIC</w:t>
      </w:r>
      <w:r w:rsidR="00651A87" w:rsidRPr="000C1C78">
        <w:t xml:space="preserve"> </w:t>
      </w:r>
      <w:r w:rsidR="00651A87">
        <w:t>updated its requirements for large banks to submit more detailed resolution plans</w:t>
      </w:r>
      <w:r w:rsidRPr="000C1C78">
        <w:t xml:space="preserve"> to manage orderly failures without taxpayer bailouts.</w:t>
      </w:r>
      <w:r>
        <w:t xml:space="preserve"> </w:t>
      </w:r>
      <w:r w:rsidRPr="000C1C78">
        <w:t>Each plan, commonly known as a living will, must describe the company’s strategy for rapid and orderly resolution in the event of material financial distress or failure of the company, as well as include both public and confidential sections.</w:t>
      </w:r>
    </w:p>
    <w:p w:rsidR="000C1C78" w:rsidRPr="000C1C78" w:rsidRDefault="000C1C78" w:rsidP="00037378">
      <w:pPr>
        <w:pStyle w:val="ListParagraph"/>
        <w:numPr>
          <w:ilvl w:val="0"/>
          <w:numId w:val="3"/>
        </w:numPr>
      </w:pPr>
      <w:r w:rsidRPr="000C1C78">
        <w:rPr>
          <w:b/>
          <w:bCs/>
        </w:rPr>
        <w:t>Consumer Financial Protection Bureau (CFPB</w:t>
      </w:r>
      <w:proofErr w:type="gramStart"/>
      <w:r w:rsidRPr="000C1C78">
        <w:rPr>
          <w:b/>
          <w:bCs/>
        </w:rPr>
        <w:t>)</w:t>
      </w:r>
      <w:r>
        <w:rPr>
          <w:b/>
          <w:bCs/>
        </w:rPr>
        <w:t>-</w:t>
      </w:r>
      <w:proofErr w:type="gramEnd"/>
      <w:r>
        <w:rPr>
          <w:b/>
          <w:bCs/>
        </w:rPr>
        <w:t xml:space="preserve"> </w:t>
      </w:r>
      <w:r w:rsidRPr="000C1C78">
        <w:t>Ensures consumers are treated fairly by banks, lenders, and other financial institutions.</w:t>
      </w:r>
    </w:p>
    <w:p w:rsidR="000C1C78" w:rsidRPr="000C1C78" w:rsidRDefault="000C1C78" w:rsidP="00037378">
      <w:pPr>
        <w:numPr>
          <w:ilvl w:val="0"/>
          <w:numId w:val="5"/>
        </w:numPr>
      </w:pPr>
      <w:r w:rsidRPr="000C1C78">
        <w:rPr>
          <w:b/>
          <w:bCs/>
        </w:rPr>
        <w:t>Recent Developments</w:t>
      </w:r>
      <w:r w:rsidRPr="000C1C78">
        <w:t>:</w:t>
      </w:r>
    </w:p>
    <w:p w:rsidR="007F04A7" w:rsidRPr="007F04A7" w:rsidRDefault="000C1C78" w:rsidP="00037378">
      <w:pPr>
        <w:numPr>
          <w:ilvl w:val="1"/>
          <w:numId w:val="5"/>
        </w:numPr>
      </w:pPr>
      <w:r w:rsidRPr="007F04A7">
        <w:rPr>
          <w:b/>
          <w:bCs/>
        </w:rPr>
        <w:t>Regulation of Buy Now, Pay Later (BNPL)</w:t>
      </w:r>
      <w:r w:rsidRPr="000C1C78">
        <w:t xml:space="preserve">: </w:t>
      </w:r>
      <w:r w:rsidR="007F2CE5">
        <w:t>On August 17, 2023, the CFPB</w:t>
      </w:r>
      <w:r w:rsidR="007F2CE5" w:rsidRPr="007F04A7">
        <w:t xml:space="preserve"> </w:t>
      </w:r>
      <w:r w:rsidR="007F04A7" w:rsidRPr="007F04A7">
        <w:t>issued a report which makes it clear that the agency plans to increase the regulation of the BNPL industry. The FTC has also issued a clear reminder that basic consumer protection ground rules of the FTC Act apply.</w:t>
      </w:r>
      <w:r w:rsidR="007F04A7" w:rsidRPr="007F04A7">
        <w:rPr>
          <w:b/>
          <w:bCs/>
        </w:rPr>
        <w:t xml:space="preserve"> </w:t>
      </w:r>
    </w:p>
    <w:p w:rsidR="000C1C78" w:rsidRPr="000C1C78" w:rsidRDefault="000C1C78" w:rsidP="00037378">
      <w:pPr>
        <w:numPr>
          <w:ilvl w:val="1"/>
          <w:numId w:val="5"/>
        </w:numPr>
      </w:pPr>
      <w:r w:rsidRPr="007F04A7">
        <w:rPr>
          <w:b/>
          <w:bCs/>
        </w:rPr>
        <w:t>Data Privacy and Protection</w:t>
      </w:r>
      <w:r w:rsidRPr="000C1C78">
        <w:t xml:space="preserve">: </w:t>
      </w:r>
      <w:r w:rsidR="007F2CE5">
        <w:t>On October 19, 2023, t</w:t>
      </w:r>
      <w:r w:rsidR="007F04A7">
        <w:t xml:space="preserve">he CFPB proposed </w:t>
      </w:r>
      <w:r w:rsidR="007F2CE5">
        <w:t xml:space="preserve">a </w:t>
      </w:r>
      <w:r w:rsidR="007F04A7">
        <w:t xml:space="preserve">rule </w:t>
      </w:r>
      <w:r w:rsidR="007F2CE5">
        <w:t xml:space="preserve">that </w:t>
      </w:r>
      <w:r w:rsidR="007F04A7">
        <w:t>aims to give consumers greater control over their financial data by requiring data providers to securely share this information with authorized third parties and limit</w:t>
      </w:r>
      <w:r w:rsidR="007F2CE5">
        <w:t>s</w:t>
      </w:r>
      <w:r w:rsidR="007F04A7">
        <w:t xml:space="preserve"> the use of such data to necessary purposes only, prohibiting uses like targeted advertising.</w:t>
      </w:r>
    </w:p>
    <w:p w:rsidR="000C1C78" w:rsidRPr="000C1C78" w:rsidRDefault="000C1C78" w:rsidP="00037378">
      <w:pPr>
        <w:pStyle w:val="ListParagraph"/>
        <w:numPr>
          <w:ilvl w:val="0"/>
          <w:numId w:val="3"/>
        </w:numPr>
      </w:pPr>
      <w:r w:rsidRPr="000C1C78">
        <w:rPr>
          <w:b/>
          <w:bCs/>
        </w:rPr>
        <w:t>National Credit Union Administration (NCUA</w:t>
      </w:r>
      <w:proofErr w:type="gramStart"/>
      <w:r w:rsidRPr="000C1C78">
        <w:rPr>
          <w:b/>
          <w:bCs/>
        </w:rPr>
        <w:t>)</w:t>
      </w:r>
      <w:r>
        <w:rPr>
          <w:b/>
          <w:bCs/>
        </w:rPr>
        <w:t>-</w:t>
      </w:r>
      <w:proofErr w:type="gramEnd"/>
      <w:r>
        <w:rPr>
          <w:b/>
          <w:bCs/>
        </w:rPr>
        <w:t xml:space="preserve"> </w:t>
      </w:r>
      <w:r w:rsidRPr="000C1C78">
        <w:t>Regulates and supervises federal credit unions and insures savings in federal and most state-chartered credit unions.</w:t>
      </w:r>
    </w:p>
    <w:p w:rsidR="000C1C78" w:rsidRPr="000C1C78" w:rsidRDefault="000C1C78" w:rsidP="00037378">
      <w:pPr>
        <w:numPr>
          <w:ilvl w:val="0"/>
          <w:numId w:val="6"/>
        </w:numPr>
      </w:pPr>
      <w:r w:rsidRPr="000C1C78">
        <w:rPr>
          <w:b/>
          <w:bCs/>
        </w:rPr>
        <w:t>Recent Developments</w:t>
      </w:r>
      <w:r w:rsidRPr="000C1C78">
        <w:t>:</w:t>
      </w:r>
    </w:p>
    <w:p w:rsidR="000C1C78" w:rsidRPr="000C1C78" w:rsidRDefault="000C1C78" w:rsidP="00037378">
      <w:pPr>
        <w:numPr>
          <w:ilvl w:val="1"/>
          <w:numId w:val="6"/>
        </w:numPr>
      </w:pPr>
      <w:r w:rsidRPr="000C1C78">
        <w:rPr>
          <w:b/>
          <w:bCs/>
        </w:rPr>
        <w:t>Cyber</w:t>
      </w:r>
      <w:r w:rsidR="007F04A7">
        <w:rPr>
          <w:b/>
          <w:bCs/>
        </w:rPr>
        <w:t xml:space="preserve"> </w:t>
      </w:r>
      <w:r w:rsidRPr="000C1C78">
        <w:rPr>
          <w:b/>
          <w:bCs/>
        </w:rPr>
        <w:t>security Requirements</w:t>
      </w:r>
      <w:r w:rsidRPr="000C1C78">
        <w:t xml:space="preserve">: </w:t>
      </w:r>
      <w:r w:rsidR="00CE756E">
        <w:t>On April 28, 2023, the NCUA strengthened cyber security regulations for credit unions. These new rules require credit unions to implement comprehensive information security programs, conduct regular risk assessments, and report significant cyber security incidents within 72 hours. The regulations aim to enhance the resilience of credit unions against cyber threats.</w:t>
      </w:r>
    </w:p>
    <w:p w:rsidR="000C1C78" w:rsidRPr="000C1C78" w:rsidRDefault="000C1C78" w:rsidP="00037378">
      <w:pPr>
        <w:numPr>
          <w:ilvl w:val="1"/>
          <w:numId w:val="6"/>
        </w:numPr>
      </w:pPr>
      <w:r w:rsidRPr="000C1C78">
        <w:rPr>
          <w:b/>
          <w:bCs/>
        </w:rPr>
        <w:t>Risk-Based Capital Rule</w:t>
      </w:r>
      <w:r w:rsidRPr="000C1C78">
        <w:t xml:space="preserve">: </w:t>
      </w:r>
      <w:r w:rsidR="00CE756E">
        <w:t>On November 9, 2023, the NCUA implemented a new risk-based capital rule for credit unions. This rule requires credit unions with assets over $500 million to maintain capital commensurate with their risk profile.</w:t>
      </w:r>
    </w:p>
    <w:p w:rsidR="000C1C78" w:rsidRPr="000C1C78" w:rsidRDefault="000C1C78" w:rsidP="00037378">
      <w:pPr>
        <w:pStyle w:val="ListParagraph"/>
        <w:numPr>
          <w:ilvl w:val="0"/>
          <w:numId w:val="3"/>
        </w:numPr>
      </w:pPr>
      <w:r w:rsidRPr="000C1C78">
        <w:rPr>
          <w:b/>
          <w:bCs/>
        </w:rPr>
        <w:t>Securities and Exchange Commission (SEC</w:t>
      </w:r>
      <w:proofErr w:type="gramStart"/>
      <w:r w:rsidRPr="000C1C78">
        <w:rPr>
          <w:b/>
          <w:bCs/>
        </w:rPr>
        <w:t>)</w:t>
      </w:r>
      <w:r>
        <w:rPr>
          <w:b/>
          <w:bCs/>
        </w:rPr>
        <w:t>-</w:t>
      </w:r>
      <w:proofErr w:type="gramEnd"/>
      <w:r>
        <w:rPr>
          <w:b/>
          <w:bCs/>
        </w:rPr>
        <w:t xml:space="preserve"> </w:t>
      </w:r>
      <w:r w:rsidRPr="000C1C78">
        <w:t xml:space="preserve"> Regulates securities markets, including stock exchanges, broker-dealers, and investment advisors.</w:t>
      </w:r>
    </w:p>
    <w:p w:rsidR="000C1C78" w:rsidRPr="000C1C78" w:rsidRDefault="000C1C78" w:rsidP="00037378">
      <w:pPr>
        <w:numPr>
          <w:ilvl w:val="0"/>
          <w:numId w:val="7"/>
        </w:numPr>
      </w:pPr>
      <w:r w:rsidRPr="000C1C78">
        <w:rPr>
          <w:b/>
          <w:bCs/>
        </w:rPr>
        <w:lastRenderedPageBreak/>
        <w:t>Recent Developments</w:t>
      </w:r>
      <w:r w:rsidRPr="000C1C78">
        <w:t>:</w:t>
      </w:r>
    </w:p>
    <w:p w:rsidR="000C1C78" w:rsidRPr="000C1C78" w:rsidRDefault="000C1C78" w:rsidP="00037378">
      <w:pPr>
        <w:numPr>
          <w:ilvl w:val="1"/>
          <w:numId w:val="7"/>
        </w:numPr>
      </w:pPr>
      <w:r w:rsidRPr="000C1C78">
        <w:rPr>
          <w:b/>
          <w:bCs/>
        </w:rPr>
        <w:t>Climate Disclosure Requirements</w:t>
      </w:r>
      <w:r w:rsidRPr="000C1C78">
        <w:t xml:space="preserve">: </w:t>
      </w:r>
      <w:r w:rsidR="00CE756E">
        <w:t xml:space="preserve">On March 21, 2023, SEC proposed rules requiring public companies to disclose their climate-related risks and greenhouse gas emissions. These rules would mandate disclosure of climate-related risks that are reasonably likely to have a material impact on their business, results of operations, or financial condition. The final rules are expected to be adopted in 2024, though the exact date is not yet set. </w:t>
      </w:r>
      <w:r w:rsidRPr="000C1C78">
        <w:t>Proposing rules requiring companies to disclose their climate-related risks and impacts.</w:t>
      </w:r>
    </w:p>
    <w:p w:rsidR="00CE756E" w:rsidRPr="00CE756E" w:rsidRDefault="000C1C78" w:rsidP="00037378">
      <w:pPr>
        <w:numPr>
          <w:ilvl w:val="1"/>
          <w:numId w:val="7"/>
        </w:numPr>
      </w:pPr>
      <w:r w:rsidRPr="000C1C78">
        <w:rPr>
          <w:b/>
          <w:bCs/>
        </w:rPr>
        <w:t>Market Structure Reforms</w:t>
      </w:r>
      <w:r w:rsidRPr="000C1C78">
        <w:t xml:space="preserve">: </w:t>
      </w:r>
      <w:r w:rsidR="00CE756E">
        <w:t xml:space="preserve">On October 25, 2023, the SEC </w:t>
      </w:r>
      <w:r w:rsidR="00CE756E" w:rsidRPr="00CE756E">
        <w:t>proposed a series of market structure reforms on December 14, 2022. These include:</w:t>
      </w:r>
    </w:p>
    <w:p w:rsidR="00CE756E" w:rsidRPr="00CE756E" w:rsidRDefault="00CE756E" w:rsidP="00037378">
      <w:pPr>
        <w:numPr>
          <w:ilvl w:val="2"/>
          <w:numId w:val="7"/>
        </w:numPr>
      </w:pPr>
      <w:r w:rsidRPr="00CE756E">
        <w:t>Order Competition Rule: Requiring certain equity orders to be exposed to competition in open auctions.</w:t>
      </w:r>
    </w:p>
    <w:p w:rsidR="00CE756E" w:rsidRPr="00CE756E" w:rsidRDefault="00CE756E" w:rsidP="00037378">
      <w:pPr>
        <w:numPr>
          <w:ilvl w:val="2"/>
          <w:numId w:val="7"/>
        </w:numPr>
      </w:pPr>
      <w:r w:rsidRPr="00CE756E">
        <w:t>Regulation NMS amendments: Enhancing the display of better-priced orders in the National Market System.</w:t>
      </w:r>
    </w:p>
    <w:p w:rsidR="000C1C78" w:rsidRPr="000C1C78" w:rsidRDefault="00CE756E" w:rsidP="00037378">
      <w:pPr>
        <w:numPr>
          <w:ilvl w:val="2"/>
          <w:numId w:val="7"/>
        </w:numPr>
      </w:pPr>
      <w:r w:rsidRPr="00CE756E">
        <w:t>Disclosure of Order Execution Quality: Expanding the scope of required disclosures by broker-dealers.</w:t>
      </w:r>
    </w:p>
    <w:p w:rsidR="000C1C78" w:rsidRPr="000C1C78" w:rsidRDefault="000C1C78" w:rsidP="00037378">
      <w:pPr>
        <w:pStyle w:val="ListParagraph"/>
        <w:numPr>
          <w:ilvl w:val="0"/>
          <w:numId w:val="3"/>
        </w:numPr>
      </w:pPr>
      <w:r w:rsidRPr="000C1C78">
        <w:rPr>
          <w:b/>
          <w:bCs/>
        </w:rPr>
        <w:t>Financial Industry Regulatory Authority (FINRA</w:t>
      </w:r>
      <w:proofErr w:type="gramStart"/>
      <w:r w:rsidRPr="000C1C78">
        <w:rPr>
          <w:b/>
          <w:bCs/>
        </w:rPr>
        <w:t>)</w:t>
      </w:r>
      <w:r>
        <w:rPr>
          <w:b/>
          <w:bCs/>
        </w:rPr>
        <w:t>-</w:t>
      </w:r>
      <w:proofErr w:type="gramEnd"/>
      <w:r>
        <w:rPr>
          <w:b/>
          <w:bCs/>
        </w:rPr>
        <w:t xml:space="preserve"> </w:t>
      </w:r>
      <w:r w:rsidRPr="000C1C78">
        <w:t>A self-regulatory organization that oversees brokerage firms and exchange markets.</w:t>
      </w:r>
    </w:p>
    <w:p w:rsidR="000C1C78" w:rsidRPr="000C1C78" w:rsidRDefault="000C1C78" w:rsidP="00037378">
      <w:pPr>
        <w:numPr>
          <w:ilvl w:val="0"/>
          <w:numId w:val="8"/>
        </w:numPr>
      </w:pPr>
      <w:r w:rsidRPr="000C1C78">
        <w:rPr>
          <w:b/>
          <w:bCs/>
        </w:rPr>
        <w:t>Recent Developments</w:t>
      </w:r>
      <w:r w:rsidRPr="000C1C78">
        <w:t>:</w:t>
      </w:r>
    </w:p>
    <w:p w:rsidR="000C1C78" w:rsidRPr="000C1C78" w:rsidRDefault="000C1C78" w:rsidP="00037378">
      <w:pPr>
        <w:numPr>
          <w:ilvl w:val="1"/>
          <w:numId w:val="8"/>
        </w:numPr>
      </w:pPr>
      <w:r w:rsidRPr="000C1C78">
        <w:rPr>
          <w:b/>
          <w:bCs/>
        </w:rPr>
        <w:t>Regulation Best Interest (</w:t>
      </w:r>
      <w:proofErr w:type="spellStart"/>
      <w:r w:rsidRPr="000C1C78">
        <w:rPr>
          <w:b/>
          <w:bCs/>
        </w:rPr>
        <w:t>Reg</w:t>
      </w:r>
      <w:proofErr w:type="spellEnd"/>
      <w:r w:rsidRPr="000C1C78">
        <w:rPr>
          <w:b/>
          <w:bCs/>
        </w:rPr>
        <w:t xml:space="preserve"> BI)</w:t>
      </w:r>
      <w:r w:rsidRPr="000C1C78">
        <w:t xml:space="preserve">: </w:t>
      </w:r>
      <w:r w:rsidR="00A22053">
        <w:t xml:space="preserve">On June 30, 2023, </w:t>
      </w:r>
      <w:r w:rsidR="00A22053" w:rsidRPr="00A22053">
        <w:t xml:space="preserve">FINRA implemented rules to ensure broker-dealers act in the best interest of their clients. </w:t>
      </w:r>
      <w:r w:rsidR="00A22053">
        <w:t>It r</w:t>
      </w:r>
      <w:r w:rsidR="00A22053" w:rsidRPr="00A22053">
        <w:t>equir</w:t>
      </w:r>
      <w:r w:rsidR="000B5291">
        <w:t>es</w:t>
      </w:r>
      <w:r w:rsidR="00A22053" w:rsidRPr="00A22053">
        <w:t xml:space="preserve"> brokers to disclose potential conflicts of interest</w:t>
      </w:r>
      <w:r w:rsidR="000B5291">
        <w:t>, m</w:t>
      </w:r>
      <w:r w:rsidR="00A22053" w:rsidRPr="00A22053">
        <w:t>andating that recommendations align with customers' best interests</w:t>
      </w:r>
      <w:r w:rsidR="000B5291">
        <w:t>, e</w:t>
      </w:r>
      <w:r w:rsidR="00A22053" w:rsidRPr="00A22053">
        <w:t>nhancing compliance and recordkeeping requirements</w:t>
      </w:r>
      <w:r w:rsidR="000B5291">
        <w:t xml:space="preserve"> and i</w:t>
      </w:r>
      <w:r w:rsidR="00A22053" w:rsidRPr="00A22053">
        <w:t>mplementing new training programs for broker-dealer representatives</w:t>
      </w:r>
      <w:r w:rsidR="00A22053">
        <w:t>.</w:t>
      </w:r>
    </w:p>
    <w:p w:rsidR="000C1C78" w:rsidRPr="000C1C78" w:rsidRDefault="000C1C78" w:rsidP="00037378">
      <w:pPr>
        <w:numPr>
          <w:ilvl w:val="1"/>
          <w:numId w:val="8"/>
        </w:numPr>
      </w:pPr>
      <w:r w:rsidRPr="000B5291">
        <w:rPr>
          <w:b/>
          <w:bCs/>
        </w:rPr>
        <w:t>Digital Asset Regulation</w:t>
      </w:r>
      <w:r w:rsidRPr="000C1C78">
        <w:t>:</w:t>
      </w:r>
      <w:r w:rsidR="00A22053" w:rsidRPr="00A22053">
        <w:t xml:space="preserve"> </w:t>
      </w:r>
      <w:r w:rsidR="00A22053">
        <w:t>On August 5, 2023, FINRA</w:t>
      </w:r>
      <w:r w:rsidR="000B5291">
        <w:t xml:space="preserve"> </w:t>
      </w:r>
      <w:r w:rsidR="000B5291" w:rsidRPr="000B5291">
        <w:t>issued guidelines for trading and mana</w:t>
      </w:r>
      <w:r w:rsidR="000B5291">
        <w:t>ging digital assets, addressing c</w:t>
      </w:r>
      <w:r w:rsidR="000B5291" w:rsidRPr="000B5291">
        <w:t>ustody and safekeeping of digital assets</w:t>
      </w:r>
      <w:r w:rsidR="000B5291">
        <w:t>, a</w:t>
      </w:r>
      <w:r w:rsidR="000B5291" w:rsidRPr="000B5291">
        <w:t>nti-money laundering (AML) and know-your-customer (KYC) requirements for crypto transactions</w:t>
      </w:r>
      <w:r w:rsidR="000B5291">
        <w:t>, r</w:t>
      </w:r>
      <w:r w:rsidR="000B5291" w:rsidRPr="000B5291">
        <w:t>isk disclosure requirements for customers trading digital assets</w:t>
      </w:r>
      <w:r w:rsidR="000B5291">
        <w:t xml:space="preserve"> and o</w:t>
      </w:r>
      <w:r w:rsidR="000B5291" w:rsidRPr="000B5291">
        <w:t>perational and cyber</w:t>
      </w:r>
      <w:r w:rsidR="000B5291">
        <w:t xml:space="preserve"> </w:t>
      </w:r>
      <w:r w:rsidR="000B5291" w:rsidRPr="000B5291">
        <w:t>security standards for firms dealing with crypto</w:t>
      </w:r>
      <w:r w:rsidR="000B5291">
        <w:t xml:space="preserve"> </w:t>
      </w:r>
      <w:r w:rsidR="000B5291" w:rsidRPr="000B5291">
        <w:t>currencies</w:t>
      </w:r>
      <w:r w:rsidR="000B5291">
        <w:t>.</w:t>
      </w:r>
    </w:p>
    <w:p w:rsidR="000C1C78" w:rsidRPr="000C1C78" w:rsidRDefault="000C1C78" w:rsidP="00037378">
      <w:pPr>
        <w:pStyle w:val="ListParagraph"/>
        <w:numPr>
          <w:ilvl w:val="0"/>
          <w:numId w:val="3"/>
        </w:numPr>
      </w:pPr>
      <w:r w:rsidRPr="000C1C78">
        <w:rPr>
          <w:b/>
          <w:bCs/>
        </w:rPr>
        <w:t>State Banking Regulators</w:t>
      </w:r>
      <w:r>
        <w:rPr>
          <w:b/>
          <w:bCs/>
        </w:rPr>
        <w:t xml:space="preserve">- </w:t>
      </w:r>
      <w:r w:rsidRPr="000C1C78">
        <w:t xml:space="preserve">Charter, </w:t>
      </w:r>
      <w:proofErr w:type="gramStart"/>
      <w:r w:rsidRPr="000C1C78">
        <w:t>regulate</w:t>
      </w:r>
      <w:proofErr w:type="gramEnd"/>
      <w:r w:rsidRPr="000C1C78">
        <w:t>, and supervise state-chartered banks.</w:t>
      </w:r>
    </w:p>
    <w:p w:rsidR="000C1C78" w:rsidRPr="000C1C78" w:rsidRDefault="000C1C78" w:rsidP="00037378">
      <w:pPr>
        <w:numPr>
          <w:ilvl w:val="0"/>
          <w:numId w:val="9"/>
        </w:numPr>
      </w:pPr>
      <w:r w:rsidRPr="000C1C78">
        <w:rPr>
          <w:b/>
          <w:bCs/>
        </w:rPr>
        <w:t>Recent Developments</w:t>
      </w:r>
      <w:r w:rsidRPr="000C1C78">
        <w:t>:</w:t>
      </w:r>
    </w:p>
    <w:p w:rsidR="000B5291" w:rsidRDefault="000C1C78" w:rsidP="00037378">
      <w:pPr>
        <w:numPr>
          <w:ilvl w:val="1"/>
          <w:numId w:val="9"/>
        </w:numPr>
      </w:pPr>
      <w:r w:rsidRPr="000B5291">
        <w:rPr>
          <w:b/>
          <w:bCs/>
        </w:rPr>
        <w:t>State-Level Consumer Protection Laws</w:t>
      </w:r>
      <w:r w:rsidRPr="000C1C78">
        <w:t xml:space="preserve">: </w:t>
      </w:r>
      <w:r w:rsidR="000B5291">
        <w:t xml:space="preserve">On January 1, 2023, </w:t>
      </w:r>
      <w:proofErr w:type="gramStart"/>
      <w:r w:rsidR="000B5291" w:rsidRPr="000B5291">
        <w:t>Various</w:t>
      </w:r>
      <w:proofErr w:type="gramEnd"/>
      <w:r w:rsidR="000B5291" w:rsidRPr="000B5291">
        <w:t xml:space="preserve"> states implemented stricter consumer protection laws. For example, California's Consumer Privacy Rights Act (CPRA) came into effect, expanding on the California Consumer Privacy Act (CCPA). </w:t>
      </w:r>
      <w:r w:rsidR="000B5291">
        <w:t>Few changes were e</w:t>
      </w:r>
      <w:r w:rsidR="000B5291" w:rsidRPr="000B5291">
        <w:t>stablish</w:t>
      </w:r>
      <w:r w:rsidR="000B5291">
        <w:t>ment of</w:t>
      </w:r>
      <w:r w:rsidR="000B5291" w:rsidRPr="000B5291">
        <w:t xml:space="preserve"> the California Privacy Protection </w:t>
      </w:r>
      <w:r w:rsidR="000B5291" w:rsidRPr="000B5291">
        <w:lastRenderedPageBreak/>
        <w:t>Agency</w:t>
      </w:r>
      <w:r w:rsidR="000B5291">
        <w:t>, e</w:t>
      </w:r>
      <w:r w:rsidR="000B5291" w:rsidRPr="000B5291">
        <w:t>xpan</w:t>
      </w:r>
      <w:r w:rsidR="000B5291">
        <w:t>sion of</w:t>
      </w:r>
      <w:r w:rsidR="000B5291" w:rsidRPr="000B5291">
        <w:t xml:space="preserve"> consumer rights regarding personal data</w:t>
      </w:r>
      <w:r w:rsidR="000B5291">
        <w:t>, i</w:t>
      </w:r>
      <w:r w:rsidR="000B5291" w:rsidRPr="000B5291">
        <w:t>mposing stricter requirements on businesses handling consumer data</w:t>
      </w:r>
      <w:r w:rsidR="000B5291">
        <w:t xml:space="preserve"> and i</w:t>
      </w:r>
      <w:r w:rsidR="000B5291" w:rsidRPr="000B5291">
        <w:t>ntroducing new categories of sensitive personal information</w:t>
      </w:r>
      <w:r w:rsidR="000B5291">
        <w:t>.</w:t>
      </w:r>
    </w:p>
    <w:p w:rsidR="008F1C02" w:rsidRDefault="000B5291" w:rsidP="008F1C02">
      <w:pPr>
        <w:ind w:left="1440"/>
      </w:pPr>
      <w:r w:rsidRPr="000B5291">
        <w:t>Other states also enacted similar laws to enhance consumer dat</w:t>
      </w:r>
      <w:r w:rsidR="008F1C02">
        <w:t>a protection and privacy rights.</w:t>
      </w:r>
    </w:p>
    <w:p w:rsidR="008F1C02" w:rsidRDefault="008F1C02" w:rsidP="008F1C02">
      <w:pPr>
        <w:pStyle w:val="Heading2"/>
      </w:pPr>
      <w:bookmarkStart w:id="49" w:name="_Toc169880567"/>
      <w:r>
        <w:t>Recent Developments in Compliance and Regulatory Affairs</w:t>
      </w:r>
      <w:bookmarkEnd w:id="49"/>
    </w:p>
    <w:p w:rsidR="008F1C02" w:rsidRPr="008F1C02" w:rsidRDefault="008F1C02" w:rsidP="008F1C02"/>
    <w:p w:rsidR="008F1C02" w:rsidRPr="008F1C02" w:rsidRDefault="008F1C02" w:rsidP="00037378">
      <w:pPr>
        <w:numPr>
          <w:ilvl w:val="0"/>
          <w:numId w:val="10"/>
        </w:numPr>
      </w:pPr>
      <w:r w:rsidRPr="008F1C02">
        <w:t>ESG Disclosure Rules: On March 20, 2024, the SEC adopted final rules on Environmental, Social, and Governance (ESG) disclosures for public companies. These rules require:</w:t>
      </w:r>
    </w:p>
    <w:p w:rsidR="008F1C02" w:rsidRPr="008F1C02" w:rsidRDefault="008F1C02" w:rsidP="00037378">
      <w:pPr>
        <w:numPr>
          <w:ilvl w:val="0"/>
          <w:numId w:val="11"/>
        </w:numPr>
        <w:tabs>
          <w:tab w:val="num" w:pos="720"/>
        </w:tabs>
      </w:pPr>
      <w:r w:rsidRPr="008F1C02">
        <w:t>Mandatory climate-related disclosures in annual reports</w:t>
      </w:r>
    </w:p>
    <w:p w:rsidR="008F1C02" w:rsidRPr="008F1C02" w:rsidRDefault="008F1C02" w:rsidP="00037378">
      <w:pPr>
        <w:numPr>
          <w:ilvl w:val="0"/>
          <w:numId w:val="11"/>
        </w:numPr>
        <w:tabs>
          <w:tab w:val="num" w:pos="720"/>
        </w:tabs>
      </w:pPr>
      <w:r w:rsidRPr="008F1C02">
        <w:t>Disclosure of Scope 1 and 2 greenhouse gas emissions</w:t>
      </w:r>
    </w:p>
    <w:p w:rsidR="008F1C02" w:rsidRPr="008F1C02" w:rsidRDefault="008F1C02" w:rsidP="00037378">
      <w:pPr>
        <w:numPr>
          <w:ilvl w:val="0"/>
          <w:numId w:val="11"/>
        </w:numPr>
        <w:tabs>
          <w:tab w:val="num" w:pos="720"/>
        </w:tabs>
      </w:pPr>
      <w:r w:rsidRPr="008F1C02">
        <w:t>Description of climate-related risks and their impact on business strategy Implementation is phased, with large accelerated filers required to comply for fiscal year 2025.</w:t>
      </w:r>
    </w:p>
    <w:p w:rsidR="008F1C02" w:rsidRPr="008F1C02" w:rsidRDefault="008F1C02" w:rsidP="00037378">
      <w:pPr>
        <w:numPr>
          <w:ilvl w:val="0"/>
          <w:numId w:val="12"/>
        </w:numPr>
      </w:pPr>
      <w:r w:rsidRPr="008F1C02">
        <w:t>Artificial Intelligence in Financial Services: On October 15, 2023, the Federal Reserve, FDIC, and OCC jointly issued guidance on the use of AI in banking. Key points include:</w:t>
      </w:r>
    </w:p>
    <w:p w:rsidR="008F1C02" w:rsidRPr="008F1C02" w:rsidRDefault="008F1C02" w:rsidP="00037378">
      <w:pPr>
        <w:numPr>
          <w:ilvl w:val="0"/>
          <w:numId w:val="13"/>
        </w:numPr>
      </w:pPr>
      <w:r w:rsidRPr="008F1C02">
        <w:t>Risk management framework for AI applications</w:t>
      </w:r>
    </w:p>
    <w:p w:rsidR="008F1C02" w:rsidRPr="008F1C02" w:rsidRDefault="008F1C02" w:rsidP="00037378">
      <w:pPr>
        <w:numPr>
          <w:ilvl w:val="0"/>
          <w:numId w:val="13"/>
        </w:numPr>
      </w:pPr>
      <w:r w:rsidRPr="008F1C02">
        <w:t>Fairness and bias testing requirements</w:t>
      </w:r>
    </w:p>
    <w:p w:rsidR="008F1C02" w:rsidRPr="008F1C02" w:rsidRDefault="008F1C02" w:rsidP="00037378">
      <w:pPr>
        <w:numPr>
          <w:ilvl w:val="0"/>
          <w:numId w:val="13"/>
        </w:numPr>
      </w:pPr>
      <w:proofErr w:type="spellStart"/>
      <w:r w:rsidRPr="008F1C02">
        <w:t>Explainability</w:t>
      </w:r>
      <w:proofErr w:type="spellEnd"/>
      <w:r w:rsidRPr="008F1C02">
        <w:t xml:space="preserve"> standards for AI-driven decisions</w:t>
      </w:r>
    </w:p>
    <w:p w:rsidR="008F1C02" w:rsidRPr="008F1C02" w:rsidRDefault="008F1C02" w:rsidP="00037378">
      <w:pPr>
        <w:numPr>
          <w:ilvl w:val="0"/>
          <w:numId w:val="13"/>
        </w:numPr>
      </w:pPr>
      <w:r w:rsidRPr="008F1C02">
        <w:t xml:space="preserve">Ongoing monitoring and validation of AI models </w:t>
      </w:r>
      <w:proofErr w:type="gramStart"/>
      <w:r w:rsidRPr="008F1C02">
        <w:t>A</w:t>
      </w:r>
      <w:proofErr w:type="gramEnd"/>
      <w:r w:rsidRPr="008F1C02">
        <w:t xml:space="preserve"> survey by the Bank for International Settlements found that 40% of central banks plan to use AI for regulatory compliance by 2025.</w:t>
      </w:r>
    </w:p>
    <w:p w:rsidR="008F1C02" w:rsidRPr="008F1C02" w:rsidRDefault="009751FB" w:rsidP="00037378">
      <w:pPr>
        <w:numPr>
          <w:ilvl w:val="0"/>
          <w:numId w:val="14"/>
        </w:numPr>
      </w:pPr>
      <w:r w:rsidRPr="008F1C02">
        <w:t>Crypto currency</w:t>
      </w:r>
      <w:r w:rsidR="008F1C02" w:rsidRPr="008F1C02">
        <w:t xml:space="preserve"> Regulation: The Securities and Exchange Commission (SEC) approved the first spot </w:t>
      </w:r>
      <w:r w:rsidRPr="008F1C02">
        <w:t>Bit coin</w:t>
      </w:r>
      <w:r w:rsidR="008F1C02" w:rsidRPr="008F1C02">
        <w:t xml:space="preserve"> ETFs on January 10, 2024. This landmark decision:</w:t>
      </w:r>
    </w:p>
    <w:p w:rsidR="008F1C02" w:rsidRPr="008F1C02" w:rsidRDefault="008F1C02" w:rsidP="00037378">
      <w:pPr>
        <w:numPr>
          <w:ilvl w:val="0"/>
          <w:numId w:val="15"/>
        </w:numPr>
      </w:pPr>
      <w:r w:rsidRPr="008F1C02">
        <w:t xml:space="preserve">Allows retail investors easier access to </w:t>
      </w:r>
      <w:proofErr w:type="spellStart"/>
      <w:r w:rsidRPr="008F1C02">
        <w:t>Bitcoin</w:t>
      </w:r>
      <w:proofErr w:type="spellEnd"/>
      <w:r w:rsidRPr="008F1C02">
        <w:t xml:space="preserve"> investments</w:t>
      </w:r>
    </w:p>
    <w:p w:rsidR="008F1C02" w:rsidRPr="008F1C02" w:rsidRDefault="008F1C02" w:rsidP="00037378">
      <w:pPr>
        <w:numPr>
          <w:ilvl w:val="0"/>
          <w:numId w:val="15"/>
        </w:numPr>
      </w:pPr>
      <w:r w:rsidRPr="008F1C02">
        <w:t>Imposes strict custody and investor protection requirements</w:t>
      </w:r>
    </w:p>
    <w:p w:rsidR="008F1C02" w:rsidRPr="008F1C02" w:rsidRDefault="008F1C02" w:rsidP="00037378">
      <w:pPr>
        <w:numPr>
          <w:ilvl w:val="0"/>
          <w:numId w:val="15"/>
        </w:numPr>
      </w:pPr>
      <w:r w:rsidRPr="008F1C02">
        <w:t xml:space="preserve">Requires regular reporting and disclosure of </w:t>
      </w:r>
      <w:proofErr w:type="spellStart"/>
      <w:r w:rsidRPr="008F1C02">
        <w:t>Bitcoin</w:t>
      </w:r>
      <w:proofErr w:type="spellEnd"/>
      <w:r w:rsidRPr="008F1C02">
        <w:t xml:space="preserve"> holdings By March 2024, these ETFs had accumulated over $10 billion in assets under management.</w:t>
      </w:r>
    </w:p>
    <w:p w:rsidR="008F1C02" w:rsidRPr="008F1C02" w:rsidRDefault="008F1C02" w:rsidP="00037378">
      <w:pPr>
        <w:numPr>
          <w:ilvl w:val="0"/>
          <w:numId w:val="16"/>
        </w:numPr>
      </w:pPr>
      <w:r w:rsidRPr="008F1C02">
        <w:t>Open Banking Initiatives: On July 1, 2023, the Consumer Financial Protection Bureau (CFPB) proposed rules to implement Section 1033 of the Dodd-Frank Act, promoting open banking. The proposal includes:</w:t>
      </w:r>
    </w:p>
    <w:p w:rsidR="008F1C02" w:rsidRPr="008F1C02" w:rsidRDefault="008F1C02" w:rsidP="00037378">
      <w:pPr>
        <w:numPr>
          <w:ilvl w:val="0"/>
          <w:numId w:val="17"/>
        </w:numPr>
      </w:pPr>
      <w:r w:rsidRPr="008F1C02">
        <w:lastRenderedPageBreak/>
        <w:t>Standardized APIs for data sharing</w:t>
      </w:r>
    </w:p>
    <w:p w:rsidR="008F1C02" w:rsidRPr="008F1C02" w:rsidRDefault="008F1C02" w:rsidP="00037378">
      <w:pPr>
        <w:numPr>
          <w:ilvl w:val="0"/>
          <w:numId w:val="17"/>
        </w:numPr>
      </w:pPr>
      <w:r w:rsidRPr="008F1C02">
        <w:t>Consumer consent requirements for data access</w:t>
      </w:r>
    </w:p>
    <w:p w:rsidR="008F1C02" w:rsidRPr="008F1C02" w:rsidRDefault="008F1C02" w:rsidP="00037378">
      <w:pPr>
        <w:numPr>
          <w:ilvl w:val="0"/>
          <w:numId w:val="17"/>
        </w:numPr>
      </w:pPr>
      <w:r w:rsidRPr="008F1C02">
        <w:t>Security standards for third-party providers The CFPB estimates this could benefit over 200 million consumers by enhancing financial product competition.</w:t>
      </w:r>
    </w:p>
    <w:p w:rsidR="008F1C02" w:rsidRPr="008F1C02" w:rsidRDefault="008F1C02" w:rsidP="00037378">
      <w:pPr>
        <w:numPr>
          <w:ilvl w:val="0"/>
          <w:numId w:val="18"/>
        </w:numPr>
      </w:pPr>
      <w:r w:rsidRPr="008F1C02">
        <w:t>Anti-Money Laundering Act (AMLA) Implementation: The Financial Crimes Enforcement Network (</w:t>
      </w:r>
      <w:proofErr w:type="spellStart"/>
      <w:r w:rsidRPr="008F1C02">
        <w:t>FinCEN</w:t>
      </w:r>
      <w:proofErr w:type="spellEnd"/>
      <w:r w:rsidRPr="008F1C02">
        <w:t>) issued final rules on beneficial ownership reporting on September 29, 2023, as part of AMLA 2020 implementation. Key aspects:</w:t>
      </w:r>
    </w:p>
    <w:p w:rsidR="008F1C02" w:rsidRPr="008F1C02" w:rsidRDefault="008F1C02" w:rsidP="00037378">
      <w:pPr>
        <w:numPr>
          <w:ilvl w:val="0"/>
          <w:numId w:val="19"/>
        </w:numPr>
        <w:tabs>
          <w:tab w:val="num" w:pos="720"/>
        </w:tabs>
      </w:pPr>
      <w:r w:rsidRPr="008F1C02">
        <w:t>Companies must report beneficial owners with 25% or more ownership</w:t>
      </w:r>
    </w:p>
    <w:p w:rsidR="008F1C02" w:rsidRPr="008F1C02" w:rsidRDefault="008F1C02" w:rsidP="00037378">
      <w:pPr>
        <w:numPr>
          <w:ilvl w:val="0"/>
          <w:numId w:val="19"/>
        </w:numPr>
        <w:tabs>
          <w:tab w:val="num" w:pos="720"/>
        </w:tabs>
      </w:pPr>
      <w:r w:rsidRPr="008F1C02">
        <w:t>Reporting deadline of January 1, 2025, for existing companies</w:t>
      </w:r>
    </w:p>
    <w:p w:rsidR="008F1C02" w:rsidRPr="008F1C02" w:rsidRDefault="009751FB" w:rsidP="00037378">
      <w:pPr>
        <w:numPr>
          <w:ilvl w:val="0"/>
          <w:numId w:val="19"/>
        </w:numPr>
        <w:tabs>
          <w:tab w:val="num" w:pos="720"/>
        </w:tabs>
      </w:pPr>
      <w:r w:rsidRPr="008F1C02">
        <w:t xml:space="preserve">Penalties up to $10,000 and two years’ imprisonment for non-compliance </w:t>
      </w:r>
      <w:proofErr w:type="spellStart"/>
      <w:r w:rsidRPr="008F1C02">
        <w:t>FinCEN</w:t>
      </w:r>
      <w:proofErr w:type="spellEnd"/>
      <w:r w:rsidRPr="008F1C02">
        <w:t xml:space="preserve"> estimate</w:t>
      </w:r>
      <w:r w:rsidR="008F1C02" w:rsidRPr="008F1C02">
        <w:t xml:space="preserve"> this will affect about 32.6 million reporting companies.</w:t>
      </w:r>
    </w:p>
    <w:p w:rsidR="008F1C02" w:rsidRPr="008F1C02" w:rsidRDefault="008F1C02" w:rsidP="00037378">
      <w:pPr>
        <w:numPr>
          <w:ilvl w:val="0"/>
          <w:numId w:val="20"/>
        </w:numPr>
      </w:pPr>
      <w:r w:rsidRPr="008F1C02">
        <w:t xml:space="preserve">Data Privacy and Protection: The American Data Privacy and Protection Act (ADPPA) </w:t>
      </w:r>
      <w:proofErr w:type="gramStart"/>
      <w:r w:rsidRPr="008F1C02">
        <w:t>was</w:t>
      </w:r>
      <w:proofErr w:type="gramEnd"/>
      <w:r w:rsidRPr="008F1C02">
        <w:t xml:space="preserve"> reintroduced in Congress on April 14, 2024. If passed, it would:</w:t>
      </w:r>
    </w:p>
    <w:p w:rsidR="008F1C02" w:rsidRPr="008F1C02" w:rsidRDefault="008F1C02" w:rsidP="00037378">
      <w:pPr>
        <w:numPr>
          <w:ilvl w:val="0"/>
          <w:numId w:val="21"/>
        </w:numPr>
      </w:pPr>
      <w:r w:rsidRPr="008F1C02">
        <w:t>Establish a national data privacy framework</w:t>
      </w:r>
    </w:p>
    <w:p w:rsidR="008F1C02" w:rsidRPr="008F1C02" w:rsidRDefault="008F1C02" w:rsidP="00037378">
      <w:pPr>
        <w:numPr>
          <w:ilvl w:val="0"/>
          <w:numId w:val="21"/>
        </w:numPr>
      </w:pPr>
      <w:r w:rsidRPr="008F1C02">
        <w:t>Require opt-in consent for processing sensitive data</w:t>
      </w:r>
    </w:p>
    <w:p w:rsidR="008F1C02" w:rsidRPr="008F1C02" w:rsidRDefault="008F1C02" w:rsidP="00037378">
      <w:pPr>
        <w:numPr>
          <w:ilvl w:val="0"/>
          <w:numId w:val="21"/>
        </w:numPr>
      </w:pPr>
      <w:r w:rsidRPr="008F1C02">
        <w:t>Grant consumers rights to access, correct, and delete their data</w:t>
      </w:r>
    </w:p>
    <w:p w:rsidR="008F1C02" w:rsidRPr="008F1C02" w:rsidRDefault="008F1C02" w:rsidP="00037378">
      <w:pPr>
        <w:numPr>
          <w:ilvl w:val="0"/>
          <w:numId w:val="21"/>
        </w:numPr>
      </w:pPr>
      <w:r w:rsidRPr="008F1C02">
        <w:t>Impose fines up to 4% of global revenue for violations</w:t>
      </w:r>
      <w:r>
        <w:t>.</w:t>
      </w:r>
      <w:r w:rsidRPr="008F1C02">
        <w:t xml:space="preserve"> </w:t>
      </w:r>
      <w:r>
        <w:t>T</w:t>
      </w:r>
      <w:r w:rsidRPr="008F1C02">
        <w:t>his federal law would impact an estimated 8,000 companies that handle large amounts of consumer data.</w:t>
      </w:r>
    </w:p>
    <w:p w:rsidR="008F1C02" w:rsidRPr="008F1C02" w:rsidRDefault="008F1C02" w:rsidP="00037378">
      <w:pPr>
        <w:numPr>
          <w:ilvl w:val="0"/>
          <w:numId w:val="22"/>
        </w:numPr>
      </w:pPr>
      <w:r w:rsidRPr="008F1C02">
        <w:t>Sustainable Finance Taxonomy: The U.S. Treasury, in collaboration with other agencies, proposed sustainable finance taxonomy on November 3, 2023. This framework:</w:t>
      </w:r>
    </w:p>
    <w:p w:rsidR="008F1C02" w:rsidRPr="008F1C02" w:rsidRDefault="008F1C02" w:rsidP="00037378">
      <w:pPr>
        <w:numPr>
          <w:ilvl w:val="0"/>
          <w:numId w:val="23"/>
        </w:numPr>
      </w:pPr>
      <w:r w:rsidRPr="008F1C02">
        <w:t>Defines criteria for sustainable economic activities</w:t>
      </w:r>
    </w:p>
    <w:p w:rsidR="008F1C02" w:rsidRPr="008F1C02" w:rsidRDefault="008F1C02" w:rsidP="00037378">
      <w:pPr>
        <w:numPr>
          <w:ilvl w:val="0"/>
          <w:numId w:val="23"/>
        </w:numPr>
      </w:pPr>
      <w:r w:rsidRPr="008F1C02">
        <w:t>Aims to prevent green</w:t>
      </w:r>
      <w:r>
        <w:t xml:space="preserve"> </w:t>
      </w:r>
      <w:r w:rsidRPr="008F1C02">
        <w:t>washing in financial products</w:t>
      </w:r>
    </w:p>
    <w:p w:rsidR="008F1C02" w:rsidRPr="008F1C02" w:rsidRDefault="008F1C02" w:rsidP="00037378">
      <w:pPr>
        <w:numPr>
          <w:ilvl w:val="0"/>
          <w:numId w:val="23"/>
        </w:numPr>
      </w:pPr>
      <w:r w:rsidRPr="008F1C02">
        <w:t>Aligns with international standards like the EU Taxonomy</w:t>
      </w:r>
      <w:r>
        <w:t>.</w:t>
      </w:r>
      <w:r w:rsidRPr="008F1C02">
        <w:t xml:space="preserve"> The taxonomy is expected to influence over $17 trillion in ESG assets under management in the U.S.</w:t>
      </w:r>
    </w:p>
    <w:p w:rsidR="008F1C02" w:rsidRPr="008F1C02" w:rsidRDefault="008F1C02" w:rsidP="00037378">
      <w:pPr>
        <w:numPr>
          <w:ilvl w:val="0"/>
          <w:numId w:val="24"/>
        </w:numPr>
      </w:pPr>
      <w:r w:rsidRPr="008F1C02">
        <w:t>Operational Resilience Requirements: On February 8, 2024, U.S. financial regulators issued joint guidance on operational resilience for large financial institutions. Key elements include:</w:t>
      </w:r>
    </w:p>
    <w:p w:rsidR="008F1C02" w:rsidRPr="008F1C02" w:rsidRDefault="008F1C02" w:rsidP="00037378">
      <w:pPr>
        <w:numPr>
          <w:ilvl w:val="0"/>
          <w:numId w:val="25"/>
        </w:numPr>
      </w:pPr>
      <w:r w:rsidRPr="008F1C02">
        <w:t>Comprehensive business continuity and disaster recovery planning</w:t>
      </w:r>
    </w:p>
    <w:p w:rsidR="008F1C02" w:rsidRPr="008F1C02" w:rsidRDefault="008F1C02" w:rsidP="00037378">
      <w:pPr>
        <w:numPr>
          <w:ilvl w:val="0"/>
          <w:numId w:val="25"/>
        </w:numPr>
      </w:pPr>
      <w:r w:rsidRPr="008F1C02">
        <w:t>Regular testing of resilience capabilities</w:t>
      </w:r>
    </w:p>
    <w:p w:rsidR="008F1C02" w:rsidRPr="008F1C02" w:rsidRDefault="008F1C02" w:rsidP="00037378">
      <w:pPr>
        <w:numPr>
          <w:ilvl w:val="0"/>
          <w:numId w:val="25"/>
        </w:numPr>
      </w:pPr>
      <w:r w:rsidRPr="008F1C02">
        <w:t>Board-level oversight of operational resilience</w:t>
      </w:r>
    </w:p>
    <w:p w:rsidR="008F1C02" w:rsidRDefault="008F1C02" w:rsidP="00037378">
      <w:pPr>
        <w:numPr>
          <w:ilvl w:val="0"/>
          <w:numId w:val="25"/>
        </w:numPr>
      </w:pPr>
      <w:r w:rsidRPr="008F1C02">
        <w:lastRenderedPageBreak/>
        <w:t xml:space="preserve">Enhanced reporting of significant operational disruptions </w:t>
      </w:r>
      <w:proofErr w:type="gramStart"/>
      <w:r w:rsidRPr="008F1C02">
        <w:t>This</w:t>
      </w:r>
      <w:proofErr w:type="gramEnd"/>
      <w:r w:rsidRPr="008F1C02">
        <w:t xml:space="preserve"> applies to financial institutions with assets over $250 billion, affecting approximately 30 large banks and financial services firms.</w:t>
      </w:r>
    </w:p>
    <w:p w:rsidR="008F1C02" w:rsidRDefault="008F1C02">
      <w:r>
        <w:br w:type="page"/>
      </w:r>
    </w:p>
    <w:p w:rsidR="008F1C02" w:rsidRDefault="009751FB" w:rsidP="009751FB">
      <w:pPr>
        <w:pStyle w:val="Heading1"/>
        <w:jc w:val="center"/>
      </w:pPr>
      <w:bookmarkStart w:id="50" w:name="_Toc169880568"/>
      <w:r>
        <w:lastRenderedPageBreak/>
        <w:t>Customer Relationship Management in Banking</w:t>
      </w:r>
      <w:bookmarkEnd w:id="50"/>
    </w:p>
    <w:p w:rsidR="009751FB" w:rsidRDefault="009751FB" w:rsidP="009751FB"/>
    <w:p w:rsidR="009751FB" w:rsidRPr="009751FB" w:rsidRDefault="009751FB" w:rsidP="009751FB">
      <w:r w:rsidRPr="009751FB">
        <w:t>Customer Relationship Management (CRM</w:t>
      </w:r>
      <w:r w:rsidR="003821F9">
        <w:t>)</w:t>
      </w:r>
      <w:r w:rsidRPr="009751FB">
        <w:t xml:space="preserve"> is a crucial strategy for financial institutions to effectively manage and enhance their interactions with customers. </w:t>
      </w:r>
      <w:r>
        <w:t>Some</w:t>
      </w:r>
      <w:r w:rsidRPr="009751FB">
        <w:t xml:space="preserve"> key aspects </w:t>
      </w:r>
      <w:r>
        <w:t>are</w:t>
      </w:r>
      <w:r w:rsidRPr="009751FB">
        <w:t>:</w:t>
      </w:r>
    </w:p>
    <w:p w:rsidR="009751FB" w:rsidRPr="009751FB" w:rsidRDefault="009751FB" w:rsidP="00037378">
      <w:pPr>
        <w:numPr>
          <w:ilvl w:val="0"/>
          <w:numId w:val="26"/>
        </w:numPr>
      </w:pPr>
      <w:r w:rsidRPr="009751FB">
        <w:t>Personalized services: Banks use CRM systems to tailor products and services to individual customer needs.</w:t>
      </w:r>
    </w:p>
    <w:p w:rsidR="009751FB" w:rsidRPr="009751FB" w:rsidRDefault="009751FB" w:rsidP="00037378">
      <w:pPr>
        <w:numPr>
          <w:ilvl w:val="0"/>
          <w:numId w:val="26"/>
        </w:numPr>
      </w:pPr>
      <w:r w:rsidRPr="009751FB">
        <w:t>Customer data management: CRM helps banks collect, organize, and analyze customer data to gain insights into behaviors and preferences.</w:t>
      </w:r>
    </w:p>
    <w:p w:rsidR="009751FB" w:rsidRPr="009751FB" w:rsidRDefault="009751FB" w:rsidP="00037378">
      <w:pPr>
        <w:numPr>
          <w:ilvl w:val="0"/>
          <w:numId w:val="26"/>
        </w:numPr>
      </w:pPr>
      <w:r w:rsidRPr="009751FB">
        <w:t>Improved customer service: CRM tools enable banks to provide faster, more efficient customer support across multiple channels.</w:t>
      </w:r>
    </w:p>
    <w:p w:rsidR="009751FB" w:rsidRPr="009751FB" w:rsidRDefault="009751FB" w:rsidP="00037378">
      <w:pPr>
        <w:numPr>
          <w:ilvl w:val="0"/>
          <w:numId w:val="26"/>
        </w:numPr>
      </w:pPr>
      <w:r w:rsidRPr="009751FB">
        <w:t>Cross-selling and upselling: By understanding customer needs, banks can offer relevant additional products or services.</w:t>
      </w:r>
    </w:p>
    <w:p w:rsidR="009751FB" w:rsidRPr="009751FB" w:rsidRDefault="009751FB" w:rsidP="00037378">
      <w:pPr>
        <w:numPr>
          <w:ilvl w:val="0"/>
          <w:numId w:val="26"/>
        </w:numPr>
      </w:pPr>
      <w:r w:rsidRPr="009751FB">
        <w:t>Customer retention: CRM helps identify at-risk customers and implement strategies to retain them.</w:t>
      </w:r>
    </w:p>
    <w:p w:rsidR="009751FB" w:rsidRPr="009751FB" w:rsidRDefault="009751FB" w:rsidP="00037378">
      <w:pPr>
        <w:numPr>
          <w:ilvl w:val="0"/>
          <w:numId w:val="26"/>
        </w:numPr>
      </w:pPr>
      <w:r w:rsidRPr="009751FB">
        <w:t>Segmentation: Banks can group customers based on various criteria to target marketing efforts more effectively.</w:t>
      </w:r>
    </w:p>
    <w:p w:rsidR="009751FB" w:rsidRPr="009751FB" w:rsidRDefault="009751FB" w:rsidP="00037378">
      <w:pPr>
        <w:numPr>
          <w:ilvl w:val="0"/>
          <w:numId w:val="26"/>
        </w:numPr>
      </w:pPr>
      <w:r w:rsidRPr="009751FB">
        <w:t>Automated processes: CRM systems can automate routine tasks, improving efficiency and reducing errors.</w:t>
      </w:r>
    </w:p>
    <w:p w:rsidR="009751FB" w:rsidRPr="009751FB" w:rsidRDefault="009751FB" w:rsidP="00037378">
      <w:pPr>
        <w:numPr>
          <w:ilvl w:val="0"/>
          <w:numId w:val="26"/>
        </w:numPr>
      </w:pPr>
      <w:r w:rsidRPr="009751FB">
        <w:t>Compliance management: CRM helps banks maintain regulatory compliance by tracking customer interactions and transactions.</w:t>
      </w:r>
    </w:p>
    <w:p w:rsidR="009751FB" w:rsidRPr="009751FB" w:rsidRDefault="009751FB" w:rsidP="00037378">
      <w:pPr>
        <w:numPr>
          <w:ilvl w:val="0"/>
          <w:numId w:val="26"/>
        </w:numPr>
      </w:pPr>
      <w:r w:rsidRPr="009751FB">
        <w:t>Performance tracking: Banks can measure the effectiveness of their customer relationship strategies using CRM analytics.</w:t>
      </w:r>
    </w:p>
    <w:p w:rsidR="009751FB" w:rsidRDefault="009751FB" w:rsidP="00037378">
      <w:pPr>
        <w:numPr>
          <w:ilvl w:val="0"/>
          <w:numId w:val="26"/>
        </w:numPr>
      </w:pPr>
      <w:r w:rsidRPr="009751FB">
        <w:t>Omni</w:t>
      </w:r>
      <w:r>
        <w:t xml:space="preserve"> </w:t>
      </w:r>
      <w:r w:rsidRPr="009751FB">
        <w:t>channel integration: CRM systems help create a seamless experience across various banking channels (online, mobile, in-branch).</w:t>
      </w:r>
    </w:p>
    <w:p w:rsidR="009751FB" w:rsidRPr="009751FB" w:rsidRDefault="009751FB" w:rsidP="009751FB"/>
    <w:p w:rsidR="009751FB" w:rsidRDefault="009751FB" w:rsidP="009751FB">
      <w:pPr>
        <w:pStyle w:val="Heading2"/>
      </w:pPr>
      <w:bookmarkStart w:id="51" w:name="_Toc169880569"/>
      <w:r>
        <w:t>Recent Developments:</w:t>
      </w:r>
      <w:bookmarkEnd w:id="51"/>
    </w:p>
    <w:p w:rsidR="009751FB" w:rsidRPr="009751FB" w:rsidRDefault="009751FB" w:rsidP="009751FB"/>
    <w:p w:rsidR="009751FB" w:rsidRPr="009751FB" w:rsidRDefault="009751FB" w:rsidP="00037378">
      <w:pPr>
        <w:numPr>
          <w:ilvl w:val="0"/>
          <w:numId w:val="27"/>
        </w:numPr>
      </w:pPr>
      <w:r w:rsidRPr="009751FB">
        <w:t>AI and Machine Learning Integration: Banks are increasingly using AI and ML to enhance their CRM capabilities.</w:t>
      </w:r>
    </w:p>
    <w:p w:rsidR="009751FB" w:rsidRPr="009751FB" w:rsidRDefault="009751FB" w:rsidP="00037378">
      <w:pPr>
        <w:numPr>
          <w:ilvl w:val="0"/>
          <w:numId w:val="28"/>
        </w:numPr>
        <w:tabs>
          <w:tab w:val="num" w:pos="720"/>
        </w:tabs>
      </w:pPr>
      <w:r w:rsidRPr="009751FB">
        <w:t>According to a 2023 survey by Forrester, 63% of financial services firms are planning to increase their AI/ML investments in CRM.</w:t>
      </w:r>
    </w:p>
    <w:p w:rsidR="009751FB" w:rsidRPr="009751FB" w:rsidRDefault="009751FB" w:rsidP="00037378">
      <w:pPr>
        <w:numPr>
          <w:ilvl w:val="0"/>
          <w:numId w:val="28"/>
        </w:numPr>
        <w:tabs>
          <w:tab w:val="num" w:pos="720"/>
        </w:tabs>
      </w:pPr>
      <w:r w:rsidRPr="009751FB">
        <w:lastRenderedPageBreak/>
        <w:t>JPMorgan Chase reported in their 2023 annual report that AI-driven personalization led to a 15% increase in customer engagement rates.</w:t>
      </w:r>
    </w:p>
    <w:p w:rsidR="009751FB" w:rsidRPr="009751FB" w:rsidRDefault="009751FB" w:rsidP="009751FB">
      <w:r w:rsidRPr="009751FB">
        <w:t xml:space="preserve">These technologies are being used for: a) Predictive analytics to anticipate customer needs b) </w:t>
      </w:r>
      <w:proofErr w:type="spellStart"/>
      <w:r w:rsidRPr="009751FB">
        <w:t>Chatbots</w:t>
      </w:r>
      <w:proofErr w:type="spellEnd"/>
      <w:r w:rsidRPr="009751FB">
        <w:t xml:space="preserve"> for 24/7 customer service c) Fraud detection and prevention</w:t>
      </w:r>
    </w:p>
    <w:p w:rsidR="009751FB" w:rsidRPr="009751FB" w:rsidRDefault="009751FB" w:rsidP="00037378">
      <w:pPr>
        <w:numPr>
          <w:ilvl w:val="0"/>
          <w:numId w:val="29"/>
        </w:numPr>
      </w:pPr>
      <w:r w:rsidRPr="009751FB">
        <w:t>Open Banking and API Integration: Open banking initiatives are allowing banks to integrate third-party services into their CRM systems, providing more comprehensive customer profiles.</w:t>
      </w:r>
    </w:p>
    <w:p w:rsidR="009751FB" w:rsidRPr="009751FB" w:rsidRDefault="009751FB" w:rsidP="00037378">
      <w:pPr>
        <w:numPr>
          <w:ilvl w:val="0"/>
          <w:numId w:val="30"/>
        </w:numPr>
      </w:pPr>
      <w:r w:rsidRPr="009751FB">
        <w:t xml:space="preserve">In Europe, the number of open banking users is expected to reach 63.8 million by 2024, according to </w:t>
      </w:r>
      <w:proofErr w:type="spellStart"/>
      <w:r w:rsidRPr="009751FB">
        <w:t>Statista</w:t>
      </w:r>
      <w:proofErr w:type="spellEnd"/>
      <w:r w:rsidRPr="009751FB">
        <w:t>.</w:t>
      </w:r>
    </w:p>
    <w:p w:rsidR="009751FB" w:rsidRPr="009751FB" w:rsidRDefault="009751FB" w:rsidP="00037378">
      <w:pPr>
        <w:numPr>
          <w:ilvl w:val="0"/>
          <w:numId w:val="30"/>
        </w:numPr>
      </w:pPr>
      <w:r w:rsidRPr="009751FB">
        <w:t>A 2023 Accenture study found that 76% of banks are investing in open banking initiatives to improve CRM capabilities.</w:t>
      </w:r>
    </w:p>
    <w:p w:rsidR="009751FB" w:rsidRPr="009751FB" w:rsidRDefault="009751FB" w:rsidP="00037378">
      <w:pPr>
        <w:numPr>
          <w:ilvl w:val="0"/>
          <w:numId w:val="31"/>
        </w:numPr>
      </w:pPr>
      <w:r w:rsidRPr="009751FB">
        <w:t>Hyper-personalization: Banks are moving beyond basic segmentation to offer highly personalized experiences.</w:t>
      </w:r>
    </w:p>
    <w:p w:rsidR="009751FB" w:rsidRPr="009751FB" w:rsidRDefault="009751FB" w:rsidP="00037378">
      <w:pPr>
        <w:numPr>
          <w:ilvl w:val="0"/>
          <w:numId w:val="32"/>
        </w:numPr>
      </w:pPr>
      <w:r w:rsidRPr="009751FB">
        <w:t>According to a 2023 Boston Consulting Group report, banks that implemented hyper-personalization saw up to a 30% increase in revenue per customer.</w:t>
      </w:r>
    </w:p>
    <w:p w:rsidR="009751FB" w:rsidRPr="009751FB" w:rsidRDefault="009751FB" w:rsidP="00037378">
      <w:pPr>
        <w:numPr>
          <w:ilvl w:val="0"/>
          <w:numId w:val="32"/>
        </w:numPr>
      </w:pPr>
      <w:r w:rsidRPr="009751FB">
        <w:t>HSBC reported in 2023 that its AI-driven personalization engine increased customer engagement by 40% in targeted campaigns.</w:t>
      </w:r>
    </w:p>
    <w:p w:rsidR="009751FB" w:rsidRPr="009751FB" w:rsidRDefault="009751FB" w:rsidP="00037378">
      <w:pPr>
        <w:numPr>
          <w:ilvl w:val="0"/>
          <w:numId w:val="33"/>
        </w:numPr>
      </w:pPr>
      <w:r w:rsidRPr="009751FB">
        <w:t>Omni channel Integration: Seamless integration across all banking channels is becoming a standard expectation.</w:t>
      </w:r>
    </w:p>
    <w:p w:rsidR="009751FB" w:rsidRPr="009751FB" w:rsidRDefault="009751FB" w:rsidP="00037378">
      <w:pPr>
        <w:numPr>
          <w:ilvl w:val="0"/>
          <w:numId w:val="34"/>
        </w:numPr>
      </w:pPr>
      <w:r w:rsidRPr="009751FB">
        <w:t>A 2023 McKinsey survey found that 71% of banking customers expect a consistent experience across all channels.</w:t>
      </w:r>
    </w:p>
    <w:p w:rsidR="009751FB" w:rsidRPr="009751FB" w:rsidRDefault="009751FB" w:rsidP="00037378">
      <w:pPr>
        <w:numPr>
          <w:ilvl w:val="0"/>
          <w:numId w:val="34"/>
        </w:numPr>
      </w:pPr>
      <w:r w:rsidRPr="009751FB">
        <w:t>Bank of America reported that 72% of its customers were using multiple channels for banking in 2023, up from 58% in 2019.</w:t>
      </w:r>
    </w:p>
    <w:p w:rsidR="009751FB" w:rsidRPr="009751FB" w:rsidRDefault="009751FB" w:rsidP="00037378">
      <w:pPr>
        <w:numPr>
          <w:ilvl w:val="0"/>
          <w:numId w:val="35"/>
        </w:numPr>
      </w:pPr>
      <w:r w:rsidRPr="009751FB">
        <w:t>Cloud-based CRM Solutions: Banks are increasingly adopting cloud-based CRM systems for better scalability and flexibility.</w:t>
      </w:r>
    </w:p>
    <w:p w:rsidR="009751FB" w:rsidRPr="009751FB" w:rsidRDefault="009751FB" w:rsidP="00037378">
      <w:pPr>
        <w:numPr>
          <w:ilvl w:val="0"/>
          <w:numId w:val="36"/>
        </w:numPr>
        <w:tabs>
          <w:tab w:val="num" w:pos="720"/>
        </w:tabs>
      </w:pPr>
      <w:r w:rsidRPr="009751FB">
        <w:t>Gartner predicts that by 2025, 95% of new CRM implementations in banking will be cloud-based.</w:t>
      </w:r>
    </w:p>
    <w:p w:rsidR="009751FB" w:rsidRPr="009751FB" w:rsidRDefault="009751FB" w:rsidP="00037378">
      <w:pPr>
        <w:numPr>
          <w:ilvl w:val="0"/>
          <w:numId w:val="36"/>
        </w:numPr>
        <w:tabs>
          <w:tab w:val="num" w:pos="720"/>
        </w:tabs>
      </w:pPr>
      <w:r w:rsidRPr="009751FB">
        <w:t>A 2023 Deloitte study found that banks using cloud-based CRM systems reported a 20% improvement in customer satisfaction scores.</w:t>
      </w:r>
    </w:p>
    <w:p w:rsidR="009751FB" w:rsidRPr="009751FB" w:rsidRDefault="009751FB" w:rsidP="00037378">
      <w:pPr>
        <w:numPr>
          <w:ilvl w:val="0"/>
          <w:numId w:val="37"/>
        </w:numPr>
      </w:pPr>
      <w:r w:rsidRPr="009751FB">
        <w:t>Voice and Biometric Authentication: Advanced authentication methods are being integrated into CRM systems for enhanced security and user experience.</w:t>
      </w:r>
    </w:p>
    <w:p w:rsidR="009751FB" w:rsidRPr="009751FB" w:rsidRDefault="009751FB" w:rsidP="00037378">
      <w:pPr>
        <w:numPr>
          <w:ilvl w:val="0"/>
          <w:numId w:val="38"/>
        </w:numPr>
      </w:pPr>
      <w:r w:rsidRPr="009751FB">
        <w:t>According to a 2023 Juniper Research report, the number of mobile banking users adopting biometric authentication will exceed 2.5 billion by 2024.</w:t>
      </w:r>
    </w:p>
    <w:p w:rsidR="009751FB" w:rsidRPr="009751FB" w:rsidRDefault="009751FB" w:rsidP="00037378">
      <w:pPr>
        <w:numPr>
          <w:ilvl w:val="0"/>
          <w:numId w:val="38"/>
        </w:numPr>
      </w:pPr>
      <w:r w:rsidRPr="009751FB">
        <w:lastRenderedPageBreak/>
        <w:t>Barclays reported a 60% reduction in account takeover fraud after implementing voice recognition in their CRM system.</w:t>
      </w:r>
    </w:p>
    <w:p w:rsidR="009751FB" w:rsidRPr="009751FB" w:rsidRDefault="009751FB" w:rsidP="00037378">
      <w:pPr>
        <w:numPr>
          <w:ilvl w:val="0"/>
          <w:numId w:val="39"/>
        </w:numPr>
      </w:pPr>
      <w:r w:rsidRPr="009751FB">
        <w:t>Data Privacy and Compliance: With increasing regulations like GDPR and CCPA, banks are focusing on privacy-centric CRM practices.</w:t>
      </w:r>
    </w:p>
    <w:p w:rsidR="009751FB" w:rsidRPr="009751FB" w:rsidRDefault="009751FB" w:rsidP="00037378">
      <w:pPr>
        <w:numPr>
          <w:ilvl w:val="0"/>
          <w:numId w:val="40"/>
        </w:numPr>
      </w:pPr>
      <w:r w:rsidRPr="009751FB">
        <w:t>A 2023 KPMG survey found that 89% of banking executives consider data privacy a top priority in their CRM strategies.</w:t>
      </w:r>
    </w:p>
    <w:p w:rsidR="009751FB" w:rsidRPr="009751FB" w:rsidRDefault="009751FB" w:rsidP="00037378">
      <w:pPr>
        <w:numPr>
          <w:ilvl w:val="0"/>
          <w:numId w:val="40"/>
        </w:numPr>
      </w:pPr>
      <w:r w:rsidRPr="009751FB">
        <w:t>Fines for GDPR non-compliance in the banking sector reached €1.3 billion in 2022, highlighting the importance of compliant CRM practices.</w:t>
      </w:r>
    </w:p>
    <w:p w:rsidR="009751FB" w:rsidRPr="009751FB" w:rsidRDefault="009751FB" w:rsidP="00037378">
      <w:pPr>
        <w:numPr>
          <w:ilvl w:val="0"/>
          <w:numId w:val="41"/>
        </w:numPr>
      </w:pPr>
      <w:r w:rsidRPr="009751FB">
        <w:t>Ecosystem Banking: Banks are creating ecosystems of services beyond traditional banking, integrating them into their CRM systems.</w:t>
      </w:r>
    </w:p>
    <w:p w:rsidR="009751FB" w:rsidRPr="009751FB" w:rsidRDefault="009751FB" w:rsidP="00037378">
      <w:pPr>
        <w:numPr>
          <w:ilvl w:val="0"/>
          <w:numId w:val="42"/>
        </w:numPr>
      </w:pPr>
      <w:r w:rsidRPr="009751FB">
        <w:t>DBS Bank in Singapore reported that its ecosystem strategy led to a 33% increase in customer lifetime value for engaged users.</w:t>
      </w:r>
    </w:p>
    <w:p w:rsidR="009751FB" w:rsidRPr="009751FB" w:rsidRDefault="009751FB" w:rsidP="00037378">
      <w:pPr>
        <w:numPr>
          <w:ilvl w:val="0"/>
          <w:numId w:val="42"/>
        </w:numPr>
      </w:pPr>
      <w:r w:rsidRPr="009751FB">
        <w:t>A 2023 Accenture study found that 88% of banks are considering ecosystem strategies to enhance customer relationships.</w:t>
      </w:r>
    </w:p>
    <w:p w:rsidR="009751FB" w:rsidRPr="009751FB" w:rsidRDefault="009751FB" w:rsidP="00037378">
      <w:pPr>
        <w:numPr>
          <w:ilvl w:val="0"/>
          <w:numId w:val="43"/>
        </w:numPr>
      </w:pPr>
      <w:r w:rsidRPr="009751FB">
        <w:t>Real-time Analytics: Banks are implementing real-time data analytics in their CRM systems for instant insights and decision-making.</w:t>
      </w:r>
    </w:p>
    <w:p w:rsidR="009751FB" w:rsidRPr="009751FB" w:rsidRDefault="009751FB" w:rsidP="00037378">
      <w:pPr>
        <w:numPr>
          <w:ilvl w:val="0"/>
          <w:numId w:val="44"/>
        </w:numPr>
      </w:pPr>
      <w:r w:rsidRPr="009751FB">
        <w:t>According to a 2023 Cap</w:t>
      </w:r>
      <w:r>
        <w:t xml:space="preserve"> G</w:t>
      </w:r>
      <w:r w:rsidRPr="009751FB">
        <w:t>emini report, banks using real-time analytics in CRM saw a 25% improvement in customer retention rates.</w:t>
      </w:r>
    </w:p>
    <w:p w:rsidR="009751FB" w:rsidRPr="009751FB" w:rsidRDefault="009751FB" w:rsidP="00037378">
      <w:pPr>
        <w:numPr>
          <w:ilvl w:val="0"/>
          <w:numId w:val="44"/>
        </w:numPr>
      </w:pPr>
      <w:r w:rsidRPr="009751FB">
        <w:t>Wells Fargo reported that real-time analytics helped reduce customer churn by 18% in 2023.</w:t>
      </w:r>
    </w:p>
    <w:p w:rsidR="009751FB" w:rsidRPr="009751FB" w:rsidRDefault="009751FB" w:rsidP="00037378">
      <w:pPr>
        <w:numPr>
          <w:ilvl w:val="0"/>
          <w:numId w:val="45"/>
        </w:numPr>
      </w:pPr>
      <w:r w:rsidRPr="009751FB">
        <w:t>Sustainable Banking Integration: Banks are incorporating sustainability features into their CRM systems to cater to environmentally conscious customers.</w:t>
      </w:r>
    </w:p>
    <w:p w:rsidR="009751FB" w:rsidRPr="009751FB" w:rsidRDefault="009751FB" w:rsidP="00037378">
      <w:pPr>
        <w:numPr>
          <w:ilvl w:val="0"/>
          <w:numId w:val="46"/>
        </w:numPr>
      </w:pPr>
      <w:r w:rsidRPr="009751FB">
        <w:t>A 2023 Deloitte survey found that 72% of banking customers prefer banks that offer sustainable banking options.</w:t>
      </w:r>
    </w:p>
    <w:p w:rsidR="008F1C02" w:rsidRDefault="009751FB" w:rsidP="00037378">
      <w:pPr>
        <w:numPr>
          <w:ilvl w:val="0"/>
          <w:numId w:val="46"/>
        </w:numPr>
      </w:pPr>
      <w:r w:rsidRPr="009751FB">
        <w:t>ING reported a 40% increase in engagement with sustainability-related products after integrating these features into their CRM system.</w:t>
      </w:r>
    </w:p>
    <w:p w:rsidR="009751FB" w:rsidRDefault="009751FB" w:rsidP="009751FB">
      <w:pPr>
        <w:pStyle w:val="Title"/>
        <w:jc w:val="right"/>
      </w:pPr>
    </w:p>
    <w:p w:rsidR="009751FB" w:rsidRDefault="009751FB" w:rsidP="009751FB">
      <w:pPr>
        <w:pStyle w:val="Title"/>
        <w:jc w:val="right"/>
      </w:pPr>
    </w:p>
    <w:p w:rsidR="000C1C78" w:rsidRPr="003D0728" w:rsidRDefault="009751FB" w:rsidP="009751FB">
      <w:pPr>
        <w:pStyle w:val="Title"/>
        <w:jc w:val="right"/>
      </w:pPr>
      <w:r>
        <w:t>Thank You</w:t>
      </w:r>
    </w:p>
    <w:sectPr w:rsidR="000C1C78" w:rsidRPr="003D0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277F"/>
    <w:multiLevelType w:val="multilevel"/>
    <w:tmpl w:val="EECEF7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0A55A59"/>
    <w:multiLevelType w:val="multilevel"/>
    <w:tmpl w:val="AFFABE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4E3F67"/>
    <w:multiLevelType w:val="multilevel"/>
    <w:tmpl w:val="081086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144C9A"/>
    <w:multiLevelType w:val="multilevel"/>
    <w:tmpl w:val="01D0C71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2E553F"/>
    <w:multiLevelType w:val="multilevel"/>
    <w:tmpl w:val="58504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9349D5"/>
    <w:multiLevelType w:val="multilevel"/>
    <w:tmpl w:val="56DA7D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455383"/>
    <w:multiLevelType w:val="multilevel"/>
    <w:tmpl w:val="4448F0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0FFD0352"/>
    <w:multiLevelType w:val="multilevel"/>
    <w:tmpl w:val="43C2B9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11755D07"/>
    <w:multiLevelType w:val="multilevel"/>
    <w:tmpl w:val="47D4F2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14E84AB3"/>
    <w:multiLevelType w:val="multilevel"/>
    <w:tmpl w:val="0A6E5E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nsid w:val="1AC10528"/>
    <w:multiLevelType w:val="multilevel"/>
    <w:tmpl w:val="E22659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E259D8"/>
    <w:multiLevelType w:val="multilevel"/>
    <w:tmpl w:val="16E019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nsid w:val="1D0F7DD7"/>
    <w:multiLevelType w:val="multilevel"/>
    <w:tmpl w:val="DF427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E71149"/>
    <w:multiLevelType w:val="multilevel"/>
    <w:tmpl w:val="BF967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5538FF"/>
    <w:multiLevelType w:val="multilevel"/>
    <w:tmpl w:val="B23669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nsid w:val="27163948"/>
    <w:multiLevelType w:val="multilevel"/>
    <w:tmpl w:val="67D029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4C04D8"/>
    <w:multiLevelType w:val="multilevel"/>
    <w:tmpl w:val="FB78B0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E1809D6"/>
    <w:multiLevelType w:val="multilevel"/>
    <w:tmpl w:val="0DDAE4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F226C09"/>
    <w:multiLevelType w:val="multilevel"/>
    <w:tmpl w:val="A274B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FF7505"/>
    <w:multiLevelType w:val="multilevel"/>
    <w:tmpl w:val="2E086F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95C509C"/>
    <w:multiLevelType w:val="multilevel"/>
    <w:tmpl w:val="6D329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CE77F6"/>
    <w:multiLevelType w:val="multilevel"/>
    <w:tmpl w:val="BD3C5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E44720"/>
    <w:multiLevelType w:val="multilevel"/>
    <w:tmpl w:val="D57812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0717B63"/>
    <w:multiLevelType w:val="multilevel"/>
    <w:tmpl w:val="B39621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nsid w:val="41912292"/>
    <w:multiLevelType w:val="multilevel"/>
    <w:tmpl w:val="CD7CC0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3E870D7"/>
    <w:multiLevelType w:val="multilevel"/>
    <w:tmpl w:val="65B8B42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5E10F7B"/>
    <w:multiLevelType w:val="hybridMultilevel"/>
    <w:tmpl w:val="7F3CAC08"/>
    <w:lvl w:ilvl="0" w:tplc="73D07C4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815095B"/>
    <w:multiLevelType w:val="multilevel"/>
    <w:tmpl w:val="1E145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5C1E7C"/>
    <w:multiLevelType w:val="multilevel"/>
    <w:tmpl w:val="7DE05A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nsid w:val="4B357FC3"/>
    <w:multiLevelType w:val="multilevel"/>
    <w:tmpl w:val="604CB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FB033E"/>
    <w:multiLevelType w:val="multilevel"/>
    <w:tmpl w:val="2D50C0D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nsid w:val="51D81513"/>
    <w:multiLevelType w:val="multilevel"/>
    <w:tmpl w:val="69C2C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2753C8"/>
    <w:multiLevelType w:val="multilevel"/>
    <w:tmpl w:val="C40C9C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4076968"/>
    <w:multiLevelType w:val="multilevel"/>
    <w:tmpl w:val="33F80F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nsid w:val="551A7D6F"/>
    <w:multiLevelType w:val="multilevel"/>
    <w:tmpl w:val="DA78A5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6B34C21"/>
    <w:multiLevelType w:val="multilevel"/>
    <w:tmpl w:val="B87E3D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nsid w:val="58B90C11"/>
    <w:multiLevelType w:val="multilevel"/>
    <w:tmpl w:val="34EE1F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nsid w:val="61792332"/>
    <w:multiLevelType w:val="multilevel"/>
    <w:tmpl w:val="D58CD6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3F04822"/>
    <w:multiLevelType w:val="multilevel"/>
    <w:tmpl w:val="F8325D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47769ED"/>
    <w:multiLevelType w:val="multilevel"/>
    <w:tmpl w:val="DA523F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nsid w:val="64F674AB"/>
    <w:multiLevelType w:val="multilevel"/>
    <w:tmpl w:val="230838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nsid w:val="6B822290"/>
    <w:multiLevelType w:val="multilevel"/>
    <w:tmpl w:val="4F20FA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EF86587"/>
    <w:multiLevelType w:val="multilevel"/>
    <w:tmpl w:val="8EA250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nsid w:val="739436EE"/>
    <w:multiLevelType w:val="multilevel"/>
    <w:tmpl w:val="1892EC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nsid w:val="766C6719"/>
    <w:multiLevelType w:val="multilevel"/>
    <w:tmpl w:val="EA207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8535A4A"/>
    <w:multiLevelType w:val="multilevel"/>
    <w:tmpl w:val="2C7029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3"/>
  </w:num>
  <w:num w:numId="2">
    <w:abstractNumId w:val="20"/>
  </w:num>
  <w:num w:numId="3">
    <w:abstractNumId w:val="26"/>
  </w:num>
  <w:num w:numId="4">
    <w:abstractNumId w:val="21"/>
  </w:num>
  <w:num w:numId="5">
    <w:abstractNumId w:val="27"/>
  </w:num>
  <w:num w:numId="6">
    <w:abstractNumId w:val="12"/>
  </w:num>
  <w:num w:numId="7">
    <w:abstractNumId w:val="29"/>
  </w:num>
  <w:num w:numId="8">
    <w:abstractNumId w:val="31"/>
  </w:num>
  <w:num w:numId="9">
    <w:abstractNumId w:val="44"/>
  </w:num>
  <w:num w:numId="10">
    <w:abstractNumId w:val="4"/>
  </w:num>
  <w:num w:numId="11">
    <w:abstractNumId w:val="39"/>
  </w:num>
  <w:num w:numId="12">
    <w:abstractNumId w:val="37"/>
  </w:num>
  <w:num w:numId="13">
    <w:abstractNumId w:val="35"/>
  </w:num>
  <w:num w:numId="14">
    <w:abstractNumId w:val="2"/>
  </w:num>
  <w:num w:numId="15">
    <w:abstractNumId w:val="8"/>
  </w:num>
  <w:num w:numId="16">
    <w:abstractNumId w:val="24"/>
  </w:num>
  <w:num w:numId="17">
    <w:abstractNumId w:val="11"/>
  </w:num>
  <w:num w:numId="18">
    <w:abstractNumId w:val="1"/>
  </w:num>
  <w:num w:numId="19">
    <w:abstractNumId w:val="33"/>
  </w:num>
  <w:num w:numId="20">
    <w:abstractNumId w:val="10"/>
  </w:num>
  <w:num w:numId="21">
    <w:abstractNumId w:val="42"/>
  </w:num>
  <w:num w:numId="22">
    <w:abstractNumId w:val="15"/>
  </w:num>
  <w:num w:numId="23">
    <w:abstractNumId w:val="0"/>
  </w:num>
  <w:num w:numId="24">
    <w:abstractNumId w:val="38"/>
  </w:num>
  <w:num w:numId="25">
    <w:abstractNumId w:val="30"/>
  </w:num>
  <w:num w:numId="26">
    <w:abstractNumId w:val="19"/>
  </w:num>
  <w:num w:numId="27">
    <w:abstractNumId w:val="18"/>
  </w:num>
  <w:num w:numId="28">
    <w:abstractNumId w:val="28"/>
  </w:num>
  <w:num w:numId="29">
    <w:abstractNumId w:val="5"/>
  </w:num>
  <w:num w:numId="30">
    <w:abstractNumId w:val="14"/>
  </w:num>
  <w:num w:numId="31">
    <w:abstractNumId w:val="32"/>
  </w:num>
  <w:num w:numId="32">
    <w:abstractNumId w:val="45"/>
  </w:num>
  <w:num w:numId="33">
    <w:abstractNumId w:val="41"/>
  </w:num>
  <w:num w:numId="34">
    <w:abstractNumId w:val="23"/>
  </w:num>
  <w:num w:numId="35">
    <w:abstractNumId w:val="16"/>
  </w:num>
  <w:num w:numId="36">
    <w:abstractNumId w:val="40"/>
  </w:num>
  <w:num w:numId="37">
    <w:abstractNumId w:val="22"/>
  </w:num>
  <w:num w:numId="38">
    <w:abstractNumId w:val="9"/>
  </w:num>
  <w:num w:numId="39">
    <w:abstractNumId w:val="17"/>
  </w:num>
  <w:num w:numId="40">
    <w:abstractNumId w:val="6"/>
  </w:num>
  <w:num w:numId="41">
    <w:abstractNumId w:val="3"/>
  </w:num>
  <w:num w:numId="42">
    <w:abstractNumId w:val="43"/>
  </w:num>
  <w:num w:numId="43">
    <w:abstractNumId w:val="34"/>
  </w:num>
  <w:num w:numId="44">
    <w:abstractNumId w:val="7"/>
  </w:num>
  <w:num w:numId="45">
    <w:abstractNumId w:val="25"/>
  </w:num>
  <w:num w:numId="46">
    <w:abstractNumId w:val="3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728"/>
    <w:rsid w:val="00037378"/>
    <w:rsid w:val="000B5291"/>
    <w:rsid w:val="000C1C78"/>
    <w:rsid w:val="002A7433"/>
    <w:rsid w:val="003821F9"/>
    <w:rsid w:val="003D0728"/>
    <w:rsid w:val="004F06A5"/>
    <w:rsid w:val="0060640D"/>
    <w:rsid w:val="00651A87"/>
    <w:rsid w:val="007F04A7"/>
    <w:rsid w:val="007F2CE5"/>
    <w:rsid w:val="008F1C02"/>
    <w:rsid w:val="009751FB"/>
    <w:rsid w:val="009E2354"/>
    <w:rsid w:val="00A22053"/>
    <w:rsid w:val="00A6302A"/>
    <w:rsid w:val="00BD64FA"/>
    <w:rsid w:val="00CE756E"/>
    <w:rsid w:val="00D629B5"/>
    <w:rsid w:val="00E660E0"/>
    <w:rsid w:val="00F31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07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72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D0728"/>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3D072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D0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31081"/>
    <w:pPr>
      <w:ind w:left="720"/>
      <w:contextualSpacing/>
    </w:pPr>
  </w:style>
  <w:style w:type="paragraph" w:styleId="Title">
    <w:name w:val="Title"/>
    <w:basedOn w:val="Normal"/>
    <w:next w:val="Normal"/>
    <w:link w:val="TitleChar"/>
    <w:uiPriority w:val="10"/>
    <w:qFormat/>
    <w:rsid w:val="009751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51FB"/>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9751FB"/>
    <w:pPr>
      <w:outlineLvl w:val="9"/>
    </w:pPr>
    <w:rPr>
      <w:lang w:eastAsia="ja-JP"/>
    </w:rPr>
  </w:style>
  <w:style w:type="paragraph" w:styleId="TOC1">
    <w:name w:val="toc 1"/>
    <w:basedOn w:val="Normal"/>
    <w:next w:val="Normal"/>
    <w:autoRedefine/>
    <w:uiPriority w:val="39"/>
    <w:unhideWhenUsed/>
    <w:rsid w:val="009751FB"/>
    <w:pPr>
      <w:spacing w:after="100"/>
    </w:pPr>
  </w:style>
  <w:style w:type="paragraph" w:styleId="TOC2">
    <w:name w:val="toc 2"/>
    <w:basedOn w:val="Normal"/>
    <w:next w:val="Normal"/>
    <w:autoRedefine/>
    <w:uiPriority w:val="39"/>
    <w:unhideWhenUsed/>
    <w:rsid w:val="009751FB"/>
    <w:pPr>
      <w:spacing w:after="100"/>
      <w:ind w:left="220"/>
    </w:pPr>
  </w:style>
  <w:style w:type="character" w:styleId="Hyperlink">
    <w:name w:val="Hyperlink"/>
    <w:basedOn w:val="DefaultParagraphFont"/>
    <w:uiPriority w:val="99"/>
    <w:unhideWhenUsed/>
    <w:rsid w:val="009751FB"/>
    <w:rPr>
      <w:color w:val="0000FF" w:themeColor="hyperlink"/>
      <w:u w:val="single"/>
    </w:rPr>
  </w:style>
  <w:style w:type="paragraph" w:styleId="BalloonText">
    <w:name w:val="Balloon Text"/>
    <w:basedOn w:val="Normal"/>
    <w:link w:val="BalloonTextChar"/>
    <w:uiPriority w:val="99"/>
    <w:semiHidden/>
    <w:unhideWhenUsed/>
    <w:rsid w:val="00975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1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07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72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D0728"/>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3D072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D0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31081"/>
    <w:pPr>
      <w:ind w:left="720"/>
      <w:contextualSpacing/>
    </w:pPr>
  </w:style>
  <w:style w:type="paragraph" w:styleId="Title">
    <w:name w:val="Title"/>
    <w:basedOn w:val="Normal"/>
    <w:next w:val="Normal"/>
    <w:link w:val="TitleChar"/>
    <w:uiPriority w:val="10"/>
    <w:qFormat/>
    <w:rsid w:val="009751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51FB"/>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9751FB"/>
    <w:pPr>
      <w:outlineLvl w:val="9"/>
    </w:pPr>
    <w:rPr>
      <w:lang w:eastAsia="ja-JP"/>
    </w:rPr>
  </w:style>
  <w:style w:type="paragraph" w:styleId="TOC1">
    <w:name w:val="toc 1"/>
    <w:basedOn w:val="Normal"/>
    <w:next w:val="Normal"/>
    <w:autoRedefine/>
    <w:uiPriority w:val="39"/>
    <w:unhideWhenUsed/>
    <w:rsid w:val="009751FB"/>
    <w:pPr>
      <w:spacing w:after="100"/>
    </w:pPr>
  </w:style>
  <w:style w:type="paragraph" w:styleId="TOC2">
    <w:name w:val="toc 2"/>
    <w:basedOn w:val="Normal"/>
    <w:next w:val="Normal"/>
    <w:autoRedefine/>
    <w:uiPriority w:val="39"/>
    <w:unhideWhenUsed/>
    <w:rsid w:val="009751FB"/>
    <w:pPr>
      <w:spacing w:after="100"/>
      <w:ind w:left="220"/>
    </w:pPr>
  </w:style>
  <w:style w:type="character" w:styleId="Hyperlink">
    <w:name w:val="Hyperlink"/>
    <w:basedOn w:val="DefaultParagraphFont"/>
    <w:uiPriority w:val="99"/>
    <w:unhideWhenUsed/>
    <w:rsid w:val="009751FB"/>
    <w:rPr>
      <w:color w:val="0000FF" w:themeColor="hyperlink"/>
      <w:u w:val="single"/>
    </w:rPr>
  </w:style>
  <w:style w:type="paragraph" w:styleId="BalloonText">
    <w:name w:val="Balloon Text"/>
    <w:basedOn w:val="Normal"/>
    <w:link w:val="BalloonTextChar"/>
    <w:uiPriority w:val="99"/>
    <w:semiHidden/>
    <w:unhideWhenUsed/>
    <w:rsid w:val="00975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1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11305">
      <w:bodyDiv w:val="1"/>
      <w:marLeft w:val="0"/>
      <w:marRight w:val="0"/>
      <w:marTop w:val="0"/>
      <w:marBottom w:val="0"/>
      <w:divBdr>
        <w:top w:val="none" w:sz="0" w:space="0" w:color="auto"/>
        <w:left w:val="none" w:sz="0" w:space="0" w:color="auto"/>
        <w:bottom w:val="none" w:sz="0" w:space="0" w:color="auto"/>
        <w:right w:val="none" w:sz="0" w:space="0" w:color="auto"/>
      </w:divBdr>
    </w:div>
    <w:div w:id="64226748">
      <w:bodyDiv w:val="1"/>
      <w:marLeft w:val="0"/>
      <w:marRight w:val="0"/>
      <w:marTop w:val="0"/>
      <w:marBottom w:val="0"/>
      <w:divBdr>
        <w:top w:val="none" w:sz="0" w:space="0" w:color="auto"/>
        <w:left w:val="none" w:sz="0" w:space="0" w:color="auto"/>
        <w:bottom w:val="none" w:sz="0" w:space="0" w:color="auto"/>
        <w:right w:val="none" w:sz="0" w:space="0" w:color="auto"/>
      </w:divBdr>
    </w:div>
    <w:div w:id="142817062">
      <w:bodyDiv w:val="1"/>
      <w:marLeft w:val="0"/>
      <w:marRight w:val="0"/>
      <w:marTop w:val="0"/>
      <w:marBottom w:val="0"/>
      <w:divBdr>
        <w:top w:val="none" w:sz="0" w:space="0" w:color="auto"/>
        <w:left w:val="none" w:sz="0" w:space="0" w:color="auto"/>
        <w:bottom w:val="none" w:sz="0" w:space="0" w:color="auto"/>
        <w:right w:val="none" w:sz="0" w:space="0" w:color="auto"/>
      </w:divBdr>
    </w:div>
    <w:div w:id="145973504">
      <w:bodyDiv w:val="1"/>
      <w:marLeft w:val="0"/>
      <w:marRight w:val="0"/>
      <w:marTop w:val="0"/>
      <w:marBottom w:val="0"/>
      <w:divBdr>
        <w:top w:val="none" w:sz="0" w:space="0" w:color="auto"/>
        <w:left w:val="none" w:sz="0" w:space="0" w:color="auto"/>
        <w:bottom w:val="none" w:sz="0" w:space="0" w:color="auto"/>
        <w:right w:val="none" w:sz="0" w:space="0" w:color="auto"/>
      </w:divBdr>
    </w:div>
    <w:div w:id="201942479">
      <w:bodyDiv w:val="1"/>
      <w:marLeft w:val="0"/>
      <w:marRight w:val="0"/>
      <w:marTop w:val="0"/>
      <w:marBottom w:val="0"/>
      <w:divBdr>
        <w:top w:val="none" w:sz="0" w:space="0" w:color="auto"/>
        <w:left w:val="none" w:sz="0" w:space="0" w:color="auto"/>
        <w:bottom w:val="none" w:sz="0" w:space="0" w:color="auto"/>
        <w:right w:val="none" w:sz="0" w:space="0" w:color="auto"/>
      </w:divBdr>
    </w:div>
    <w:div w:id="202210650">
      <w:bodyDiv w:val="1"/>
      <w:marLeft w:val="0"/>
      <w:marRight w:val="0"/>
      <w:marTop w:val="0"/>
      <w:marBottom w:val="0"/>
      <w:divBdr>
        <w:top w:val="none" w:sz="0" w:space="0" w:color="auto"/>
        <w:left w:val="none" w:sz="0" w:space="0" w:color="auto"/>
        <w:bottom w:val="none" w:sz="0" w:space="0" w:color="auto"/>
        <w:right w:val="none" w:sz="0" w:space="0" w:color="auto"/>
      </w:divBdr>
    </w:div>
    <w:div w:id="211967867">
      <w:bodyDiv w:val="1"/>
      <w:marLeft w:val="0"/>
      <w:marRight w:val="0"/>
      <w:marTop w:val="0"/>
      <w:marBottom w:val="0"/>
      <w:divBdr>
        <w:top w:val="none" w:sz="0" w:space="0" w:color="auto"/>
        <w:left w:val="none" w:sz="0" w:space="0" w:color="auto"/>
        <w:bottom w:val="none" w:sz="0" w:space="0" w:color="auto"/>
        <w:right w:val="none" w:sz="0" w:space="0" w:color="auto"/>
      </w:divBdr>
    </w:div>
    <w:div w:id="214002007">
      <w:bodyDiv w:val="1"/>
      <w:marLeft w:val="0"/>
      <w:marRight w:val="0"/>
      <w:marTop w:val="0"/>
      <w:marBottom w:val="0"/>
      <w:divBdr>
        <w:top w:val="none" w:sz="0" w:space="0" w:color="auto"/>
        <w:left w:val="none" w:sz="0" w:space="0" w:color="auto"/>
        <w:bottom w:val="none" w:sz="0" w:space="0" w:color="auto"/>
        <w:right w:val="none" w:sz="0" w:space="0" w:color="auto"/>
      </w:divBdr>
    </w:div>
    <w:div w:id="302471701">
      <w:bodyDiv w:val="1"/>
      <w:marLeft w:val="0"/>
      <w:marRight w:val="0"/>
      <w:marTop w:val="0"/>
      <w:marBottom w:val="0"/>
      <w:divBdr>
        <w:top w:val="none" w:sz="0" w:space="0" w:color="auto"/>
        <w:left w:val="none" w:sz="0" w:space="0" w:color="auto"/>
        <w:bottom w:val="none" w:sz="0" w:space="0" w:color="auto"/>
        <w:right w:val="none" w:sz="0" w:space="0" w:color="auto"/>
      </w:divBdr>
    </w:div>
    <w:div w:id="340621598">
      <w:bodyDiv w:val="1"/>
      <w:marLeft w:val="0"/>
      <w:marRight w:val="0"/>
      <w:marTop w:val="0"/>
      <w:marBottom w:val="0"/>
      <w:divBdr>
        <w:top w:val="none" w:sz="0" w:space="0" w:color="auto"/>
        <w:left w:val="none" w:sz="0" w:space="0" w:color="auto"/>
        <w:bottom w:val="none" w:sz="0" w:space="0" w:color="auto"/>
        <w:right w:val="none" w:sz="0" w:space="0" w:color="auto"/>
      </w:divBdr>
    </w:div>
    <w:div w:id="384910674">
      <w:bodyDiv w:val="1"/>
      <w:marLeft w:val="0"/>
      <w:marRight w:val="0"/>
      <w:marTop w:val="0"/>
      <w:marBottom w:val="0"/>
      <w:divBdr>
        <w:top w:val="none" w:sz="0" w:space="0" w:color="auto"/>
        <w:left w:val="none" w:sz="0" w:space="0" w:color="auto"/>
        <w:bottom w:val="none" w:sz="0" w:space="0" w:color="auto"/>
        <w:right w:val="none" w:sz="0" w:space="0" w:color="auto"/>
      </w:divBdr>
    </w:div>
    <w:div w:id="443619276">
      <w:bodyDiv w:val="1"/>
      <w:marLeft w:val="0"/>
      <w:marRight w:val="0"/>
      <w:marTop w:val="0"/>
      <w:marBottom w:val="0"/>
      <w:divBdr>
        <w:top w:val="none" w:sz="0" w:space="0" w:color="auto"/>
        <w:left w:val="none" w:sz="0" w:space="0" w:color="auto"/>
        <w:bottom w:val="none" w:sz="0" w:space="0" w:color="auto"/>
        <w:right w:val="none" w:sz="0" w:space="0" w:color="auto"/>
      </w:divBdr>
    </w:div>
    <w:div w:id="533231403">
      <w:bodyDiv w:val="1"/>
      <w:marLeft w:val="0"/>
      <w:marRight w:val="0"/>
      <w:marTop w:val="0"/>
      <w:marBottom w:val="0"/>
      <w:divBdr>
        <w:top w:val="none" w:sz="0" w:space="0" w:color="auto"/>
        <w:left w:val="none" w:sz="0" w:space="0" w:color="auto"/>
        <w:bottom w:val="none" w:sz="0" w:space="0" w:color="auto"/>
        <w:right w:val="none" w:sz="0" w:space="0" w:color="auto"/>
      </w:divBdr>
    </w:div>
    <w:div w:id="579556740">
      <w:bodyDiv w:val="1"/>
      <w:marLeft w:val="0"/>
      <w:marRight w:val="0"/>
      <w:marTop w:val="0"/>
      <w:marBottom w:val="0"/>
      <w:divBdr>
        <w:top w:val="none" w:sz="0" w:space="0" w:color="auto"/>
        <w:left w:val="none" w:sz="0" w:space="0" w:color="auto"/>
        <w:bottom w:val="none" w:sz="0" w:space="0" w:color="auto"/>
        <w:right w:val="none" w:sz="0" w:space="0" w:color="auto"/>
      </w:divBdr>
    </w:div>
    <w:div w:id="600265379">
      <w:bodyDiv w:val="1"/>
      <w:marLeft w:val="0"/>
      <w:marRight w:val="0"/>
      <w:marTop w:val="0"/>
      <w:marBottom w:val="0"/>
      <w:divBdr>
        <w:top w:val="none" w:sz="0" w:space="0" w:color="auto"/>
        <w:left w:val="none" w:sz="0" w:space="0" w:color="auto"/>
        <w:bottom w:val="none" w:sz="0" w:space="0" w:color="auto"/>
        <w:right w:val="none" w:sz="0" w:space="0" w:color="auto"/>
      </w:divBdr>
    </w:div>
    <w:div w:id="638337839">
      <w:bodyDiv w:val="1"/>
      <w:marLeft w:val="0"/>
      <w:marRight w:val="0"/>
      <w:marTop w:val="0"/>
      <w:marBottom w:val="0"/>
      <w:divBdr>
        <w:top w:val="none" w:sz="0" w:space="0" w:color="auto"/>
        <w:left w:val="none" w:sz="0" w:space="0" w:color="auto"/>
        <w:bottom w:val="none" w:sz="0" w:space="0" w:color="auto"/>
        <w:right w:val="none" w:sz="0" w:space="0" w:color="auto"/>
      </w:divBdr>
    </w:div>
    <w:div w:id="667560650">
      <w:bodyDiv w:val="1"/>
      <w:marLeft w:val="0"/>
      <w:marRight w:val="0"/>
      <w:marTop w:val="0"/>
      <w:marBottom w:val="0"/>
      <w:divBdr>
        <w:top w:val="none" w:sz="0" w:space="0" w:color="auto"/>
        <w:left w:val="none" w:sz="0" w:space="0" w:color="auto"/>
        <w:bottom w:val="none" w:sz="0" w:space="0" w:color="auto"/>
        <w:right w:val="none" w:sz="0" w:space="0" w:color="auto"/>
      </w:divBdr>
    </w:div>
    <w:div w:id="672949764">
      <w:bodyDiv w:val="1"/>
      <w:marLeft w:val="0"/>
      <w:marRight w:val="0"/>
      <w:marTop w:val="0"/>
      <w:marBottom w:val="0"/>
      <w:divBdr>
        <w:top w:val="none" w:sz="0" w:space="0" w:color="auto"/>
        <w:left w:val="none" w:sz="0" w:space="0" w:color="auto"/>
        <w:bottom w:val="none" w:sz="0" w:space="0" w:color="auto"/>
        <w:right w:val="none" w:sz="0" w:space="0" w:color="auto"/>
      </w:divBdr>
    </w:div>
    <w:div w:id="675503154">
      <w:bodyDiv w:val="1"/>
      <w:marLeft w:val="0"/>
      <w:marRight w:val="0"/>
      <w:marTop w:val="0"/>
      <w:marBottom w:val="0"/>
      <w:divBdr>
        <w:top w:val="none" w:sz="0" w:space="0" w:color="auto"/>
        <w:left w:val="none" w:sz="0" w:space="0" w:color="auto"/>
        <w:bottom w:val="none" w:sz="0" w:space="0" w:color="auto"/>
        <w:right w:val="none" w:sz="0" w:space="0" w:color="auto"/>
      </w:divBdr>
    </w:div>
    <w:div w:id="734860139">
      <w:bodyDiv w:val="1"/>
      <w:marLeft w:val="0"/>
      <w:marRight w:val="0"/>
      <w:marTop w:val="0"/>
      <w:marBottom w:val="0"/>
      <w:divBdr>
        <w:top w:val="none" w:sz="0" w:space="0" w:color="auto"/>
        <w:left w:val="none" w:sz="0" w:space="0" w:color="auto"/>
        <w:bottom w:val="none" w:sz="0" w:space="0" w:color="auto"/>
        <w:right w:val="none" w:sz="0" w:space="0" w:color="auto"/>
      </w:divBdr>
    </w:div>
    <w:div w:id="842473327">
      <w:bodyDiv w:val="1"/>
      <w:marLeft w:val="0"/>
      <w:marRight w:val="0"/>
      <w:marTop w:val="0"/>
      <w:marBottom w:val="0"/>
      <w:divBdr>
        <w:top w:val="none" w:sz="0" w:space="0" w:color="auto"/>
        <w:left w:val="none" w:sz="0" w:space="0" w:color="auto"/>
        <w:bottom w:val="none" w:sz="0" w:space="0" w:color="auto"/>
        <w:right w:val="none" w:sz="0" w:space="0" w:color="auto"/>
      </w:divBdr>
    </w:div>
    <w:div w:id="857356476">
      <w:bodyDiv w:val="1"/>
      <w:marLeft w:val="0"/>
      <w:marRight w:val="0"/>
      <w:marTop w:val="0"/>
      <w:marBottom w:val="0"/>
      <w:divBdr>
        <w:top w:val="none" w:sz="0" w:space="0" w:color="auto"/>
        <w:left w:val="none" w:sz="0" w:space="0" w:color="auto"/>
        <w:bottom w:val="none" w:sz="0" w:space="0" w:color="auto"/>
        <w:right w:val="none" w:sz="0" w:space="0" w:color="auto"/>
      </w:divBdr>
    </w:div>
    <w:div w:id="862481667">
      <w:bodyDiv w:val="1"/>
      <w:marLeft w:val="0"/>
      <w:marRight w:val="0"/>
      <w:marTop w:val="0"/>
      <w:marBottom w:val="0"/>
      <w:divBdr>
        <w:top w:val="none" w:sz="0" w:space="0" w:color="auto"/>
        <w:left w:val="none" w:sz="0" w:space="0" w:color="auto"/>
        <w:bottom w:val="none" w:sz="0" w:space="0" w:color="auto"/>
        <w:right w:val="none" w:sz="0" w:space="0" w:color="auto"/>
      </w:divBdr>
    </w:div>
    <w:div w:id="990332128">
      <w:bodyDiv w:val="1"/>
      <w:marLeft w:val="0"/>
      <w:marRight w:val="0"/>
      <w:marTop w:val="0"/>
      <w:marBottom w:val="0"/>
      <w:divBdr>
        <w:top w:val="none" w:sz="0" w:space="0" w:color="auto"/>
        <w:left w:val="none" w:sz="0" w:space="0" w:color="auto"/>
        <w:bottom w:val="none" w:sz="0" w:space="0" w:color="auto"/>
        <w:right w:val="none" w:sz="0" w:space="0" w:color="auto"/>
      </w:divBdr>
    </w:div>
    <w:div w:id="1271472587">
      <w:bodyDiv w:val="1"/>
      <w:marLeft w:val="0"/>
      <w:marRight w:val="0"/>
      <w:marTop w:val="0"/>
      <w:marBottom w:val="0"/>
      <w:divBdr>
        <w:top w:val="none" w:sz="0" w:space="0" w:color="auto"/>
        <w:left w:val="none" w:sz="0" w:space="0" w:color="auto"/>
        <w:bottom w:val="none" w:sz="0" w:space="0" w:color="auto"/>
        <w:right w:val="none" w:sz="0" w:space="0" w:color="auto"/>
      </w:divBdr>
    </w:div>
    <w:div w:id="1320495433">
      <w:bodyDiv w:val="1"/>
      <w:marLeft w:val="0"/>
      <w:marRight w:val="0"/>
      <w:marTop w:val="0"/>
      <w:marBottom w:val="0"/>
      <w:divBdr>
        <w:top w:val="none" w:sz="0" w:space="0" w:color="auto"/>
        <w:left w:val="none" w:sz="0" w:space="0" w:color="auto"/>
        <w:bottom w:val="none" w:sz="0" w:space="0" w:color="auto"/>
        <w:right w:val="none" w:sz="0" w:space="0" w:color="auto"/>
      </w:divBdr>
    </w:div>
    <w:div w:id="1325281997">
      <w:bodyDiv w:val="1"/>
      <w:marLeft w:val="0"/>
      <w:marRight w:val="0"/>
      <w:marTop w:val="0"/>
      <w:marBottom w:val="0"/>
      <w:divBdr>
        <w:top w:val="none" w:sz="0" w:space="0" w:color="auto"/>
        <w:left w:val="none" w:sz="0" w:space="0" w:color="auto"/>
        <w:bottom w:val="none" w:sz="0" w:space="0" w:color="auto"/>
        <w:right w:val="none" w:sz="0" w:space="0" w:color="auto"/>
      </w:divBdr>
    </w:div>
    <w:div w:id="1409109575">
      <w:bodyDiv w:val="1"/>
      <w:marLeft w:val="0"/>
      <w:marRight w:val="0"/>
      <w:marTop w:val="0"/>
      <w:marBottom w:val="0"/>
      <w:divBdr>
        <w:top w:val="none" w:sz="0" w:space="0" w:color="auto"/>
        <w:left w:val="none" w:sz="0" w:space="0" w:color="auto"/>
        <w:bottom w:val="none" w:sz="0" w:space="0" w:color="auto"/>
        <w:right w:val="none" w:sz="0" w:space="0" w:color="auto"/>
      </w:divBdr>
    </w:div>
    <w:div w:id="1415856008">
      <w:bodyDiv w:val="1"/>
      <w:marLeft w:val="0"/>
      <w:marRight w:val="0"/>
      <w:marTop w:val="0"/>
      <w:marBottom w:val="0"/>
      <w:divBdr>
        <w:top w:val="none" w:sz="0" w:space="0" w:color="auto"/>
        <w:left w:val="none" w:sz="0" w:space="0" w:color="auto"/>
        <w:bottom w:val="none" w:sz="0" w:space="0" w:color="auto"/>
        <w:right w:val="none" w:sz="0" w:space="0" w:color="auto"/>
      </w:divBdr>
    </w:div>
    <w:div w:id="1424496659">
      <w:bodyDiv w:val="1"/>
      <w:marLeft w:val="0"/>
      <w:marRight w:val="0"/>
      <w:marTop w:val="0"/>
      <w:marBottom w:val="0"/>
      <w:divBdr>
        <w:top w:val="none" w:sz="0" w:space="0" w:color="auto"/>
        <w:left w:val="none" w:sz="0" w:space="0" w:color="auto"/>
        <w:bottom w:val="none" w:sz="0" w:space="0" w:color="auto"/>
        <w:right w:val="none" w:sz="0" w:space="0" w:color="auto"/>
      </w:divBdr>
    </w:div>
    <w:div w:id="1439061193">
      <w:bodyDiv w:val="1"/>
      <w:marLeft w:val="0"/>
      <w:marRight w:val="0"/>
      <w:marTop w:val="0"/>
      <w:marBottom w:val="0"/>
      <w:divBdr>
        <w:top w:val="none" w:sz="0" w:space="0" w:color="auto"/>
        <w:left w:val="none" w:sz="0" w:space="0" w:color="auto"/>
        <w:bottom w:val="none" w:sz="0" w:space="0" w:color="auto"/>
        <w:right w:val="none" w:sz="0" w:space="0" w:color="auto"/>
      </w:divBdr>
    </w:div>
    <w:div w:id="1454907654">
      <w:bodyDiv w:val="1"/>
      <w:marLeft w:val="0"/>
      <w:marRight w:val="0"/>
      <w:marTop w:val="0"/>
      <w:marBottom w:val="0"/>
      <w:divBdr>
        <w:top w:val="none" w:sz="0" w:space="0" w:color="auto"/>
        <w:left w:val="none" w:sz="0" w:space="0" w:color="auto"/>
        <w:bottom w:val="none" w:sz="0" w:space="0" w:color="auto"/>
        <w:right w:val="none" w:sz="0" w:space="0" w:color="auto"/>
      </w:divBdr>
    </w:div>
    <w:div w:id="1508714076">
      <w:bodyDiv w:val="1"/>
      <w:marLeft w:val="0"/>
      <w:marRight w:val="0"/>
      <w:marTop w:val="0"/>
      <w:marBottom w:val="0"/>
      <w:divBdr>
        <w:top w:val="none" w:sz="0" w:space="0" w:color="auto"/>
        <w:left w:val="none" w:sz="0" w:space="0" w:color="auto"/>
        <w:bottom w:val="none" w:sz="0" w:space="0" w:color="auto"/>
        <w:right w:val="none" w:sz="0" w:space="0" w:color="auto"/>
      </w:divBdr>
    </w:div>
    <w:div w:id="1530529501">
      <w:bodyDiv w:val="1"/>
      <w:marLeft w:val="0"/>
      <w:marRight w:val="0"/>
      <w:marTop w:val="0"/>
      <w:marBottom w:val="0"/>
      <w:divBdr>
        <w:top w:val="none" w:sz="0" w:space="0" w:color="auto"/>
        <w:left w:val="none" w:sz="0" w:space="0" w:color="auto"/>
        <w:bottom w:val="none" w:sz="0" w:space="0" w:color="auto"/>
        <w:right w:val="none" w:sz="0" w:space="0" w:color="auto"/>
      </w:divBdr>
    </w:div>
    <w:div w:id="1531576423">
      <w:bodyDiv w:val="1"/>
      <w:marLeft w:val="0"/>
      <w:marRight w:val="0"/>
      <w:marTop w:val="0"/>
      <w:marBottom w:val="0"/>
      <w:divBdr>
        <w:top w:val="none" w:sz="0" w:space="0" w:color="auto"/>
        <w:left w:val="none" w:sz="0" w:space="0" w:color="auto"/>
        <w:bottom w:val="none" w:sz="0" w:space="0" w:color="auto"/>
        <w:right w:val="none" w:sz="0" w:space="0" w:color="auto"/>
      </w:divBdr>
    </w:div>
    <w:div w:id="1628242318">
      <w:bodyDiv w:val="1"/>
      <w:marLeft w:val="0"/>
      <w:marRight w:val="0"/>
      <w:marTop w:val="0"/>
      <w:marBottom w:val="0"/>
      <w:divBdr>
        <w:top w:val="none" w:sz="0" w:space="0" w:color="auto"/>
        <w:left w:val="none" w:sz="0" w:space="0" w:color="auto"/>
        <w:bottom w:val="none" w:sz="0" w:space="0" w:color="auto"/>
        <w:right w:val="none" w:sz="0" w:space="0" w:color="auto"/>
      </w:divBdr>
    </w:div>
    <w:div w:id="1668365560">
      <w:bodyDiv w:val="1"/>
      <w:marLeft w:val="0"/>
      <w:marRight w:val="0"/>
      <w:marTop w:val="0"/>
      <w:marBottom w:val="0"/>
      <w:divBdr>
        <w:top w:val="none" w:sz="0" w:space="0" w:color="auto"/>
        <w:left w:val="none" w:sz="0" w:space="0" w:color="auto"/>
        <w:bottom w:val="none" w:sz="0" w:space="0" w:color="auto"/>
        <w:right w:val="none" w:sz="0" w:space="0" w:color="auto"/>
      </w:divBdr>
    </w:div>
    <w:div w:id="1750616381">
      <w:bodyDiv w:val="1"/>
      <w:marLeft w:val="0"/>
      <w:marRight w:val="0"/>
      <w:marTop w:val="0"/>
      <w:marBottom w:val="0"/>
      <w:divBdr>
        <w:top w:val="none" w:sz="0" w:space="0" w:color="auto"/>
        <w:left w:val="none" w:sz="0" w:space="0" w:color="auto"/>
        <w:bottom w:val="none" w:sz="0" w:space="0" w:color="auto"/>
        <w:right w:val="none" w:sz="0" w:space="0" w:color="auto"/>
      </w:divBdr>
    </w:div>
    <w:div w:id="1803883038">
      <w:bodyDiv w:val="1"/>
      <w:marLeft w:val="0"/>
      <w:marRight w:val="0"/>
      <w:marTop w:val="0"/>
      <w:marBottom w:val="0"/>
      <w:divBdr>
        <w:top w:val="none" w:sz="0" w:space="0" w:color="auto"/>
        <w:left w:val="none" w:sz="0" w:space="0" w:color="auto"/>
        <w:bottom w:val="none" w:sz="0" w:space="0" w:color="auto"/>
        <w:right w:val="none" w:sz="0" w:space="0" w:color="auto"/>
      </w:divBdr>
    </w:div>
    <w:div w:id="1815174117">
      <w:bodyDiv w:val="1"/>
      <w:marLeft w:val="0"/>
      <w:marRight w:val="0"/>
      <w:marTop w:val="0"/>
      <w:marBottom w:val="0"/>
      <w:divBdr>
        <w:top w:val="none" w:sz="0" w:space="0" w:color="auto"/>
        <w:left w:val="none" w:sz="0" w:space="0" w:color="auto"/>
        <w:bottom w:val="none" w:sz="0" w:space="0" w:color="auto"/>
        <w:right w:val="none" w:sz="0" w:space="0" w:color="auto"/>
      </w:divBdr>
    </w:div>
    <w:div w:id="1884632761">
      <w:bodyDiv w:val="1"/>
      <w:marLeft w:val="0"/>
      <w:marRight w:val="0"/>
      <w:marTop w:val="0"/>
      <w:marBottom w:val="0"/>
      <w:divBdr>
        <w:top w:val="none" w:sz="0" w:space="0" w:color="auto"/>
        <w:left w:val="none" w:sz="0" w:space="0" w:color="auto"/>
        <w:bottom w:val="none" w:sz="0" w:space="0" w:color="auto"/>
        <w:right w:val="none" w:sz="0" w:space="0" w:color="auto"/>
      </w:divBdr>
    </w:div>
    <w:div w:id="1995571576">
      <w:bodyDiv w:val="1"/>
      <w:marLeft w:val="0"/>
      <w:marRight w:val="0"/>
      <w:marTop w:val="0"/>
      <w:marBottom w:val="0"/>
      <w:divBdr>
        <w:top w:val="none" w:sz="0" w:space="0" w:color="auto"/>
        <w:left w:val="none" w:sz="0" w:space="0" w:color="auto"/>
        <w:bottom w:val="none" w:sz="0" w:space="0" w:color="auto"/>
        <w:right w:val="none" w:sz="0" w:space="0" w:color="auto"/>
      </w:divBdr>
    </w:div>
    <w:div w:id="209180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6BE58-7F87-4BBE-B34F-79CEA02C9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12</Pages>
  <Words>2811</Words>
  <Characters>16029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2024-06-21T08:10:00Z</dcterms:created>
  <dcterms:modified xsi:type="dcterms:W3CDTF">2024-06-26T11:35:00Z</dcterms:modified>
</cp:coreProperties>
</file>