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E39" w:rsidRDefault="001D0E39" w:rsidP="001D0E39">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r>
        <w:rPr>
          <w:noProof/>
        </w:rPr>
        <w:drawing>
          <wp:inline distT="0" distB="0" distL="0" distR="0" wp14:anchorId="18C6626F" wp14:editId="0DBB07B5">
            <wp:extent cx="2838450" cy="1287105"/>
            <wp:effectExtent l="0" t="0" r="0" b="8890"/>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p>
    <w:p w:rsidR="001D0E39" w:rsidRDefault="001D0E39" w:rsidP="001D0E39">
      <w:pPr>
        <w:jc w:val="center"/>
        <w:rPr>
          <w:b/>
          <w:sz w:val="28"/>
        </w:rPr>
      </w:pPr>
      <w:bookmarkStart w:id="6" w:name="_Toc168493927"/>
      <w:bookmarkStart w:id="7" w:name="_Toc168494038"/>
      <w:bookmarkStart w:id="8" w:name="_Toc168681395"/>
      <w:bookmarkStart w:id="9" w:name="_Toc169018611"/>
      <w:bookmarkStart w:id="10" w:name="_Toc169099748"/>
      <w:bookmarkStart w:id="11" w:name="_Toc169194467"/>
      <w:bookmarkStart w:id="12" w:name="_Toc169526156"/>
      <w:bookmarkStart w:id="13" w:name="_Toc169624171"/>
    </w:p>
    <w:p w:rsidR="001D0E39" w:rsidRPr="00DF16FE" w:rsidRDefault="001D0E39" w:rsidP="001D0E39">
      <w:pPr>
        <w:jc w:val="center"/>
        <w:rPr>
          <w:b/>
          <w:sz w:val="28"/>
        </w:rPr>
      </w:pPr>
      <w:r w:rsidRPr="00DF16FE">
        <w:rPr>
          <w:b/>
          <w:sz w:val="28"/>
        </w:rPr>
        <w:t xml:space="preserve">Assignment </w:t>
      </w:r>
      <w:bookmarkEnd w:id="6"/>
      <w:bookmarkEnd w:id="7"/>
      <w:bookmarkEnd w:id="8"/>
      <w:bookmarkEnd w:id="9"/>
      <w:bookmarkEnd w:id="10"/>
      <w:bookmarkEnd w:id="11"/>
      <w:r w:rsidRPr="00DF16FE">
        <w:rPr>
          <w:b/>
          <w:sz w:val="28"/>
        </w:rPr>
        <w:t>on</w:t>
      </w:r>
      <w:bookmarkEnd w:id="12"/>
      <w:bookmarkEnd w:id="13"/>
    </w:p>
    <w:p w:rsidR="001D0E39" w:rsidRPr="00DF16FE" w:rsidRDefault="001D0E39" w:rsidP="001D0E39">
      <w:pPr>
        <w:jc w:val="center"/>
        <w:rPr>
          <w:b/>
          <w:sz w:val="28"/>
        </w:rPr>
      </w:pPr>
      <w:r w:rsidRPr="001D0E39">
        <w:rPr>
          <w:b/>
          <w:sz w:val="28"/>
        </w:rPr>
        <w:t xml:space="preserve"> CERTIFICATE OF DEPOSIT, MONEY MARKET ACCOUNTS AND I</w:t>
      </w:r>
      <w:r>
        <w:rPr>
          <w:b/>
          <w:sz w:val="28"/>
        </w:rPr>
        <w:t xml:space="preserve">NDIVIDUAL </w:t>
      </w:r>
      <w:r w:rsidRPr="001D0E39">
        <w:rPr>
          <w:b/>
          <w:sz w:val="28"/>
        </w:rPr>
        <w:t>R</w:t>
      </w:r>
      <w:r>
        <w:rPr>
          <w:b/>
          <w:sz w:val="28"/>
        </w:rPr>
        <w:t xml:space="preserve">ETIREMENT </w:t>
      </w:r>
      <w:r w:rsidRPr="001D0E39">
        <w:rPr>
          <w:b/>
          <w:sz w:val="28"/>
        </w:rPr>
        <w:t>A</w:t>
      </w:r>
      <w:r>
        <w:rPr>
          <w:b/>
          <w:sz w:val="28"/>
        </w:rPr>
        <w:t>CCOUNTS</w:t>
      </w:r>
    </w:p>
    <w:p w:rsidR="001D0E39" w:rsidRDefault="001D0E39" w:rsidP="001D0E39">
      <w:pPr>
        <w:jc w:val="center"/>
        <w:rPr>
          <w:b/>
          <w:sz w:val="28"/>
        </w:rPr>
      </w:pPr>
    </w:p>
    <w:p w:rsidR="001D0E39" w:rsidRPr="00DF16FE" w:rsidRDefault="001D0E39" w:rsidP="001D0E39">
      <w:pPr>
        <w:jc w:val="center"/>
        <w:rPr>
          <w:b/>
          <w:sz w:val="28"/>
        </w:rPr>
      </w:pPr>
    </w:p>
    <w:p w:rsidR="001D0E39" w:rsidRPr="00DF16FE" w:rsidRDefault="001D0E39" w:rsidP="001D0E39">
      <w:pPr>
        <w:jc w:val="center"/>
        <w:rPr>
          <w:b/>
          <w:sz w:val="28"/>
        </w:rPr>
      </w:pPr>
      <w:bookmarkStart w:id="14" w:name="_Toc168493929"/>
      <w:bookmarkStart w:id="15" w:name="_Toc168494040"/>
      <w:bookmarkStart w:id="16" w:name="_Toc168681398"/>
      <w:bookmarkStart w:id="17" w:name="_Toc169018613"/>
      <w:bookmarkStart w:id="18" w:name="_Toc169099751"/>
      <w:bookmarkStart w:id="19" w:name="_Toc169194470"/>
      <w:bookmarkStart w:id="20" w:name="_Toc169526158"/>
      <w:bookmarkStart w:id="21" w:name="_Toc169624173"/>
      <w:r w:rsidRPr="00DF16FE">
        <w:rPr>
          <w:b/>
          <w:sz w:val="28"/>
        </w:rPr>
        <w:t>Under Supervision of:</w:t>
      </w:r>
      <w:bookmarkEnd w:id="14"/>
      <w:bookmarkEnd w:id="15"/>
      <w:bookmarkEnd w:id="16"/>
      <w:bookmarkEnd w:id="17"/>
      <w:bookmarkEnd w:id="18"/>
      <w:bookmarkEnd w:id="19"/>
      <w:bookmarkEnd w:id="20"/>
      <w:bookmarkEnd w:id="21"/>
    </w:p>
    <w:p w:rsidR="001D0E39" w:rsidRPr="00DF16FE" w:rsidRDefault="001D0E39" w:rsidP="001D0E39">
      <w:pPr>
        <w:jc w:val="center"/>
        <w:rPr>
          <w:b/>
          <w:sz w:val="28"/>
        </w:rPr>
      </w:pPr>
      <w:bookmarkStart w:id="22" w:name="_Toc168493930"/>
      <w:bookmarkStart w:id="23" w:name="_Toc168494041"/>
      <w:bookmarkStart w:id="24" w:name="_Toc168681399"/>
      <w:bookmarkStart w:id="25" w:name="_Toc169018614"/>
      <w:bookmarkStart w:id="26" w:name="_Toc169099752"/>
      <w:bookmarkStart w:id="27" w:name="_Toc169194471"/>
      <w:bookmarkStart w:id="28" w:name="_Toc169526159"/>
      <w:bookmarkStart w:id="29" w:name="_Toc169624174"/>
      <w:r w:rsidRPr="00DF16FE">
        <w:rPr>
          <w:b/>
          <w:sz w:val="28"/>
        </w:rPr>
        <w:t xml:space="preserve">Mr. Mohammad </w:t>
      </w:r>
      <w:proofErr w:type="spellStart"/>
      <w:r w:rsidRPr="00DF16FE">
        <w:rPr>
          <w:b/>
          <w:sz w:val="28"/>
        </w:rPr>
        <w:t>Mozammil</w:t>
      </w:r>
      <w:bookmarkEnd w:id="22"/>
      <w:bookmarkEnd w:id="23"/>
      <w:bookmarkEnd w:id="24"/>
      <w:bookmarkEnd w:id="25"/>
      <w:bookmarkEnd w:id="26"/>
      <w:bookmarkEnd w:id="27"/>
      <w:bookmarkEnd w:id="28"/>
      <w:bookmarkEnd w:id="29"/>
      <w:proofErr w:type="spellEnd"/>
    </w:p>
    <w:p w:rsidR="001D0E39" w:rsidRDefault="001D0E39" w:rsidP="001D0E39">
      <w:pPr>
        <w:jc w:val="center"/>
        <w:rPr>
          <w:b/>
          <w:sz w:val="28"/>
        </w:rPr>
      </w:pPr>
      <w:bookmarkStart w:id="30" w:name="_Toc168493931"/>
      <w:bookmarkStart w:id="31" w:name="_Toc168494042"/>
      <w:bookmarkStart w:id="32" w:name="_Toc168681400"/>
      <w:bookmarkStart w:id="33" w:name="_Toc169018615"/>
      <w:bookmarkStart w:id="34" w:name="_Toc169099753"/>
      <w:bookmarkStart w:id="35" w:name="_Toc169194472"/>
      <w:bookmarkStart w:id="36" w:name="_Toc169526160"/>
      <w:bookmarkStart w:id="37" w:name="_Toc169624175"/>
    </w:p>
    <w:p w:rsidR="001D0E39" w:rsidRPr="00DF16FE" w:rsidRDefault="001D0E39" w:rsidP="001D0E39">
      <w:pPr>
        <w:jc w:val="center"/>
        <w:rPr>
          <w:b/>
          <w:sz w:val="28"/>
        </w:rPr>
      </w:pPr>
    </w:p>
    <w:p w:rsidR="001D0E39" w:rsidRPr="00DF16FE" w:rsidRDefault="001D0E39" w:rsidP="001D0E39">
      <w:pPr>
        <w:jc w:val="center"/>
        <w:rPr>
          <w:b/>
          <w:sz w:val="28"/>
        </w:rPr>
      </w:pPr>
      <w:r w:rsidRPr="00DF16FE">
        <w:rPr>
          <w:b/>
          <w:sz w:val="28"/>
        </w:rPr>
        <w:t>Submitted On:</w:t>
      </w:r>
    </w:p>
    <w:p w:rsidR="001D0E39" w:rsidRPr="00DF16FE" w:rsidRDefault="001D0E39" w:rsidP="001D0E39">
      <w:pPr>
        <w:jc w:val="center"/>
        <w:rPr>
          <w:b/>
          <w:sz w:val="28"/>
        </w:rPr>
      </w:pPr>
      <w:r w:rsidRPr="00DF16FE">
        <w:rPr>
          <w:b/>
          <w:sz w:val="28"/>
        </w:rPr>
        <w:t>2</w:t>
      </w:r>
      <w:r>
        <w:rPr>
          <w:b/>
          <w:sz w:val="28"/>
        </w:rPr>
        <w:t>5</w:t>
      </w:r>
      <w:r w:rsidRPr="00DF16FE">
        <w:rPr>
          <w:b/>
          <w:sz w:val="28"/>
          <w:vertAlign w:val="superscript"/>
        </w:rPr>
        <w:t xml:space="preserve">th </w:t>
      </w:r>
      <w:r w:rsidRPr="00DF16FE">
        <w:rPr>
          <w:b/>
          <w:sz w:val="28"/>
        </w:rPr>
        <w:t>June, 2024</w:t>
      </w:r>
    </w:p>
    <w:p w:rsidR="001D0E39" w:rsidRPr="00DF16FE" w:rsidRDefault="001D0E39" w:rsidP="001D0E39">
      <w:pPr>
        <w:jc w:val="center"/>
        <w:rPr>
          <w:b/>
          <w:sz w:val="28"/>
        </w:rPr>
      </w:pPr>
    </w:p>
    <w:p w:rsidR="001D0E39" w:rsidRPr="00DF16FE" w:rsidRDefault="001D0E39" w:rsidP="001D0E39">
      <w:pPr>
        <w:jc w:val="center"/>
        <w:rPr>
          <w:b/>
          <w:sz w:val="28"/>
        </w:rPr>
      </w:pPr>
    </w:p>
    <w:p w:rsidR="001D0E39" w:rsidRPr="00DF16FE" w:rsidRDefault="001D0E39" w:rsidP="001D0E39">
      <w:pPr>
        <w:jc w:val="center"/>
        <w:rPr>
          <w:b/>
          <w:sz w:val="28"/>
        </w:rPr>
      </w:pPr>
      <w:r w:rsidRPr="00DF16FE">
        <w:rPr>
          <w:b/>
          <w:sz w:val="28"/>
        </w:rPr>
        <w:t>Submitted By:</w:t>
      </w:r>
      <w:bookmarkEnd w:id="30"/>
      <w:bookmarkEnd w:id="31"/>
      <w:bookmarkEnd w:id="32"/>
      <w:bookmarkEnd w:id="33"/>
      <w:bookmarkEnd w:id="34"/>
      <w:bookmarkEnd w:id="35"/>
      <w:bookmarkEnd w:id="36"/>
      <w:bookmarkEnd w:id="37"/>
    </w:p>
    <w:p w:rsidR="001D0E39" w:rsidRPr="00DF16FE" w:rsidRDefault="001D0E39" w:rsidP="001D0E39">
      <w:pPr>
        <w:jc w:val="center"/>
        <w:rPr>
          <w:b/>
          <w:sz w:val="28"/>
        </w:rPr>
      </w:pPr>
      <w:bookmarkStart w:id="38" w:name="_Toc168493932"/>
      <w:bookmarkStart w:id="39" w:name="_Toc168494043"/>
      <w:bookmarkStart w:id="40" w:name="_Toc168681401"/>
      <w:bookmarkStart w:id="41" w:name="_Toc169018616"/>
      <w:bookmarkStart w:id="42" w:name="_Toc169099754"/>
      <w:bookmarkStart w:id="43" w:name="_Toc169194473"/>
      <w:bookmarkStart w:id="44" w:name="_Toc169526161"/>
      <w:bookmarkStart w:id="45" w:name="_Toc169624176"/>
      <w:proofErr w:type="spellStart"/>
      <w:r w:rsidRPr="00DF16FE">
        <w:rPr>
          <w:b/>
          <w:sz w:val="28"/>
        </w:rPr>
        <w:t>Archita</w:t>
      </w:r>
      <w:proofErr w:type="spellEnd"/>
      <w:r w:rsidRPr="00DF16FE">
        <w:rPr>
          <w:b/>
          <w:sz w:val="28"/>
        </w:rPr>
        <w:t xml:space="preserve"> Gupta</w:t>
      </w:r>
      <w:bookmarkEnd w:id="38"/>
      <w:bookmarkEnd w:id="39"/>
      <w:bookmarkEnd w:id="40"/>
      <w:bookmarkEnd w:id="41"/>
      <w:bookmarkEnd w:id="42"/>
      <w:bookmarkEnd w:id="43"/>
      <w:bookmarkEnd w:id="44"/>
      <w:bookmarkEnd w:id="45"/>
    </w:p>
    <w:p w:rsidR="00193461" w:rsidRDefault="00193461" w:rsidP="00193461">
      <w:pPr>
        <w:pStyle w:val="Heading3"/>
        <w:jc w:val="center"/>
      </w:pPr>
    </w:p>
    <w:p w:rsidR="00193461" w:rsidRDefault="00193461" w:rsidP="00193461"/>
    <w:sdt>
      <w:sdtPr>
        <w:rPr>
          <w:rFonts w:asciiTheme="minorHAnsi" w:eastAsiaTheme="minorHAnsi" w:hAnsiTheme="minorHAnsi" w:cstheme="minorBidi"/>
          <w:b w:val="0"/>
          <w:bCs w:val="0"/>
          <w:color w:val="auto"/>
          <w:sz w:val="22"/>
          <w:szCs w:val="22"/>
          <w:lang w:eastAsia="en-US"/>
        </w:rPr>
        <w:id w:val="1526289727"/>
        <w:docPartObj>
          <w:docPartGallery w:val="Table of Contents"/>
          <w:docPartUnique/>
        </w:docPartObj>
      </w:sdtPr>
      <w:sdtEndPr>
        <w:rPr>
          <w:noProof/>
        </w:rPr>
      </w:sdtEndPr>
      <w:sdtContent>
        <w:p w:rsidR="00F2659F" w:rsidRDefault="00F2659F">
          <w:pPr>
            <w:pStyle w:val="TOCHeading"/>
          </w:pPr>
          <w:r>
            <w:t>Table of Contents</w:t>
          </w:r>
        </w:p>
        <w:p w:rsidR="00F2659F" w:rsidRDefault="00F2659F">
          <w:pPr>
            <w:pStyle w:val="TOC1"/>
            <w:tabs>
              <w:tab w:val="right" w:leader="dot" w:pos="9350"/>
            </w:tabs>
            <w:rPr>
              <w:noProof/>
            </w:rPr>
          </w:pPr>
          <w:r>
            <w:fldChar w:fldCharType="begin"/>
          </w:r>
          <w:r>
            <w:instrText xml:space="preserve"> TOC \o "1-3" \h \z \u </w:instrText>
          </w:r>
          <w:r>
            <w:fldChar w:fldCharType="separate"/>
          </w:r>
          <w:hyperlink w:anchor="_Toc170221088" w:history="1">
            <w:r w:rsidRPr="0022720C">
              <w:rPr>
                <w:rStyle w:val="Hyperlink"/>
                <w:noProof/>
              </w:rPr>
              <w:t>Certificate of Deposit</w:t>
            </w:r>
            <w:r>
              <w:rPr>
                <w:noProof/>
                <w:webHidden/>
              </w:rPr>
              <w:tab/>
            </w:r>
            <w:r>
              <w:rPr>
                <w:noProof/>
                <w:webHidden/>
              </w:rPr>
              <w:fldChar w:fldCharType="begin"/>
            </w:r>
            <w:r>
              <w:rPr>
                <w:noProof/>
                <w:webHidden/>
              </w:rPr>
              <w:instrText xml:space="preserve"> PAGEREF _Toc170221088 \h </w:instrText>
            </w:r>
            <w:r>
              <w:rPr>
                <w:noProof/>
                <w:webHidden/>
              </w:rPr>
            </w:r>
            <w:r>
              <w:rPr>
                <w:noProof/>
                <w:webHidden/>
              </w:rPr>
              <w:fldChar w:fldCharType="separate"/>
            </w:r>
            <w:r w:rsidR="00193461">
              <w:rPr>
                <w:noProof/>
                <w:webHidden/>
              </w:rPr>
              <w:t>3</w:t>
            </w:r>
            <w:r>
              <w:rPr>
                <w:noProof/>
                <w:webHidden/>
              </w:rPr>
              <w:fldChar w:fldCharType="end"/>
            </w:r>
          </w:hyperlink>
        </w:p>
        <w:p w:rsidR="00F2659F" w:rsidRDefault="00523C99">
          <w:pPr>
            <w:pStyle w:val="TOC1"/>
            <w:tabs>
              <w:tab w:val="right" w:leader="dot" w:pos="9350"/>
            </w:tabs>
            <w:rPr>
              <w:noProof/>
            </w:rPr>
          </w:pPr>
          <w:hyperlink w:anchor="_Toc170221089" w:history="1">
            <w:r w:rsidR="00F2659F" w:rsidRPr="0022720C">
              <w:rPr>
                <w:rStyle w:val="Hyperlink"/>
                <w:noProof/>
              </w:rPr>
              <w:t>Money Market Accounts</w:t>
            </w:r>
            <w:r w:rsidR="00F2659F">
              <w:rPr>
                <w:noProof/>
                <w:webHidden/>
              </w:rPr>
              <w:tab/>
            </w:r>
            <w:r w:rsidR="00F2659F">
              <w:rPr>
                <w:noProof/>
                <w:webHidden/>
              </w:rPr>
              <w:fldChar w:fldCharType="begin"/>
            </w:r>
            <w:r w:rsidR="00F2659F">
              <w:rPr>
                <w:noProof/>
                <w:webHidden/>
              </w:rPr>
              <w:instrText xml:space="preserve"> PAGEREF _Toc170221089 \h </w:instrText>
            </w:r>
            <w:r w:rsidR="00F2659F">
              <w:rPr>
                <w:noProof/>
                <w:webHidden/>
              </w:rPr>
            </w:r>
            <w:r w:rsidR="00F2659F">
              <w:rPr>
                <w:noProof/>
                <w:webHidden/>
              </w:rPr>
              <w:fldChar w:fldCharType="separate"/>
            </w:r>
            <w:r w:rsidR="00193461">
              <w:rPr>
                <w:noProof/>
                <w:webHidden/>
              </w:rPr>
              <w:t>8</w:t>
            </w:r>
            <w:r w:rsidR="00F2659F">
              <w:rPr>
                <w:noProof/>
                <w:webHidden/>
              </w:rPr>
              <w:fldChar w:fldCharType="end"/>
            </w:r>
          </w:hyperlink>
        </w:p>
        <w:p w:rsidR="00F2659F" w:rsidRDefault="00523C99">
          <w:pPr>
            <w:pStyle w:val="TOC1"/>
            <w:tabs>
              <w:tab w:val="right" w:leader="dot" w:pos="9350"/>
            </w:tabs>
            <w:rPr>
              <w:noProof/>
            </w:rPr>
          </w:pPr>
          <w:hyperlink w:anchor="_Toc170221090" w:history="1">
            <w:r w:rsidR="00F2659F" w:rsidRPr="0022720C">
              <w:rPr>
                <w:rStyle w:val="Hyperlink"/>
                <w:noProof/>
              </w:rPr>
              <w:t>Individual Retirement Accounts</w:t>
            </w:r>
            <w:r w:rsidR="00F2659F">
              <w:rPr>
                <w:noProof/>
                <w:webHidden/>
              </w:rPr>
              <w:tab/>
            </w:r>
            <w:r w:rsidR="00F2659F">
              <w:rPr>
                <w:noProof/>
                <w:webHidden/>
              </w:rPr>
              <w:fldChar w:fldCharType="begin"/>
            </w:r>
            <w:r w:rsidR="00F2659F">
              <w:rPr>
                <w:noProof/>
                <w:webHidden/>
              </w:rPr>
              <w:instrText xml:space="preserve"> PAGEREF _Toc170221090 \h </w:instrText>
            </w:r>
            <w:r w:rsidR="00F2659F">
              <w:rPr>
                <w:noProof/>
                <w:webHidden/>
              </w:rPr>
            </w:r>
            <w:r w:rsidR="00F2659F">
              <w:rPr>
                <w:noProof/>
                <w:webHidden/>
              </w:rPr>
              <w:fldChar w:fldCharType="separate"/>
            </w:r>
            <w:r w:rsidR="00193461">
              <w:rPr>
                <w:noProof/>
                <w:webHidden/>
              </w:rPr>
              <w:t>11</w:t>
            </w:r>
            <w:r w:rsidR="00F2659F">
              <w:rPr>
                <w:noProof/>
                <w:webHidden/>
              </w:rPr>
              <w:fldChar w:fldCharType="end"/>
            </w:r>
          </w:hyperlink>
        </w:p>
        <w:p w:rsidR="00F2659F" w:rsidRDefault="00F2659F">
          <w:r>
            <w:rPr>
              <w:b/>
              <w:bCs/>
              <w:noProof/>
            </w:rPr>
            <w:fldChar w:fldCharType="end"/>
          </w:r>
        </w:p>
      </w:sdtContent>
    </w:sdt>
    <w:p w:rsidR="009A2298" w:rsidRDefault="009A2298">
      <w:r>
        <w:br w:type="page"/>
      </w:r>
    </w:p>
    <w:p w:rsidR="009B0DF6" w:rsidRDefault="009A2298" w:rsidP="009A2298">
      <w:pPr>
        <w:pStyle w:val="Heading1"/>
        <w:jc w:val="center"/>
      </w:pPr>
      <w:bookmarkStart w:id="46" w:name="_Toc170221088"/>
      <w:r>
        <w:lastRenderedPageBreak/>
        <w:t>Certificate of Deposit</w:t>
      </w:r>
      <w:bookmarkEnd w:id="46"/>
    </w:p>
    <w:p w:rsidR="009A2298" w:rsidRDefault="009A2298" w:rsidP="009A2298">
      <w:r w:rsidRPr="009A2298">
        <w:t xml:space="preserve">A certificate of deposit (CD) is a type of savings account. It pays a fixed interest rate on money held for an agreed upon period of time. </w:t>
      </w:r>
    </w:p>
    <w:p w:rsidR="009A2298" w:rsidRDefault="009A2298" w:rsidP="009A2298">
      <w:r w:rsidRPr="009A2298">
        <w:t xml:space="preserve">CDs typically differ from savings accounts because the CD has a specific, fixed term before money can be withdrawn without penalty and generally </w:t>
      </w:r>
      <w:r>
        <w:t xml:space="preserve">at </w:t>
      </w:r>
      <w:r w:rsidRPr="009A2298">
        <w:t>higher interest rates. The bank expects the CDs to be held until maturity, at which time they can be withdrawn and interest paid.</w:t>
      </w:r>
    </w:p>
    <w:p w:rsidR="009A2298" w:rsidRDefault="009A2298" w:rsidP="009A2298">
      <w:r w:rsidRPr="009A2298">
        <w:t>CDs have become a more attractive option for savers who want to earn more than most savings, checking, or money market accounts will pay, but without taking on the risk or volatility of the market.</w:t>
      </w:r>
    </w:p>
    <w:p w:rsidR="009A2298" w:rsidRDefault="005901F2" w:rsidP="009A2298">
      <w:pPr>
        <w:rPr>
          <w:b/>
        </w:rPr>
      </w:pPr>
      <w:r w:rsidRPr="005901F2">
        <w:rPr>
          <w:b/>
        </w:rPr>
        <w:t>Types of CDs:</w:t>
      </w:r>
    </w:p>
    <w:p w:rsidR="005901F2" w:rsidRDefault="005901F2" w:rsidP="009A2298">
      <w:pPr>
        <w:rPr>
          <w:b/>
        </w:rPr>
      </w:pPr>
      <w:r>
        <w:rPr>
          <w:b/>
        </w:rPr>
        <w:t>Important Terminologies:</w:t>
      </w:r>
    </w:p>
    <w:p w:rsidR="005901F2" w:rsidRPr="005901F2" w:rsidRDefault="005901F2" w:rsidP="00D02CB8">
      <w:pPr>
        <w:pStyle w:val="ListParagraph"/>
        <w:numPr>
          <w:ilvl w:val="0"/>
          <w:numId w:val="4"/>
        </w:numPr>
        <w:rPr>
          <w:b/>
          <w:bCs/>
        </w:rPr>
      </w:pPr>
      <w:r w:rsidRPr="005901F2">
        <w:rPr>
          <w:b/>
          <w:bCs/>
        </w:rPr>
        <w:t xml:space="preserve">Closure: </w:t>
      </w:r>
      <w:r w:rsidRPr="005901F2">
        <w:rPr>
          <w:bCs/>
        </w:rPr>
        <w:t>R</w:t>
      </w:r>
      <w:r w:rsidRPr="005901F2">
        <w:t xml:space="preserve">efers to the termination of the CD account. This can occur in </w:t>
      </w:r>
      <w:r w:rsidR="00CB504C">
        <w:t>following</w:t>
      </w:r>
      <w:r w:rsidRPr="005901F2">
        <w:t xml:space="preserve"> ways:</w:t>
      </w:r>
    </w:p>
    <w:p w:rsidR="005901F2" w:rsidRPr="005901F2" w:rsidRDefault="005901F2" w:rsidP="00D02CB8">
      <w:pPr>
        <w:numPr>
          <w:ilvl w:val="0"/>
          <w:numId w:val="1"/>
        </w:numPr>
      </w:pPr>
      <w:r w:rsidRPr="005901F2">
        <w:rPr>
          <w:b/>
          <w:bCs/>
        </w:rPr>
        <w:t>Maturity</w:t>
      </w:r>
      <w:r w:rsidRPr="005901F2">
        <w:t>: When the CD reaches its maturity date, the bank will either automatically close the CD and deposit the funds into a specified account or renew the CD for another term, depending on the account agreement.</w:t>
      </w:r>
    </w:p>
    <w:p w:rsidR="005901F2" w:rsidRPr="005901F2" w:rsidRDefault="005901F2" w:rsidP="00D02CB8">
      <w:pPr>
        <w:numPr>
          <w:ilvl w:val="0"/>
          <w:numId w:val="1"/>
        </w:numPr>
      </w:pPr>
      <w:r w:rsidRPr="005901F2">
        <w:rPr>
          <w:b/>
          <w:bCs/>
        </w:rPr>
        <w:t>Early Withdrawal</w:t>
      </w:r>
      <w:r w:rsidRPr="005901F2">
        <w:t>: If a depositor withdraws funds from the CD before its maturity date, the CD will be closed. This often results in an early withdrawal penalty, which can include forfeiture of some or all of the interest earned.</w:t>
      </w:r>
    </w:p>
    <w:p w:rsidR="005901F2" w:rsidRPr="005901F2" w:rsidRDefault="005901F2" w:rsidP="00D02CB8">
      <w:pPr>
        <w:numPr>
          <w:ilvl w:val="0"/>
          <w:numId w:val="1"/>
        </w:numPr>
      </w:pPr>
      <w:r w:rsidRPr="005901F2">
        <w:rPr>
          <w:b/>
          <w:bCs/>
        </w:rPr>
        <w:t>Bank-Initiated Closure</w:t>
      </w:r>
      <w:r w:rsidRPr="005901F2">
        <w:t>: A bank might close a CD account for various reasons, such as compliance with regulatory requirements or changes in the terms and conditions.</w:t>
      </w:r>
    </w:p>
    <w:p w:rsidR="005901F2" w:rsidRPr="005901F2" w:rsidRDefault="005901F2" w:rsidP="00D02CB8">
      <w:pPr>
        <w:pStyle w:val="ListParagraph"/>
        <w:numPr>
          <w:ilvl w:val="0"/>
          <w:numId w:val="4"/>
        </w:numPr>
        <w:rPr>
          <w:b/>
          <w:bCs/>
        </w:rPr>
      </w:pPr>
      <w:r w:rsidRPr="005901F2">
        <w:rPr>
          <w:b/>
          <w:bCs/>
        </w:rPr>
        <w:t>Refinancing</w:t>
      </w:r>
      <w:r>
        <w:rPr>
          <w:b/>
          <w:bCs/>
        </w:rPr>
        <w:t xml:space="preserve">: </w:t>
      </w:r>
      <w:r w:rsidRPr="005901F2">
        <w:t>Refinancing a CD is not a common term in the traditional sense used in loans and mortgages. However, some similar concepts apply:</w:t>
      </w:r>
    </w:p>
    <w:p w:rsidR="005901F2" w:rsidRPr="005901F2" w:rsidRDefault="005901F2" w:rsidP="00D02CB8">
      <w:pPr>
        <w:numPr>
          <w:ilvl w:val="0"/>
          <w:numId w:val="2"/>
        </w:numPr>
      </w:pPr>
      <w:r w:rsidRPr="005901F2">
        <w:rPr>
          <w:b/>
          <w:bCs/>
        </w:rPr>
        <w:t>Renewal at a Better Rate</w:t>
      </w:r>
      <w:r w:rsidRPr="005901F2">
        <w:t>: When a CD matures; the depositor may choose to reinvest the proceeds into a new CD with a better interest rate. This is akin to refinancing in that the depositor is seeking better terms.</w:t>
      </w:r>
    </w:p>
    <w:p w:rsidR="005901F2" w:rsidRPr="005901F2" w:rsidRDefault="005901F2" w:rsidP="00D02CB8">
      <w:pPr>
        <w:numPr>
          <w:ilvl w:val="0"/>
          <w:numId w:val="2"/>
        </w:numPr>
      </w:pPr>
      <w:r w:rsidRPr="005901F2">
        <w:rPr>
          <w:b/>
          <w:bCs/>
        </w:rPr>
        <w:t>CD Ladder Strategy Adjustment</w:t>
      </w:r>
      <w:r w:rsidRPr="005901F2">
        <w:t>: As part of a CD laddering strategy, when one CD matures, it can be "refinanced" or reinvested into a longer-term CD to take advantage of higher rates while maintaining liquidity through the laddering process.</w:t>
      </w:r>
    </w:p>
    <w:p w:rsidR="005901F2" w:rsidRPr="005901F2" w:rsidRDefault="005901F2" w:rsidP="00D02CB8">
      <w:pPr>
        <w:pStyle w:val="ListParagraph"/>
        <w:numPr>
          <w:ilvl w:val="0"/>
          <w:numId w:val="4"/>
        </w:numPr>
      </w:pPr>
      <w:r w:rsidRPr="005901F2">
        <w:rPr>
          <w:b/>
          <w:bCs/>
        </w:rPr>
        <w:t>Ladders:</w:t>
      </w:r>
      <w:r>
        <w:rPr>
          <w:b/>
          <w:bCs/>
        </w:rPr>
        <w:t xml:space="preserve"> </w:t>
      </w:r>
      <w:r>
        <w:t>A</w:t>
      </w:r>
      <w:r w:rsidRPr="005901F2">
        <w:t xml:space="preserve"> ladder is an investment strategy where a depositor invests in multiple CDs with different maturity dates. This strategy provides liquidity, higher average interest rates, and reduced interest rate risk. </w:t>
      </w:r>
    </w:p>
    <w:p w:rsidR="005901F2" w:rsidRPr="005901F2" w:rsidRDefault="005901F2" w:rsidP="00D02CB8">
      <w:pPr>
        <w:numPr>
          <w:ilvl w:val="0"/>
          <w:numId w:val="3"/>
        </w:numPr>
        <w:tabs>
          <w:tab w:val="num" w:pos="720"/>
        </w:tabs>
      </w:pPr>
      <w:r w:rsidRPr="005901F2">
        <w:rPr>
          <w:b/>
          <w:bCs/>
        </w:rPr>
        <w:t>Structure</w:t>
      </w:r>
      <w:r w:rsidRPr="005901F2">
        <w:t>: For example, an investor might divide their total investment into five equal parts and invest in five CDs with maturities of 1, 2, 3, 4, and 5 years.</w:t>
      </w:r>
    </w:p>
    <w:p w:rsidR="005901F2" w:rsidRPr="005901F2" w:rsidRDefault="005901F2" w:rsidP="00D02CB8">
      <w:pPr>
        <w:numPr>
          <w:ilvl w:val="0"/>
          <w:numId w:val="3"/>
        </w:numPr>
        <w:tabs>
          <w:tab w:val="num" w:pos="720"/>
        </w:tabs>
      </w:pPr>
      <w:r w:rsidRPr="005901F2">
        <w:rPr>
          <w:b/>
          <w:bCs/>
        </w:rPr>
        <w:lastRenderedPageBreak/>
        <w:t>Reinvestment</w:t>
      </w:r>
      <w:r w:rsidRPr="005901F2">
        <w:t>: As each CD matures, the funds are reinvested into a new 5-year CD. This way, the investor has a CD maturing every year, ensuring regular access to funds and taking advantage of potentially higher long-term interest rates over time.</w:t>
      </w:r>
    </w:p>
    <w:p w:rsidR="00CB504C" w:rsidRPr="00CB504C" w:rsidRDefault="005901F2" w:rsidP="00D02CB8">
      <w:pPr>
        <w:numPr>
          <w:ilvl w:val="0"/>
          <w:numId w:val="3"/>
        </w:numPr>
        <w:tabs>
          <w:tab w:val="num" w:pos="720"/>
        </w:tabs>
      </w:pPr>
      <w:r w:rsidRPr="005901F2">
        <w:rPr>
          <w:b/>
          <w:bCs/>
        </w:rPr>
        <w:t>Benefits</w:t>
      </w:r>
      <w:r w:rsidRPr="005901F2">
        <w:t>: This approach provides a balance between earning higher long-term interest rates and maintaining access to a portion of the funds at regular intervals.</w:t>
      </w:r>
    </w:p>
    <w:p w:rsidR="00295458" w:rsidRPr="00295458" w:rsidRDefault="00CB504C" w:rsidP="00D02CB8">
      <w:pPr>
        <w:pStyle w:val="ListParagraph"/>
        <w:numPr>
          <w:ilvl w:val="0"/>
          <w:numId w:val="4"/>
        </w:numPr>
      </w:pPr>
      <w:r w:rsidRPr="00295458">
        <w:rPr>
          <w:b/>
        </w:rPr>
        <w:t xml:space="preserve">Yield Curve: </w:t>
      </w:r>
      <w:r w:rsidRPr="00CB504C">
        <w:t>It is a</w:t>
      </w:r>
      <w:r>
        <w:t xml:space="preserve"> graph that plots interest rates of CDs (or other debt instruments) of varying maturities. It helps investors understand the relationship between short-term and long-term interest rates.</w:t>
      </w:r>
      <w:r w:rsidR="00295458">
        <w:t xml:space="preserve"> </w:t>
      </w:r>
      <w:r w:rsidR="00295458" w:rsidRPr="00295458">
        <w:t>Types of yield curves:</w:t>
      </w:r>
    </w:p>
    <w:p w:rsidR="00295458" w:rsidRPr="00295458" w:rsidRDefault="00295458" w:rsidP="00D02CB8">
      <w:pPr>
        <w:pStyle w:val="ListParagraph"/>
        <w:numPr>
          <w:ilvl w:val="1"/>
          <w:numId w:val="4"/>
        </w:numPr>
      </w:pPr>
      <w:r w:rsidRPr="00295458">
        <w:rPr>
          <w:rStyle w:val="Strong"/>
          <w:rFonts w:cstheme="minorHAnsi"/>
        </w:rPr>
        <w:t>Normal Yield Curve</w:t>
      </w:r>
      <w:r w:rsidRPr="00295458">
        <w:t>:</w:t>
      </w:r>
    </w:p>
    <w:p w:rsidR="00295458" w:rsidRPr="00295458" w:rsidRDefault="00295458" w:rsidP="00D02CB8">
      <w:pPr>
        <w:pStyle w:val="ListParagraph"/>
        <w:numPr>
          <w:ilvl w:val="2"/>
          <w:numId w:val="4"/>
        </w:numPr>
      </w:pPr>
      <w:r w:rsidRPr="00295458">
        <w:rPr>
          <w:rStyle w:val="Strong"/>
          <w:rFonts w:cstheme="minorHAnsi"/>
        </w:rPr>
        <w:t>Shape</w:t>
      </w:r>
      <w:r w:rsidRPr="00295458">
        <w:t>: Upward sloping.</w:t>
      </w:r>
    </w:p>
    <w:p w:rsidR="00295458" w:rsidRPr="00295458" w:rsidRDefault="00295458" w:rsidP="00D02CB8">
      <w:pPr>
        <w:pStyle w:val="ListParagraph"/>
        <w:numPr>
          <w:ilvl w:val="2"/>
          <w:numId w:val="4"/>
        </w:numPr>
      </w:pPr>
      <w:r w:rsidRPr="00295458">
        <w:rPr>
          <w:rStyle w:val="Strong"/>
          <w:rFonts w:cstheme="minorHAnsi"/>
        </w:rPr>
        <w:t>Interpretation</w:t>
      </w:r>
      <w:r w:rsidRPr="00295458">
        <w:t>: Longer-term securities have higher yields than shorter-term ones, indicating expectations of economic growth and possibly higher future interest rates.</w:t>
      </w:r>
    </w:p>
    <w:p w:rsidR="00295458" w:rsidRPr="00295458" w:rsidRDefault="00295458" w:rsidP="00D02CB8">
      <w:pPr>
        <w:pStyle w:val="ListParagraph"/>
        <w:numPr>
          <w:ilvl w:val="2"/>
          <w:numId w:val="4"/>
        </w:numPr>
      </w:pPr>
      <w:r w:rsidRPr="00295458">
        <w:rPr>
          <w:rStyle w:val="Strong"/>
          <w:rFonts w:cstheme="minorHAnsi"/>
        </w:rPr>
        <w:t>Example</w:t>
      </w:r>
      <w:r w:rsidRPr="00295458">
        <w:t>: If the yield on a 2-year Treasury is 1%, a 10-year Treasury might yield 2.5%.</w:t>
      </w:r>
    </w:p>
    <w:p w:rsidR="00295458" w:rsidRPr="00295458" w:rsidRDefault="00295458" w:rsidP="00D02CB8">
      <w:pPr>
        <w:pStyle w:val="ListParagraph"/>
        <w:numPr>
          <w:ilvl w:val="1"/>
          <w:numId w:val="4"/>
        </w:numPr>
      </w:pPr>
      <w:r w:rsidRPr="00295458">
        <w:rPr>
          <w:rStyle w:val="Strong"/>
          <w:rFonts w:cstheme="minorHAnsi"/>
        </w:rPr>
        <w:t>Inverted Yield Curve</w:t>
      </w:r>
      <w:r w:rsidRPr="00295458">
        <w:t>:</w:t>
      </w:r>
    </w:p>
    <w:p w:rsidR="00295458" w:rsidRPr="00295458" w:rsidRDefault="00295458" w:rsidP="00D02CB8">
      <w:pPr>
        <w:pStyle w:val="ListParagraph"/>
        <w:numPr>
          <w:ilvl w:val="2"/>
          <w:numId w:val="4"/>
        </w:numPr>
      </w:pPr>
      <w:r w:rsidRPr="00295458">
        <w:rPr>
          <w:rStyle w:val="Strong"/>
          <w:rFonts w:cstheme="minorHAnsi"/>
        </w:rPr>
        <w:t>Shape</w:t>
      </w:r>
      <w:r w:rsidRPr="00295458">
        <w:t>: Downward sloping.</w:t>
      </w:r>
    </w:p>
    <w:p w:rsidR="00295458" w:rsidRPr="00295458" w:rsidRDefault="00295458" w:rsidP="00D02CB8">
      <w:pPr>
        <w:pStyle w:val="ListParagraph"/>
        <w:numPr>
          <w:ilvl w:val="2"/>
          <w:numId w:val="4"/>
        </w:numPr>
      </w:pPr>
      <w:r w:rsidRPr="00295458">
        <w:rPr>
          <w:rStyle w:val="Strong"/>
          <w:rFonts w:cstheme="minorHAnsi"/>
        </w:rPr>
        <w:t>Interpretation</w:t>
      </w:r>
      <w:r w:rsidRPr="00295458">
        <w:t>: Longer-term securities have lower yields than shorter-term ones, suggesting expectations of declining interest rates, often associated with an impending recession.</w:t>
      </w:r>
    </w:p>
    <w:p w:rsidR="00295458" w:rsidRPr="00295458" w:rsidRDefault="00295458" w:rsidP="00D02CB8">
      <w:pPr>
        <w:pStyle w:val="ListParagraph"/>
        <w:numPr>
          <w:ilvl w:val="2"/>
          <w:numId w:val="4"/>
        </w:numPr>
      </w:pPr>
      <w:r w:rsidRPr="00295458">
        <w:rPr>
          <w:rStyle w:val="Strong"/>
          <w:rFonts w:cstheme="minorHAnsi"/>
        </w:rPr>
        <w:t>Example</w:t>
      </w:r>
      <w:r w:rsidRPr="00295458">
        <w:t>: If the yield on a 2-year Treasury is 2%, a 10-year Treasury might yield 1.5%.</w:t>
      </w:r>
    </w:p>
    <w:p w:rsidR="00295458" w:rsidRPr="00295458" w:rsidRDefault="00295458" w:rsidP="00D02CB8">
      <w:pPr>
        <w:pStyle w:val="ListParagraph"/>
        <w:numPr>
          <w:ilvl w:val="1"/>
          <w:numId w:val="4"/>
        </w:numPr>
      </w:pPr>
      <w:r w:rsidRPr="00295458">
        <w:rPr>
          <w:rStyle w:val="Strong"/>
          <w:rFonts w:cstheme="minorHAnsi"/>
        </w:rPr>
        <w:t>Flat Yield Curve</w:t>
      </w:r>
      <w:r w:rsidRPr="00295458">
        <w:t>:</w:t>
      </w:r>
    </w:p>
    <w:p w:rsidR="00295458" w:rsidRPr="00295458" w:rsidRDefault="00295458" w:rsidP="00D02CB8">
      <w:pPr>
        <w:pStyle w:val="ListParagraph"/>
        <w:numPr>
          <w:ilvl w:val="2"/>
          <w:numId w:val="4"/>
        </w:numPr>
      </w:pPr>
      <w:r w:rsidRPr="00295458">
        <w:rPr>
          <w:rStyle w:val="Strong"/>
          <w:rFonts w:cstheme="minorHAnsi"/>
        </w:rPr>
        <w:t>Shape</w:t>
      </w:r>
      <w:r w:rsidRPr="00295458">
        <w:t>: Flat or nearly flat.</w:t>
      </w:r>
    </w:p>
    <w:p w:rsidR="00295458" w:rsidRPr="00295458" w:rsidRDefault="00295458" w:rsidP="00D02CB8">
      <w:pPr>
        <w:pStyle w:val="ListParagraph"/>
        <w:numPr>
          <w:ilvl w:val="2"/>
          <w:numId w:val="4"/>
        </w:numPr>
      </w:pPr>
      <w:r w:rsidRPr="00295458">
        <w:rPr>
          <w:rStyle w:val="Strong"/>
          <w:rFonts w:cstheme="minorHAnsi"/>
        </w:rPr>
        <w:t>Interpretation</w:t>
      </w:r>
      <w:r w:rsidRPr="00295458">
        <w:t>: Little difference in yields between short-term and long-term securities, indicating uncertainty about future economic conditions.</w:t>
      </w:r>
    </w:p>
    <w:p w:rsidR="00295458" w:rsidRPr="00295458" w:rsidRDefault="00295458" w:rsidP="00D02CB8">
      <w:pPr>
        <w:pStyle w:val="ListParagraph"/>
        <w:numPr>
          <w:ilvl w:val="2"/>
          <w:numId w:val="4"/>
        </w:numPr>
      </w:pPr>
      <w:r w:rsidRPr="00295458">
        <w:rPr>
          <w:rStyle w:val="Strong"/>
          <w:rFonts w:cstheme="minorHAnsi"/>
        </w:rPr>
        <w:t>Example</w:t>
      </w:r>
      <w:r w:rsidRPr="00295458">
        <w:t>: The yields on 2-year, 5-year, and 10-year Treasuries are all around 2%.</w:t>
      </w:r>
    </w:p>
    <w:p w:rsidR="00295458" w:rsidRPr="00295458" w:rsidRDefault="00295458" w:rsidP="00D02CB8">
      <w:pPr>
        <w:pStyle w:val="ListParagraph"/>
        <w:numPr>
          <w:ilvl w:val="1"/>
          <w:numId w:val="4"/>
        </w:numPr>
      </w:pPr>
      <w:r w:rsidRPr="00295458">
        <w:rPr>
          <w:rStyle w:val="Strong"/>
          <w:rFonts w:cstheme="minorHAnsi"/>
        </w:rPr>
        <w:t>Humped Yield Curve</w:t>
      </w:r>
      <w:r w:rsidRPr="00295458">
        <w:t>:</w:t>
      </w:r>
    </w:p>
    <w:p w:rsidR="00295458" w:rsidRPr="00295458" w:rsidRDefault="00295458" w:rsidP="00D02CB8">
      <w:pPr>
        <w:pStyle w:val="ListParagraph"/>
        <w:numPr>
          <w:ilvl w:val="2"/>
          <w:numId w:val="4"/>
        </w:numPr>
      </w:pPr>
      <w:r w:rsidRPr="00295458">
        <w:rPr>
          <w:rStyle w:val="Strong"/>
          <w:rFonts w:cstheme="minorHAnsi"/>
        </w:rPr>
        <w:t>Shape</w:t>
      </w:r>
      <w:r w:rsidRPr="00295458">
        <w:t>: Upward sloping at the short end and downward sloping at the long end, creating a hump in the middle.</w:t>
      </w:r>
    </w:p>
    <w:p w:rsidR="00295458" w:rsidRPr="00295458" w:rsidRDefault="00295458" w:rsidP="00D02CB8">
      <w:pPr>
        <w:pStyle w:val="ListParagraph"/>
        <w:numPr>
          <w:ilvl w:val="2"/>
          <w:numId w:val="4"/>
        </w:numPr>
      </w:pPr>
      <w:r w:rsidRPr="00295458">
        <w:rPr>
          <w:rStyle w:val="Strong"/>
          <w:rFonts w:cstheme="minorHAnsi"/>
        </w:rPr>
        <w:t>Interpretation</w:t>
      </w:r>
      <w:r w:rsidRPr="00295458">
        <w:t>: This unusual shape can indicate specific market conditions, such as supply and demand imbalances in the medium term.</w:t>
      </w:r>
    </w:p>
    <w:p w:rsidR="00295458" w:rsidRDefault="00295458" w:rsidP="00D02CB8">
      <w:pPr>
        <w:pStyle w:val="ListParagraph"/>
        <w:numPr>
          <w:ilvl w:val="2"/>
          <w:numId w:val="4"/>
        </w:numPr>
      </w:pPr>
      <w:r w:rsidRPr="00295458">
        <w:rPr>
          <w:rStyle w:val="Strong"/>
          <w:rFonts w:cstheme="minorHAnsi"/>
        </w:rPr>
        <w:t>Example</w:t>
      </w:r>
      <w:r w:rsidRPr="00295458">
        <w:t>: The yield on a 5-year Treasury is higher than both the 2-year and the 10-year Treasuries.</w:t>
      </w:r>
    </w:p>
    <w:p w:rsidR="00295458" w:rsidRPr="00295458" w:rsidRDefault="00295458" w:rsidP="00295458">
      <w:r w:rsidRPr="00295458">
        <w:t>The shape of the yield curve provides insights into future interest rate movements. A steep curve suggests rising rates, while a flat or inverte</w:t>
      </w:r>
      <w:r>
        <w:t>d curve suggests falling rates.</w:t>
      </w:r>
    </w:p>
    <w:p w:rsidR="00295458" w:rsidRPr="00295458" w:rsidRDefault="00295458" w:rsidP="00295458">
      <w:r w:rsidRPr="00295458">
        <w:t>Investors use the yield curve to make decisions about fixed-income investments, balancing risk and return based on maturity and yield expectations.</w:t>
      </w:r>
    </w:p>
    <w:p w:rsidR="00295458" w:rsidRDefault="00295458" w:rsidP="00CB504C">
      <w:pPr>
        <w:rPr>
          <w:b/>
        </w:rPr>
      </w:pPr>
    </w:p>
    <w:p w:rsidR="00295458" w:rsidRDefault="00295458" w:rsidP="00CB504C">
      <w:pPr>
        <w:rPr>
          <w:b/>
        </w:rPr>
      </w:pPr>
    </w:p>
    <w:p w:rsidR="00CB504C" w:rsidRPr="00CB504C" w:rsidRDefault="00CB504C" w:rsidP="00CB504C">
      <w:pPr>
        <w:rPr>
          <w:b/>
        </w:rPr>
      </w:pPr>
      <w:r w:rsidRPr="00CB504C">
        <w:rPr>
          <w:b/>
        </w:rPr>
        <w:lastRenderedPageBreak/>
        <w:t>Types of CDs:</w:t>
      </w:r>
    </w:p>
    <w:tbl>
      <w:tblPr>
        <w:tblStyle w:val="TableGrid"/>
        <w:tblW w:w="9576" w:type="dxa"/>
        <w:tblLook w:val="04A0" w:firstRow="1" w:lastRow="0" w:firstColumn="1" w:lastColumn="0" w:noHBand="0" w:noVBand="1"/>
      </w:tblPr>
      <w:tblGrid>
        <w:gridCol w:w="1325"/>
        <w:gridCol w:w="3595"/>
        <w:gridCol w:w="1586"/>
        <w:gridCol w:w="1044"/>
        <w:gridCol w:w="2026"/>
      </w:tblGrid>
      <w:tr w:rsidR="003B6DA6" w:rsidRPr="00CB504C" w:rsidTr="003B6DA6">
        <w:trPr>
          <w:trHeight w:val="300"/>
        </w:trPr>
        <w:tc>
          <w:tcPr>
            <w:tcW w:w="1325" w:type="dxa"/>
            <w:noWrap/>
            <w:hideMark/>
          </w:tcPr>
          <w:p w:rsidR="00CB504C" w:rsidRPr="00CB504C" w:rsidRDefault="00CB504C" w:rsidP="00CB504C">
            <w:pPr>
              <w:spacing w:after="200" w:line="276" w:lineRule="auto"/>
              <w:rPr>
                <w:b/>
                <w:bCs/>
              </w:rPr>
            </w:pPr>
            <w:r w:rsidRPr="00CB504C">
              <w:rPr>
                <w:b/>
                <w:bCs/>
              </w:rPr>
              <w:t>Type of CD</w:t>
            </w:r>
          </w:p>
        </w:tc>
        <w:tc>
          <w:tcPr>
            <w:tcW w:w="3595" w:type="dxa"/>
            <w:noWrap/>
            <w:hideMark/>
          </w:tcPr>
          <w:p w:rsidR="00CB504C" w:rsidRPr="00CB504C" w:rsidRDefault="00CB504C" w:rsidP="00CB504C">
            <w:pPr>
              <w:spacing w:after="200" w:line="276" w:lineRule="auto"/>
              <w:rPr>
                <w:b/>
                <w:bCs/>
              </w:rPr>
            </w:pPr>
            <w:r w:rsidRPr="00CB504C">
              <w:rPr>
                <w:b/>
                <w:bCs/>
              </w:rPr>
              <w:t>Description</w:t>
            </w:r>
          </w:p>
        </w:tc>
        <w:tc>
          <w:tcPr>
            <w:tcW w:w="1586" w:type="dxa"/>
            <w:noWrap/>
            <w:hideMark/>
          </w:tcPr>
          <w:p w:rsidR="00CB504C" w:rsidRPr="00CB504C" w:rsidRDefault="00CB504C" w:rsidP="00CB504C">
            <w:pPr>
              <w:spacing w:after="200" w:line="276" w:lineRule="auto"/>
              <w:rPr>
                <w:b/>
                <w:bCs/>
              </w:rPr>
            </w:pPr>
            <w:r w:rsidRPr="00CB504C">
              <w:rPr>
                <w:b/>
                <w:bCs/>
              </w:rPr>
              <w:t>Interest Rate</w:t>
            </w:r>
          </w:p>
        </w:tc>
        <w:tc>
          <w:tcPr>
            <w:tcW w:w="1044" w:type="dxa"/>
            <w:noWrap/>
            <w:hideMark/>
          </w:tcPr>
          <w:p w:rsidR="00CB504C" w:rsidRPr="00CB504C" w:rsidRDefault="00CB504C" w:rsidP="00CB504C">
            <w:pPr>
              <w:spacing w:after="200" w:line="276" w:lineRule="auto"/>
              <w:rPr>
                <w:b/>
                <w:bCs/>
              </w:rPr>
            </w:pPr>
            <w:r w:rsidRPr="00CB504C">
              <w:rPr>
                <w:b/>
                <w:bCs/>
              </w:rPr>
              <w:t>Term Lengths</w:t>
            </w:r>
          </w:p>
        </w:tc>
        <w:tc>
          <w:tcPr>
            <w:tcW w:w="2026" w:type="dxa"/>
            <w:noWrap/>
            <w:hideMark/>
          </w:tcPr>
          <w:p w:rsidR="00CB504C" w:rsidRPr="00CB504C" w:rsidRDefault="00CB504C" w:rsidP="00CB504C">
            <w:pPr>
              <w:spacing w:after="200" w:line="276" w:lineRule="auto"/>
              <w:rPr>
                <w:b/>
                <w:bCs/>
              </w:rPr>
            </w:pPr>
            <w:r w:rsidRPr="00CB504C">
              <w:rPr>
                <w:b/>
                <w:bCs/>
              </w:rPr>
              <w:t>Early Withdrawal Penalty</w:t>
            </w:r>
          </w:p>
        </w:tc>
      </w:tr>
      <w:tr w:rsidR="003B6DA6" w:rsidRPr="00CB504C" w:rsidTr="003B6DA6">
        <w:trPr>
          <w:trHeight w:val="300"/>
        </w:trPr>
        <w:tc>
          <w:tcPr>
            <w:tcW w:w="1325" w:type="dxa"/>
            <w:noWrap/>
            <w:hideMark/>
          </w:tcPr>
          <w:p w:rsidR="00CB504C" w:rsidRPr="00CB504C" w:rsidRDefault="00CB504C" w:rsidP="00CB504C">
            <w:pPr>
              <w:spacing w:after="200" w:line="276" w:lineRule="auto"/>
            </w:pPr>
            <w:r w:rsidRPr="00CB504C">
              <w:t>Traditional CD</w:t>
            </w:r>
          </w:p>
        </w:tc>
        <w:tc>
          <w:tcPr>
            <w:tcW w:w="3595" w:type="dxa"/>
            <w:noWrap/>
            <w:hideMark/>
          </w:tcPr>
          <w:p w:rsidR="00CB504C" w:rsidRPr="00CB504C" w:rsidRDefault="00CB504C" w:rsidP="00CB504C">
            <w:pPr>
              <w:spacing w:after="200" w:line="276" w:lineRule="auto"/>
            </w:pPr>
            <w:r w:rsidRPr="00CB504C">
              <w:t>Fixed-term deposit with a fixed interest rate.</w:t>
            </w:r>
          </w:p>
        </w:tc>
        <w:tc>
          <w:tcPr>
            <w:tcW w:w="1586" w:type="dxa"/>
            <w:noWrap/>
            <w:hideMark/>
          </w:tcPr>
          <w:p w:rsidR="00CB504C" w:rsidRPr="00CB504C" w:rsidRDefault="00CB504C" w:rsidP="00CB504C">
            <w:pPr>
              <w:spacing w:after="200" w:line="276" w:lineRule="auto"/>
            </w:pPr>
            <w:r w:rsidRPr="00CB504C">
              <w:t>Fixed</w:t>
            </w:r>
          </w:p>
        </w:tc>
        <w:tc>
          <w:tcPr>
            <w:tcW w:w="1044" w:type="dxa"/>
            <w:noWrap/>
            <w:hideMark/>
          </w:tcPr>
          <w:p w:rsidR="00CB504C" w:rsidRPr="00CB504C" w:rsidRDefault="00CB504C" w:rsidP="00CB504C">
            <w:pPr>
              <w:spacing w:after="200" w:line="276" w:lineRule="auto"/>
            </w:pPr>
            <w:r w:rsidRPr="00CB504C">
              <w:t>A few months to several years</w:t>
            </w:r>
          </w:p>
        </w:tc>
        <w:tc>
          <w:tcPr>
            <w:tcW w:w="2026" w:type="dxa"/>
            <w:noWrap/>
            <w:hideMark/>
          </w:tcPr>
          <w:p w:rsidR="00CB504C" w:rsidRPr="00CB504C" w:rsidRDefault="00CB504C" w:rsidP="00CB504C">
            <w:pPr>
              <w:spacing w:after="200" w:line="276" w:lineRule="auto"/>
            </w:pPr>
            <w:r w:rsidRPr="00CB504C">
              <w:t>Yes</w:t>
            </w:r>
          </w:p>
        </w:tc>
      </w:tr>
      <w:tr w:rsidR="003B6DA6" w:rsidRPr="00CB504C" w:rsidTr="003B6DA6">
        <w:trPr>
          <w:trHeight w:val="300"/>
        </w:trPr>
        <w:tc>
          <w:tcPr>
            <w:tcW w:w="1325" w:type="dxa"/>
            <w:noWrap/>
            <w:hideMark/>
          </w:tcPr>
          <w:p w:rsidR="00CB504C" w:rsidRPr="00CB504C" w:rsidRDefault="00CB504C" w:rsidP="00CB504C">
            <w:pPr>
              <w:spacing w:after="200" w:line="276" w:lineRule="auto"/>
            </w:pPr>
            <w:r w:rsidRPr="00CB504C">
              <w:t>Jumbo CD</w:t>
            </w:r>
          </w:p>
        </w:tc>
        <w:tc>
          <w:tcPr>
            <w:tcW w:w="3595" w:type="dxa"/>
            <w:noWrap/>
            <w:hideMark/>
          </w:tcPr>
          <w:p w:rsidR="00CB504C" w:rsidRPr="00CB504C" w:rsidRDefault="00CB504C" w:rsidP="00CB504C">
            <w:pPr>
              <w:spacing w:after="200" w:line="276" w:lineRule="auto"/>
            </w:pPr>
            <w:r w:rsidRPr="00CB504C">
              <w:t>CD with a large minimum deposit requirement, usually $100,000 or more.</w:t>
            </w:r>
          </w:p>
        </w:tc>
        <w:tc>
          <w:tcPr>
            <w:tcW w:w="1586" w:type="dxa"/>
            <w:noWrap/>
            <w:hideMark/>
          </w:tcPr>
          <w:p w:rsidR="00CB504C" w:rsidRPr="00CB504C" w:rsidRDefault="00CB504C" w:rsidP="00CB504C">
            <w:pPr>
              <w:spacing w:after="200" w:line="276" w:lineRule="auto"/>
            </w:pPr>
            <w:r w:rsidRPr="00CB504C">
              <w:t>Typically higher than traditional CDs</w:t>
            </w:r>
          </w:p>
        </w:tc>
        <w:tc>
          <w:tcPr>
            <w:tcW w:w="1044" w:type="dxa"/>
            <w:noWrap/>
            <w:hideMark/>
          </w:tcPr>
          <w:p w:rsidR="00CB504C" w:rsidRPr="00CB504C" w:rsidRDefault="00CB504C" w:rsidP="00CB504C">
            <w:pPr>
              <w:spacing w:after="200" w:line="276" w:lineRule="auto"/>
            </w:pPr>
            <w:r w:rsidRPr="00CB504C">
              <w:t>Varies</w:t>
            </w:r>
          </w:p>
        </w:tc>
        <w:tc>
          <w:tcPr>
            <w:tcW w:w="2026" w:type="dxa"/>
            <w:noWrap/>
            <w:hideMark/>
          </w:tcPr>
          <w:p w:rsidR="00CB504C" w:rsidRPr="00CB504C" w:rsidRDefault="00CB504C" w:rsidP="00CB504C">
            <w:pPr>
              <w:spacing w:after="200" w:line="276" w:lineRule="auto"/>
            </w:pPr>
            <w:r w:rsidRPr="00CB504C">
              <w:t>Yes</w:t>
            </w:r>
          </w:p>
        </w:tc>
      </w:tr>
      <w:tr w:rsidR="003B6DA6" w:rsidRPr="00CB504C" w:rsidTr="003B6DA6">
        <w:trPr>
          <w:trHeight w:val="300"/>
        </w:trPr>
        <w:tc>
          <w:tcPr>
            <w:tcW w:w="1325" w:type="dxa"/>
            <w:noWrap/>
            <w:hideMark/>
          </w:tcPr>
          <w:p w:rsidR="00CB504C" w:rsidRPr="00CB504C" w:rsidRDefault="00CB504C" w:rsidP="00CB504C">
            <w:pPr>
              <w:spacing w:after="200" w:line="276" w:lineRule="auto"/>
            </w:pPr>
            <w:r w:rsidRPr="00CB504C">
              <w:t>Bump-Up CD</w:t>
            </w:r>
          </w:p>
        </w:tc>
        <w:tc>
          <w:tcPr>
            <w:tcW w:w="3595" w:type="dxa"/>
            <w:noWrap/>
            <w:hideMark/>
          </w:tcPr>
          <w:p w:rsidR="00CB504C" w:rsidRPr="00CB504C" w:rsidRDefault="00CB504C" w:rsidP="00CB504C">
            <w:pPr>
              <w:spacing w:after="200" w:line="276" w:lineRule="auto"/>
            </w:pPr>
            <w:r w:rsidRPr="00CB504C">
              <w:t>Allows depositor to increase the interest rate once or more during the term if rates rise.</w:t>
            </w:r>
          </w:p>
        </w:tc>
        <w:tc>
          <w:tcPr>
            <w:tcW w:w="1586" w:type="dxa"/>
            <w:noWrap/>
            <w:hideMark/>
          </w:tcPr>
          <w:p w:rsidR="00CB504C" w:rsidRPr="00CB504C" w:rsidRDefault="00CB504C" w:rsidP="00CB504C">
            <w:pPr>
              <w:spacing w:after="200" w:line="276" w:lineRule="auto"/>
            </w:pPr>
            <w:r w:rsidRPr="00CB504C">
              <w:t>Starts fixed, can be increased</w:t>
            </w:r>
          </w:p>
        </w:tc>
        <w:tc>
          <w:tcPr>
            <w:tcW w:w="1044" w:type="dxa"/>
            <w:noWrap/>
            <w:hideMark/>
          </w:tcPr>
          <w:p w:rsidR="00CB504C" w:rsidRPr="00CB504C" w:rsidRDefault="00CB504C" w:rsidP="00CB504C">
            <w:pPr>
              <w:spacing w:after="200" w:line="276" w:lineRule="auto"/>
            </w:pPr>
            <w:r w:rsidRPr="00CB504C">
              <w:t>Usually 2-5 years</w:t>
            </w:r>
          </w:p>
        </w:tc>
        <w:tc>
          <w:tcPr>
            <w:tcW w:w="2026" w:type="dxa"/>
            <w:noWrap/>
            <w:hideMark/>
          </w:tcPr>
          <w:p w:rsidR="00CB504C" w:rsidRPr="00CB504C" w:rsidRDefault="00CB504C" w:rsidP="00CB504C">
            <w:pPr>
              <w:spacing w:after="200" w:line="276" w:lineRule="auto"/>
            </w:pPr>
            <w:r w:rsidRPr="00CB504C">
              <w:t>Yes</w:t>
            </w:r>
          </w:p>
        </w:tc>
      </w:tr>
      <w:tr w:rsidR="003B6DA6" w:rsidRPr="00CB504C" w:rsidTr="003B6DA6">
        <w:trPr>
          <w:trHeight w:val="300"/>
        </w:trPr>
        <w:tc>
          <w:tcPr>
            <w:tcW w:w="1325" w:type="dxa"/>
            <w:noWrap/>
            <w:hideMark/>
          </w:tcPr>
          <w:p w:rsidR="00CB504C" w:rsidRPr="00CB504C" w:rsidRDefault="00CB504C" w:rsidP="00CB504C">
            <w:pPr>
              <w:spacing w:after="200" w:line="276" w:lineRule="auto"/>
            </w:pPr>
            <w:r w:rsidRPr="00CB504C">
              <w:t>Step-Up CD</w:t>
            </w:r>
          </w:p>
        </w:tc>
        <w:tc>
          <w:tcPr>
            <w:tcW w:w="3595" w:type="dxa"/>
            <w:noWrap/>
            <w:hideMark/>
          </w:tcPr>
          <w:p w:rsidR="00CB504C" w:rsidRPr="00CB504C" w:rsidRDefault="00CB504C" w:rsidP="00CB504C">
            <w:pPr>
              <w:spacing w:after="200" w:line="276" w:lineRule="auto"/>
            </w:pPr>
            <w:r w:rsidRPr="00CB504C">
              <w:t>Features pre-scheduled increases in the interest rate at specific intervals.</w:t>
            </w:r>
          </w:p>
        </w:tc>
        <w:tc>
          <w:tcPr>
            <w:tcW w:w="1586" w:type="dxa"/>
            <w:noWrap/>
            <w:hideMark/>
          </w:tcPr>
          <w:p w:rsidR="00CB504C" w:rsidRPr="00CB504C" w:rsidRDefault="00CB504C" w:rsidP="00CB504C">
            <w:pPr>
              <w:spacing w:after="200" w:line="276" w:lineRule="auto"/>
            </w:pPr>
            <w:r w:rsidRPr="00CB504C">
              <w:t>Increases at predetermined times</w:t>
            </w:r>
          </w:p>
        </w:tc>
        <w:tc>
          <w:tcPr>
            <w:tcW w:w="1044" w:type="dxa"/>
            <w:noWrap/>
            <w:hideMark/>
          </w:tcPr>
          <w:p w:rsidR="00CB504C" w:rsidRPr="00CB504C" w:rsidRDefault="00CB504C" w:rsidP="00CB504C">
            <w:pPr>
              <w:spacing w:after="200" w:line="276" w:lineRule="auto"/>
            </w:pPr>
            <w:r w:rsidRPr="00CB504C">
              <w:t>Varies, often multi-year</w:t>
            </w:r>
          </w:p>
        </w:tc>
        <w:tc>
          <w:tcPr>
            <w:tcW w:w="2026" w:type="dxa"/>
            <w:noWrap/>
            <w:hideMark/>
          </w:tcPr>
          <w:p w:rsidR="00CB504C" w:rsidRPr="00CB504C" w:rsidRDefault="00CB504C" w:rsidP="00CB504C">
            <w:pPr>
              <w:spacing w:after="200" w:line="276" w:lineRule="auto"/>
            </w:pPr>
            <w:r w:rsidRPr="00CB504C">
              <w:t>Yes</w:t>
            </w:r>
          </w:p>
        </w:tc>
      </w:tr>
      <w:tr w:rsidR="003B6DA6" w:rsidRPr="00CB504C" w:rsidTr="003B6DA6">
        <w:trPr>
          <w:trHeight w:val="300"/>
        </w:trPr>
        <w:tc>
          <w:tcPr>
            <w:tcW w:w="1325" w:type="dxa"/>
            <w:noWrap/>
            <w:hideMark/>
          </w:tcPr>
          <w:p w:rsidR="00CB504C" w:rsidRPr="00CB504C" w:rsidRDefault="00CB504C" w:rsidP="00CB504C">
            <w:pPr>
              <w:spacing w:after="200" w:line="276" w:lineRule="auto"/>
            </w:pPr>
            <w:r w:rsidRPr="00CB504C">
              <w:t>Liquid CD</w:t>
            </w:r>
          </w:p>
        </w:tc>
        <w:tc>
          <w:tcPr>
            <w:tcW w:w="3595" w:type="dxa"/>
            <w:noWrap/>
            <w:hideMark/>
          </w:tcPr>
          <w:p w:rsidR="00CB504C" w:rsidRPr="00CB504C" w:rsidRDefault="00CB504C" w:rsidP="00CB504C">
            <w:pPr>
              <w:spacing w:after="200" w:line="276" w:lineRule="auto"/>
            </w:pPr>
            <w:r w:rsidRPr="00CB504C">
              <w:t>Allows withdrawal of funds before maturity without a penalty under certain conditions.</w:t>
            </w:r>
          </w:p>
        </w:tc>
        <w:tc>
          <w:tcPr>
            <w:tcW w:w="1586" w:type="dxa"/>
            <w:noWrap/>
            <w:hideMark/>
          </w:tcPr>
          <w:p w:rsidR="00CB504C" w:rsidRPr="00CB504C" w:rsidRDefault="00CB504C" w:rsidP="00CB504C">
            <w:pPr>
              <w:spacing w:after="200" w:line="276" w:lineRule="auto"/>
            </w:pPr>
            <w:r w:rsidRPr="00CB504C">
              <w:t>Typically lower than traditional CDs</w:t>
            </w:r>
          </w:p>
        </w:tc>
        <w:tc>
          <w:tcPr>
            <w:tcW w:w="1044" w:type="dxa"/>
            <w:noWrap/>
            <w:hideMark/>
          </w:tcPr>
          <w:p w:rsidR="00CB504C" w:rsidRPr="00CB504C" w:rsidRDefault="00CB504C" w:rsidP="00CB504C">
            <w:pPr>
              <w:spacing w:after="200" w:line="276" w:lineRule="auto"/>
            </w:pPr>
            <w:r w:rsidRPr="00CB504C">
              <w:t>Varies</w:t>
            </w:r>
          </w:p>
        </w:tc>
        <w:tc>
          <w:tcPr>
            <w:tcW w:w="2026" w:type="dxa"/>
            <w:noWrap/>
            <w:hideMark/>
          </w:tcPr>
          <w:p w:rsidR="00CB504C" w:rsidRPr="00CB504C" w:rsidRDefault="00CB504C" w:rsidP="00CB504C">
            <w:pPr>
              <w:spacing w:after="200" w:line="276" w:lineRule="auto"/>
            </w:pPr>
            <w:r w:rsidRPr="00CB504C">
              <w:t>No, under specified conditions</w:t>
            </w:r>
          </w:p>
        </w:tc>
      </w:tr>
      <w:tr w:rsidR="003B6DA6" w:rsidRPr="00CB504C" w:rsidTr="003B6DA6">
        <w:trPr>
          <w:trHeight w:val="300"/>
        </w:trPr>
        <w:tc>
          <w:tcPr>
            <w:tcW w:w="1325" w:type="dxa"/>
            <w:noWrap/>
            <w:hideMark/>
          </w:tcPr>
          <w:p w:rsidR="00CB504C" w:rsidRPr="00CB504C" w:rsidRDefault="00CB504C" w:rsidP="00CB504C">
            <w:pPr>
              <w:spacing w:after="200" w:line="276" w:lineRule="auto"/>
            </w:pPr>
            <w:r w:rsidRPr="00CB504C">
              <w:t>Brokered CD</w:t>
            </w:r>
          </w:p>
        </w:tc>
        <w:tc>
          <w:tcPr>
            <w:tcW w:w="3595" w:type="dxa"/>
            <w:noWrap/>
            <w:hideMark/>
          </w:tcPr>
          <w:p w:rsidR="00CB504C" w:rsidRPr="00CB504C" w:rsidRDefault="00CB504C" w:rsidP="00CB504C">
            <w:pPr>
              <w:spacing w:after="200" w:line="276" w:lineRule="auto"/>
            </w:pPr>
            <w:r w:rsidRPr="00CB504C">
              <w:t>Sold through a brokerage firm rather than directly by a bank.</w:t>
            </w:r>
          </w:p>
        </w:tc>
        <w:tc>
          <w:tcPr>
            <w:tcW w:w="1586" w:type="dxa"/>
            <w:noWrap/>
            <w:hideMark/>
          </w:tcPr>
          <w:p w:rsidR="00CB504C" w:rsidRPr="00CB504C" w:rsidRDefault="00CB504C" w:rsidP="00CB504C">
            <w:pPr>
              <w:spacing w:after="200" w:line="276" w:lineRule="auto"/>
            </w:pPr>
            <w:r w:rsidRPr="00CB504C">
              <w:t>Can vary widely, often competitive</w:t>
            </w:r>
          </w:p>
        </w:tc>
        <w:tc>
          <w:tcPr>
            <w:tcW w:w="1044" w:type="dxa"/>
            <w:noWrap/>
            <w:hideMark/>
          </w:tcPr>
          <w:p w:rsidR="00CB504C" w:rsidRPr="00CB504C" w:rsidRDefault="00CB504C" w:rsidP="00CB504C">
            <w:pPr>
              <w:spacing w:after="200" w:line="276" w:lineRule="auto"/>
            </w:pPr>
            <w:r w:rsidRPr="00CB504C">
              <w:t>Varies</w:t>
            </w:r>
          </w:p>
        </w:tc>
        <w:tc>
          <w:tcPr>
            <w:tcW w:w="2026" w:type="dxa"/>
            <w:noWrap/>
            <w:hideMark/>
          </w:tcPr>
          <w:p w:rsidR="00CB504C" w:rsidRPr="00CB504C" w:rsidRDefault="00CB504C" w:rsidP="00CB504C">
            <w:pPr>
              <w:spacing w:after="200" w:line="276" w:lineRule="auto"/>
            </w:pPr>
            <w:r w:rsidRPr="00CB504C">
              <w:t>Usually no early withdrawal; must sell on secondary market</w:t>
            </w:r>
          </w:p>
        </w:tc>
      </w:tr>
      <w:tr w:rsidR="003B6DA6" w:rsidRPr="00CB504C" w:rsidTr="003B6DA6">
        <w:trPr>
          <w:trHeight w:val="300"/>
        </w:trPr>
        <w:tc>
          <w:tcPr>
            <w:tcW w:w="1325" w:type="dxa"/>
            <w:noWrap/>
            <w:hideMark/>
          </w:tcPr>
          <w:p w:rsidR="00CB504C" w:rsidRPr="00CB504C" w:rsidRDefault="00CB504C" w:rsidP="00CB504C">
            <w:pPr>
              <w:spacing w:after="200" w:line="276" w:lineRule="auto"/>
            </w:pPr>
            <w:r w:rsidRPr="00CB504C">
              <w:t>Callable CD</w:t>
            </w:r>
          </w:p>
        </w:tc>
        <w:tc>
          <w:tcPr>
            <w:tcW w:w="3595" w:type="dxa"/>
            <w:noWrap/>
            <w:hideMark/>
          </w:tcPr>
          <w:p w:rsidR="00CB504C" w:rsidRPr="00CB504C" w:rsidRDefault="00CB504C" w:rsidP="00CB504C">
            <w:pPr>
              <w:spacing w:after="200" w:line="276" w:lineRule="auto"/>
            </w:pPr>
            <w:r w:rsidRPr="00CB504C">
              <w:t>Can be redeemed by the bank before the maturity date under specified conditions.</w:t>
            </w:r>
          </w:p>
        </w:tc>
        <w:tc>
          <w:tcPr>
            <w:tcW w:w="1586" w:type="dxa"/>
            <w:noWrap/>
            <w:hideMark/>
          </w:tcPr>
          <w:p w:rsidR="00CB504C" w:rsidRPr="00CB504C" w:rsidRDefault="00CB504C" w:rsidP="00CB504C">
            <w:pPr>
              <w:spacing w:after="200" w:line="276" w:lineRule="auto"/>
            </w:pPr>
            <w:r w:rsidRPr="00CB504C">
              <w:t>Typically higher to compensate for call risk</w:t>
            </w:r>
          </w:p>
        </w:tc>
        <w:tc>
          <w:tcPr>
            <w:tcW w:w="1044" w:type="dxa"/>
            <w:noWrap/>
            <w:hideMark/>
          </w:tcPr>
          <w:p w:rsidR="00CB504C" w:rsidRPr="00CB504C" w:rsidRDefault="00CB504C" w:rsidP="00CB504C">
            <w:pPr>
              <w:spacing w:after="200" w:line="276" w:lineRule="auto"/>
            </w:pPr>
            <w:r w:rsidRPr="00CB504C">
              <w:t>Varies</w:t>
            </w:r>
          </w:p>
        </w:tc>
        <w:tc>
          <w:tcPr>
            <w:tcW w:w="2026" w:type="dxa"/>
            <w:noWrap/>
            <w:hideMark/>
          </w:tcPr>
          <w:p w:rsidR="00CB504C" w:rsidRPr="00CB504C" w:rsidRDefault="00CB504C" w:rsidP="00CB504C">
            <w:pPr>
              <w:spacing w:after="200" w:line="276" w:lineRule="auto"/>
            </w:pPr>
            <w:r w:rsidRPr="00CB504C">
              <w:t>Yes, if withdrawn by the depositor</w:t>
            </w:r>
          </w:p>
        </w:tc>
      </w:tr>
      <w:tr w:rsidR="003B6DA6" w:rsidRPr="00CB504C" w:rsidTr="003B6DA6">
        <w:trPr>
          <w:trHeight w:val="300"/>
        </w:trPr>
        <w:tc>
          <w:tcPr>
            <w:tcW w:w="1325" w:type="dxa"/>
            <w:noWrap/>
            <w:hideMark/>
          </w:tcPr>
          <w:p w:rsidR="00CB504C" w:rsidRPr="00CB504C" w:rsidRDefault="00CB504C" w:rsidP="00CB504C">
            <w:pPr>
              <w:spacing w:after="200" w:line="276" w:lineRule="auto"/>
            </w:pPr>
            <w:r w:rsidRPr="00CB504C">
              <w:t>High-Yield CD</w:t>
            </w:r>
          </w:p>
        </w:tc>
        <w:tc>
          <w:tcPr>
            <w:tcW w:w="3595" w:type="dxa"/>
            <w:noWrap/>
            <w:hideMark/>
          </w:tcPr>
          <w:p w:rsidR="00CB504C" w:rsidRPr="00CB504C" w:rsidRDefault="00CB504C" w:rsidP="00CB504C">
            <w:pPr>
              <w:spacing w:after="200" w:line="276" w:lineRule="auto"/>
            </w:pPr>
            <w:r w:rsidRPr="00CB504C">
              <w:t>Offers higher interest rates than standard CDs, often through online banks.</w:t>
            </w:r>
          </w:p>
        </w:tc>
        <w:tc>
          <w:tcPr>
            <w:tcW w:w="1586" w:type="dxa"/>
            <w:noWrap/>
            <w:hideMark/>
          </w:tcPr>
          <w:p w:rsidR="00CB504C" w:rsidRPr="00CB504C" w:rsidRDefault="00CB504C" w:rsidP="00CB504C">
            <w:pPr>
              <w:spacing w:after="200" w:line="276" w:lineRule="auto"/>
            </w:pPr>
            <w:r w:rsidRPr="00CB504C">
              <w:t>Higher than traditional CDs</w:t>
            </w:r>
          </w:p>
        </w:tc>
        <w:tc>
          <w:tcPr>
            <w:tcW w:w="1044" w:type="dxa"/>
            <w:noWrap/>
            <w:hideMark/>
          </w:tcPr>
          <w:p w:rsidR="00CB504C" w:rsidRPr="00CB504C" w:rsidRDefault="00CB504C" w:rsidP="00CB504C">
            <w:pPr>
              <w:spacing w:after="200" w:line="276" w:lineRule="auto"/>
            </w:pPr>
            <w:r w:rsidRPr="00CB504C">
              <w:t>Varies</w:t>
            </w:r>
          </w:p>
        </w:tc>
        <w:tc>
          <w:tcPr>
            <w:tcW w:w="2026" w:type="dxa"/>
            <w:noWrap/>
            <w:hideMark/>
          </w:tcPr>
          <w:p w:rsidR="00CB504C" w:rsidRPr="00CB504C" w:rsidRDefault="00CB504C" w:rsidP="00CB504C">
            <w:pPr>
              <w:spacing w:after="200" w:line="276" w:lineRule="auto"/>
            </w:pPr>
            <w:r w:rsidRPr="00CB504C">
              <w:t>Yes</w:t>
            </w:r>
          </w:p>
        </w:tc>
      </w:tr>
    </w:tbl>
    <w:p w:rsidR="00CB504C" w:rsidRDefault="00CB504C" w:rsidP="00CB504C"/>
    <w:p w:rsidR="00B76AAF" w:rsidRDefault="00B76AAF" w:rsidP="00CB504C"/>
    <w:p w:rsidR="00B76AAF" w:rsidRPr="000A552C" w:rsidRDefault="00B76AAF" w:rsidP="00CB504C">
      <w:pPr>
        <w:rPr>
          <w:b/>
        </w:rPr>
      </w:pPr>
      <w:r w:rsidRPr="000A552C">
        <w:rPr>
          <w:b/>
        </w:rPr>
        <w:lastRenderedPageBreak/>
        <w:t>Advantages and Disadvantages:</w:t>
      </w:r>
    </w:p>
    <w:tbl>
      <w:tblPr>
        <w:tblStyle w:val="TableGrid"/>
        <w:tblW w:w="9390" w:type="dxa"/>
        <w:tblLook w:val="04A0" w:firstRow="1" w:lastRow="0" w:firstColumn="1" w:lastColumn="0" w:noHBand="0" w:noVBand="1"/>
      </w:tblPr>
      <w:tblGrid>
        <w:gridCol w:w="4091"/>
        <w:gridCol w:w="5299"/>
      </w:tblGrid>
      <w:tr w:rsidR="00B76AAF" w:rsidRPr="00B76AAF" w:rsidTr="000A552C">
        <w:trPr>
          <w:trHeight w:val="432"/>
        </w:trPr>
        <w:tc>
          <w:tcPr>
            <w:tcW w:w="4091" w:type="dxa"/>
            <w:noWrap/>
            <w:vAlign w:val="center"/>
            <w:hideMark/>
          </w:tcPr>
          <w:p w:rsidR="00B76AAF" w:rsidRPr="00B76AAF" w:rsidRDefault="00B76AAF" w:rsidP="00B76AAF">
            <w:pPr>
              <w:spacing w:after="200" w:line="276" w:lineRule="auto"/>
              <w:jc w:val="center"/>
              <w:rPr>
                <w:b/>
                <w:bCs/>
              </w:rPr>
            </w:pPr>
            <w:r w:rsidRPr="00B76AAF">
              <w:rPr>
                <w:b/>
                <w:bCs/>
              </w:rPr>
              <w:t>Pros</w:t>
            </w:r>
          </w:p>
        </w:tc>
        <w:tc>
          <w:tcPr>
            <w:tcW w:w="5299" w:type="dxa"/>
            <w:noWrap/>
            <w:vAlign w:val="center"/>
            <w:hideMark/>
          </w:tcPr>
          <w:p w:rsidR="00B76AAF" w:rsidRPr="00B76AAF" w:rsidRDefault="00B76AAF" w:rsidP="00B76AAF">
            <w:pPr>
              <w:spacing w:after="200" w:line="276" w:lineRule="auto"/>
              <w:jc w:val="center"/>
              <w:rPr>
                <w:b/>
                <w:bCs/>
              </w:rPr>
            </w:pPr>
            <w:r w:rsidRPr="00B76AAF">
              <w:rPr>
                <w:b/>
                <w:bCs/>
              </w:rPr>
              <w:t>Cons</w:t>
            </w:r>
          </w:p>
        </w:tc>
      </w:tr>
      <w:tr w:rsidR="00B76AAF" w:rsidRPr="00B76AAF" w:rsidTr="00B76AAF">
        <w:trPr>
          <w:trHeight w:val="300"/>
        </w:trPr>
        <w:tc>
          <w:tcPr>
            <w:tcW w:w="4091" w:type="dxa"/>
            <w:noWrap/>
          </w:tcPr>
          <w:p w:rsidR="00B76AAF" w:rsidRPr="00B76AAF" w:rsidRDefault="00B76AAF" w:rsidP="00D02CB8">
            <w:pPr>
              <w:numPr>
                <w:ilvl w:val="0"/>
                <w:numId w:val="9"/>
              </w:numPr>
              <w:spacing w:after="200" w:line="276" w:lineRule="auto"/>
            </w:pPr>
            <w:r w:rsidRPr="00B76AAF">
              <w:t>Rates are typically higher than savings or money market accounts</w:t>
            </w:r>
          </w:p>
          <w:p w:rsidR="00B76AAF" w:rsidRPr="00B76AAF" w:rsidRDefault="00B76AAF" w:rsidP="00D02CB8">
            <w:pPr>
              <w:numPr>
                <w:ilvl w:val="0"/>
                <w:numId w:val="9"/>
              </w:numPr>
              <w:spacing w:after="200" w:line="276" w:lineRule="auto"/>
            </w:pPr>
            <w:r w:rsidRPr="00B76AAF">
              <w:t>Guaranteed, predictable rate of return is less risky than volatile stocks and bonds</w:t>
            </w:r>
          </w:p>
          <w:p w:rsidR="00B76AAF" w:rsidRPr="00B76AAF" w:rsidRDefault="00B76AAF" w:rsidP="00D02CB8">
            <w:pPr>
              <w:numPr>
                <w:ilvl w:val="0"/>
                <w:numId w:val="9"/>
              </w:numPr>
              <w:spacing w:after="200" w:line="276" w:lineRule="auto"/>
            </w:pPr>
            <w:r w:rsidRPr="00B76AAF">
              <w:t>Federally insured if opened with an FDIC- or NCUA-insured bank or credit union</w:t>
            </w:r>
          </w:p>
          <w:p w:rsidR="00B76AAF" w:rsidRPr="00B76AAF" w:rsidRDefault="00B76AAF" w:rsidP="00D02CB8">
            <w:pPr>
              <w:numPr>
                <w:ilvl w:val="0"/>
                <w:numId w:val="9"/>
              </w:numPr>
              <w:spacing w:after="200" w:line="276" w:lineRule="auto"/>
            </w:pPr>
            <w:r w:rsidRPr="00B76AAF">
              <w:t>Can help you avoid spending temptations since withdrawing funds early triggers a penalty</w:t>
            </w:r>
          </w:p>
        </w:tc>
        <w:tc>
          <w:tcPr>
            <w:tcW w:w="5299" w:type="dxa"/>
            <w:noWrap/>
          </w:tcPr>
          <w:p w:rsidR="00B76AAF" w:rsidRPr="00B76AAF" w:rsidRDefault="00B76AAF" w:rsidP="00D02CB8">
            <w:pPr>
              <w:numPr>
                <w:ilvl w:val="0"/>
                <w:numId w:val="10"/>
              </w:numPr>
              <w:spacing w:after="200" w:line="276" w:lineRule="auto"/>
            </w:pPr>
            <w:r w:rsidRPr="00B76AAF">
              <w:t>Penalties for withdrawing funds early</w:t>
            </w:r>
          </w:p>
          <w:p w:rsidR="00B76AAF" w:rsidRPr="00B76AAF" w:rsidRDefault="00B76AAF" w:rsidP="00D02CB8">
            <w:pPr>
              <w:numPr>
                <w:ilvl w:val="0"/>
                <w:numId w:val="10"/>
              </w:numPr>
              <w:spacing w:after="200" w:line="276" w:lineRule="auto"/>
            </w:pPr>
            <w:r w:rsidRPr="00B76AAF">
              <w:t>Typically earns less than stocks and bonds over time</w:t>
            </w:r>
          </w:p>
          <w:p w:rsidR="00B76AAF" w:rsidRPr="00B76AAF" w:rsidRDefault="00B76AAF" w:rsidP="00D02CB8">
            <w:pPr>
              <w:numPr>
                <w:ilvl w:val="0"/>
                <w:numId w:val="10"/>
              </w:numPr>
              <w:spacing w:after="200" w:line="276" w:lineRule="auto"/>
            </w:pPr>
            <w:r w:rsidRPr="00B76AAF">
              <w:t>Fixed rate could cost you if interest rates rise during the term</w:t>
            </w:r>
          </w:p>
          <w:p w:rsidR="00B76AAF" w:rsidRPr="00B76AAF" w:rsidRDefault="00B76AAF" w:rsidP="00D02CB8">
            <w:pPr>
              <w:numPr>
                <w:ilvl w:val="0"/>
                <w:numId w:val="10"/>
              </w:numPr>
              <w:spacing w:after="200" w:line="276" w:lineRule="auto"/>
            </w:pPr>
            <w:r w:rsidRPr="00B76AAF">
              <w:t>Inflation can eat away at the value of money locked in at a fixed rate</w:t>
            </w:r>
          </w:p>
          <w:p w:rsidR="00B76AAF" w:rsidRPr="00B76AAF" w:rsidRDefault="00B76AAF" w:rsidP="00B76AAF">
            <w:pPr>
              <w:spacing w:after="200" w:line="276" w:lineRule="auto"/>
            </w:pPr>
          </w:p>
        </w:tc>
      </w:tr>
    </w:tbl>
    <w:p w:rsidR="003B6DA6" w:rsidRDefault="003B6DA6" w:rsidP="00CB504C"/>
    <w:p w:rsidR="000A552C" w:rsidRDefault="000A552C" w:rsidP="00CB504C">
      <w:pPr>
        <w:rPr>
          <w:b/>
        </w:rPr>
      </w:pPr>
    </w:p>
    <w:p w:rsidR="003B6DA6" w:rsidRPr="003B6DA6" w:rsidRDefault="003B6DA6" w:rsidP="00CB504C">
      <w:pPr>
        <w:rPr>
          <w:b/>
        </w:rPr>
      </w:pPr>
      <w:proofErr w:type="gramStart"/>
      <w:r w:rsidRPr="003B6DA6">
        <w:rPr>
          <w:b/>
        </w:rPr>
        <w:t xml:space="preserve">Best </w:t>
      </w:r>
      <w:r w:rsidRPr="003B6DA6">
        <w:rPr>
          <w:b/>
          <w:bCs/>
        </w:rPr>
        <w:t> CD</w:t>
      </w:r>
      <w:proofErr w:type="gramEnd"/>
      <w:r w:rsidRPr="003B6DA6">
        <w:rPr>
          <w:b/>
          <w:bCs/>
        </w:rPr>
        <w:t xml:space="preserve"> rates for June 2024 by Fortune:</w:t>
      </w:r>
    </w:p>
    <w:tbl>
      <w:tblPr>
        <w:tblStyle w:val="TableGrid"/>
        <w:tblW w:w="9565" w:type="dxa"/>
        <w:tblLook w:val="04A0" w:firstRow="1" w:lastRow="0" w:firstColumn="1" w:lastColumn="0" w:noHBand="0" w:noVBand="1"/>
      </w:tblPr>
      <w:tblGrid>
        <w:gridCol w:w="3601"/>
        <w:gridCol w:w="1104"/>
        <w:gridCol w:w="1683"/>
        <w:gridCol w:w="3177"/>
      </w:tblGrid>
      <w:tr w:rsidR="003B6DA6" w:rsidRPr="00295458" w:rsidTr="003B6DA6">
        <w:trPr>
          <w:trHeight w:val="492"/>
        </w:trPr>
        <w:tc>
          <w:tcPr>
            <w:tcW w:w="3601" w:type="dxa"/>
            <w:hideMark/>
          </w:tcPr>
          <w:p w:rsidR="00295458" w:rsidRPr="00295458" w:rsidRDefault="00295458" w:rsidP="00295458">
            <w:pPr>
              <w:spacing w:before="150"/>
              <w:jc w:val="center"/>
              <w:rPr>
                <w:rFonts w:eastAsia="Times New Roman" w:cstheme="minorHAnsi"/>
                <w:b/>
                <w:bCs/>
              </w:rPr>
            </w:pPr>
            <w:r w:rsidRPr="003B6DA6">
              <w:rPr>
                <w:rFonts w:eastAsia="Times New Roman" w:cstheme="minorHAnsi"/>
                <w:b/>
                <w:bCs/>
              </w:rPr>
              <w:t>Institution name</w:t>
            </w:r>
          </w:p>
        </w:tc>
        <w:tc>
          <w:tcPr>
            <w:tcW w:w="1104" w:type="dxa"/>
            <w:hideMark/>
          </w:tcPr>
          <w:p w:rsidR="00295458" w:rsidRPr="00295458" w:rsidRDefault="00295458" w:rsidP="00295458">
            <w:pPr>
              <w:spacing w:before="150"/>
              <w:jc w:val="center"/>
              <w:rPr>
                <w:rFonts w:eastAsia="Times New Roman" w:cstheme="minorHAnsi"/>
                <w:b/>
                <w:bCs/>
              </w:rPr>
            </w:pPr>
            <w:r w:rsidRPr="003B6DA6">
              <w:rPr>
                <w:rFonts w:eastAsia="Times New Roman" w:cstheme="minorHAnsi"/>
                <w:b/>
                <w:bCs/>
              </w:rPr>
              <w:t>APY</w:t>
            </w:r>
          </w:p>
        </w:tc>
        <w:tc>
          <w:tcPr>
            <w:tcW w:w="1683" w:type="dxa"/>
            <w:hideMark/>
          </w:tcPr>
          <w:p w:rsidR="00295458" w:rsidRPr="00295458" w:rsidRDefault="00295458" w:rsidP="00295458">
            <w:pPr>
              <w:spacing w:before="150"/>
              <w:jc w:val="center"/>
              <w:rPr>
                <w:rFonts w:eastAsia="Times New Roman" w:cstheme="minorHAnsi"/>
                <w:b/>
                <w:bCs/>
              </w:rPr>
            </w:pPr>
            <w:r w:rsidRPr="003B6DA6">
              <w:rPr>
                <w:rFonts w:eastAsia="Times New Roman" w:cstheme="minorHAnsi"/>
                <w:b/>
                <w:bCs/>
              </w:rPr>
              <w:t>Term length</w:t>
            </w:r>
          </w:p>
        </w:tc>
        <w:tc>
          <w:tcPr>
            <w:tcW w:w="3177" w:type="dxa"/>
            <w:hideMark/>
          </w:tcPr>
          <w:p w:rsidR="00295458" w:rsidRPr="00295458" w:rsidRDefault="00295458" w:rsidP="00295458">
            <w:pPr>
              <w:spacing w:before="150"/>
              <w:jc w:val="center"/>
              <w:rPr>
                <w:rFonts w:eastAsia="Times New Roman" w:cstheme="minorHAnsi"/>
                <w:b/>
                <w:bCs/>
              </w:rPr>
            </w:pPr>
            <w:r w:rsidRPr="003B6DA6">
              <w:rPr>
                <w:rFonts w:eastAsia="Times New Roman" w:cstheme="minorHAnsi"/>
                <w:b/>
                <w:bCs/>
              </w:rPr>
              <w:t>Minimum opening deposit</w:t>
            </w:r>
          </w:p>
        </w:tc>
      </w:tr>
      <w:tr w:rsidR="003B6DA6" w:rsidRPr="00295458" w:rsidTr="003B6DA6">
        <w:trPr>
          <w:trHeight w:val="466"/>
        </w:trPr>
        <w:tc>
          <w:tcPr>
            <w:tcW w:w="3601" w:type="dxa"/>
            <w:hideMark/>
          </w:tcPr>
          <w:p w:rsidR="00295458" w:rsidRPr="00295458" w:rsidRDefault="00295458" w:rsidP="00295458">
            <w:pPr>
              <w:spacing w:before="150"/>
              <w:ind w:left="150"/>
              <w:jc w:val="center"/>
              <w:rPr>
                <w:rFonts w:eastAsia="Times New Roman" w:cstheme="minorHAnsi"/>
                <w:b/>
                <w:bCs/>
                <w:caps/>
              </w:rPr>
            </w:pPr>
            <w:r w:rsidRPr="00295458">
              <w:rPr>
                <w:rFonts w:eastAsia="Times New Roman" w:cstheme="minorHAnsi"/>
                <w:b/>
                <w:bCs/>
                <w:caps/>
              </w:rPr>
              <w:t>MERCHANTS BANK OF INDIANA</w:t>
            </w:r>
          </w:p>
        </w:tc>
        <w:tc>
          <w:tcPr>
            <w:tcW w:w="1104"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5.92%</w:t>
            </w:r>
          </w:p>
        </w:tc>
        <w:tc>
          <w:tcPr>
            <w:tcW w:w="1683"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12 MONTHS</w:t>
            </w:r>
          </w:p>
        </w:tc>
        <w:tc>
          <w:tcPr>
            <w:tcW w:w="3177"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$1,000</w:t>
            </w:r>
          </w:p>
        </w:tc>
      </w:tr>
      <w:tr w:rsidR="003B6DA6" w:rsidRPr="00295458" w:rsidTr="003B6DA6">
        <w:trPr>
          <w:trHeight w:val="466"/>
        </w:trPr>
        <w:tc>
          <w:tcPr>
            <w:tcW w:w="3601" w:type="dxa"/>
            <w:hideMark/>
          </w:tcPr>
          <w:p w:rsidR="00295458" w:rsidRPr="00295458" w:rsidRDefault="00295458" w:rsidP="00295458">
            <w:pPr>
              <w:spacing w:before="150"/>
              <w:ind w:left="150"/>
              <w:jc w:val="center"/>
              <w:rPr>
                <w:rFonts w:eastAsia="Times New Roman" w:cstheme="minorHAnsi"/>
                <w:b/>
                <w:bCs/>
                <w:caps/>
              </w:rPr>
            </w:pPr>
            <w:r w:rsidRPr="00295458">
              <w:rPr>
                <w:rFonts w:eastAsia="Times New Roman" w:cstheme="minorHAnsi"/>
                <w:b/>
                <w:bCs/>
                <w:caps/>
              </w:rPr>
              <w:t>MERCHANTS BANK OF INDIANA</w:t>
            </w:r>
          </w:p>
        </w:tc>
        <w:tc>
          <w:tcPr>
            <w:tcW w:w="1104"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5.92%</w:t>
            </w:r>
          </w:p>
        </w:tc>
        <w:tc>
          <w:tcPr>
            <w:tcW w:w="1683"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2 YEARS</w:t>
            </w:r>
          </w:p>
        </w:tc>
        <w:tc>
          <w:tcPr>
            <w:tcW w:w="3177"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$1,000</w:t>
            </w:r>
          </w:p>
        </w:tc>
      </w:tr>
      <w:tr w:rsidR="003B6DA6" w:rsidRPr="00295458" w:rsidTr="003B6DA6">
        <w:trPr>
          <w:trHeight w:val="440"/>
        </w:trPr>
        <w:tc>
          <w:tcPr>
            <w:tcW w:w="3601" w:type="dxa"/>
            <w:hideMark/>
          </w:tcPr>
          <w:p w:rsidR="00295458" w:rsidRPr="00295458" w:rsidRDefault="00295458" w:rsidP="00295458">
            <w:pPr>
              <w:spacing w:before="150"/>
              <w:ind w:left="150"/>
              <w:jc w:val="center"/>
              <w:rPr>
                <w:rFonts w:eastAsia="Times New Roman" w:cstheme="minorHAnsi"/>
                <w:b/>
                <w:bCs/>
                <w:caps/>
              </w:rPr>
            </w:pPr>
            <w:r w:rsidRPr="00295458">
              <w:rPr>
                <w:rFonts w:eastAsia="Times New Roman" w:cstheme="minorHAnsi"/>
                <w:b/>
                <w:bCs/>
                <w:caps/>
              </w:rPr>
              <w:t>NEWTEK BANK</w:t>
            </w:r>
          </w:p>
        </w:tc>
        <w:tc>
          <w:tcPr>
            <w:tcW w:w="1104"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5.58%</w:t>
            </w:r>
          </w:p>
        </w:tc>
        <w:tc>
          <w:tcPr>
            <w:tcW w:w="1683"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2 YEARS</w:t>
            </w:r>
          </w:p>
        </w:tc>
        <w:tc>
          <w:tcPr>
            <w:tcW w:w="3177"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$2,500</w:t>
            </w:r>
          </w:p>
        </w:tc>
      </w:tr>
      <w:tr w:rsidR="003B6DA6" w:rsidRPr="00295458" w:rsidTr="003B6DA6">
        <w:trPr>
          <w:trHeight w:val="466"/>
        </w:trPr>
        <w:tc>
          <w:tcPr>
            <w:tcW w:w="3601" w:type="dxa"/>
            <w:hideMark/>
          </w:tcPr>
          <w:p w:rsidR="00295458" w:rsidRPr="00295458" w:rsidRDefault="00295458" w:rsidP="00295458">
            <w:pPr>
              <w:spacing w:before="150"/>
              <w:ind w:left="150"/>
              <w:jc w:val="center"/>
              <w:rPr>
                <w:rFonts w:eastAsia="Times New Roman" w:cstheme="minorHAnsi"/>
                <w:b/>
                <w:bCs/>
                <w:caps/>
              </w:rPr>
            </w:pPr>
            <w:r w:rsidRPr="00295458">
              <w:rPr>
                <w:rFonts w:eastAsia="Times New Roman" w:cstheme="minorHAnsi"/>
                <w:b/>
                <w:bCs/>
                <w:caps/>
              </w:rPr>
              <w:t>MORGAN STANLEY</w:t>
            </w:r>
          </w:p>
        </w:tc>
        <w:tc>
          <w:tcPr>
            <w:tcW w:w="1104"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5.45%</w:t>
            </w:r>
          </w:p>
        </w:tc>
        <w:tc>
          <w:tcPr>
            <w:tcW w:w="1683"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3 MONTHS</w:t>
            </w:r>
          </w:p>
        </w:tc>
        <w:tc>
          <w:tcPr>
            <w:tcW w:w="3177"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$5,000</w:t>
            </w:r>
          </w:p>
        </w:tc>
      </w:tr>
      <w:tr w:rsidR="003B6DA6" w:rsidRPr="00295458" w:rsidTr="003B6DA6">
        <w:trPr>
          <w:trHeight w:val="466"/>
        </w:trPr>
        <w:tc>
          <w:tcPr>
            <w:tcW w:w="3601" w:type="dxa"/>
            <w:hideMark/>
          </w:tcPr>
          <w:p w:rsidR="00295458" w:rsidRPr="00295458" w:rsidRDefault="00295458" w:rsidP="00295458">
            <w:pPr>
              <w:spacing w:before="150"/>
              <w:ind w:left="150"/>
              <w:jc w:val="center"/>
              <w:rPr>
                <w:rFonts w:eastAsia="Times New Roman" w:cstheme="minorHAnsi"/>
                <w:b/>
                <w:bCs/>
                <w:caps/>
              </w:rPr>
            </w:pPr>
            <w:r w:rsidRPr="00295458">
              <w:rPr>
                <w:rFonts w:eastAsia="Times New Roman" w:cstheme="minorHAnsi"/>
                <w:b/>
                <w:bCs/>
                <w:caps/>
              </w:rPr>
              <w:t>CIBC USA</w:t>
            </w:r>
          </w:p>
        </w:tc>
        <w:tc>
          <w:tcPr>
            <w:tcW w:w="1104"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5.36%</w:t>
            </w:r>
          </w:p>
        </w:tc>
        <w:tc>
          <w:tcPr>
            <w:tcW w:w="1683"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12 MONTHS</w:t>
            </w:r>
          </w:p>
        </w:tc>
        <w:tc>
          <w:tcPr>
            <w:tcW w:w="3177" w:type="dxa"/>
            <w:hideMark/>
          </w:tcPr>
          <w:p w:rsidR="00295458" w:rsidRPr="00295458" w:rsidRDefault="00295458" w:rsidP="00295458">
            <w:pPr>
              <w:spacing w:before="150"/>
              <w:ind w:left="150"/>
              <w:jc w:val="center"/>
              <w:rPr>
                <w:rFonts w:eastAsia="Times New Roman" w:cstheme="minorHAnsi"/>
                <w:caps/>
              </w:rPr>
            </w:pPr>
            <w:r w:rsidRPr="00295458">
              <w:rPr>
                <w:rFonts w:eastAsia="Times New Roman" w:cstheme="minorHAnsi"/>
                <w:caps/>
              </w:rPr>
              <w:t>$50</w:t>
            </w:r>
          </w:p>
        </w:tc>
      </w:tr>
    </w:tbl>
    <w:p w:rsidR="003B6DA6" w:rsidRDefault="003B6DA6" w:rsidP="009A2298"/>
    <w:p w:rsidR="003B6DA6" w:rsidRDefault="003B6DA6">
      <w:r w:rsidRPr="003B6DA6">
        <w:t>Interest rates on certificates of deposit (CDs) are influenced by the Federal Reserve funds rate. As the Fed raises its interest rate to reduce high inflation, most banks raise the interest rate paid to customers who open deposit accounts, including high-yield savings accounts, money market accounts (MMAs), and CDs.</w:t>
      </w:r>
    </w:p>
    <w:p w:rsidR="000A552C" w:rsidRDefault="000A552C"/>
    <w:p w:rsidR="000A552C" w:rsidRDefault="000A552C"/>
    <w:p w:rsidR="000A552C" w:rsidRDefault="000A552C"/>
    <w:p w:rsidR="000A552C" w:rsidRDefault="000A552C">
      <w:r>
        <w:lastRenderedPageBreak/>
        <w:t>Some CDs offered by famous banks:</w:t>
      </w:r>
    </w:p>
    <w:tbl>
      <w:tblPr>
        <w:tblStyle w:val="TableGrid"/>
        <w:tblW w:w="0" w:type="auto"/>
        <w:tblInd w:w="697" w:type="dxa"/>
        <w:tblLook w:val="04A0" w:firstRow="1" w:lastRow="0" w:firstColumn="1" w:lastColumn="0" w:noHBand="0" w:noVBand="1"/>
      </w:tblPr>
      <w:tblGrid>
        <w:gridCol w:w="1596"/>
        <w:gridCol w:w="1596"/>
        <w:gridCol w:w="1596"/>
        <w:gridCol w:w="1596"/>
        <w:gridCol w:w="1596"/>
      </w:tblGrid>
      <w:tr w:rsidR="0003225E" w:rsidRPr="00087121" w:rsidTr="00087121">
        <w:tc>
          <w:tcPr>
            <w:tcW w:w="1596" w:type="dxa"/>
            <w:vAlign w:val="center"/>
          </w:tcPr>
          <w:p w:rsidR="0003225E" w:rsidRPr="00087121" w:rsidRDefault="0003225E" w:rsidP="00087121">
            <w:pPr>
              <w:jc w:val="center"/>
              <w:rPr>
                <w:rFonts w:cstheme="minorHAnsi"/>
                <w:b/>
              </w:rPr>
            </w:pPr>
            <w:r w:rsidRPr="00087121">
              <w:rPr>
                <w:rFonts w:cstheme="minorHAnsi"/>
                <w:b/>
              </w:rPr>
              <w:t>Term</w:t>
            </w:r>
          </w:p>
        </w:tc>
        <w:tc>
          <w:tcPr>
            <w:tcW w:w="1596" w:type="dxa"/>
            <w:vAlign w:val="center"/>
          </w:tcPr>
          <w:p w:rsidR="0003225E" w:rsidRPr="00087121" w:rsidRDefault="008469A4" w:rsidP="00087121">
            <w:pPr>
              <w:jc w:val="center"/>
              <w:rPr>
                <w:rFonts w:cstheme="minorHAnsi"/>
                <w:b/>
              </w:rPr>
            </w:pPr>
            <w:r w:rsidRPr="00087121">
              <w:rPr>
                <w:rFonts w:cstheme="minorHAnsi"/>
                <w:b/>
              </w:rPr>
              <w:t>Citibank</w:t>
            </w:r>
          </w:p>
        </w:tc>
        <w:tc>
          <w:tcPr>
            <w:tcW w:w="1596" w:type="dxa"/>
            <w:vAlign w:val="center"/>
          </w:tcPr>
          <w:p w:rsidR="0003225E" w:rsidRPr="00087121" w:rsidRDefault="0003225E" w:rsidP="00087121">
            <w:pPr>
              <w:jc w:val="center"/>
              <w:rPr>
                <w:rFonts w:cstheme="minorHAnsi"/>
                <w:b/>
              </w:rPr>
            </w:pPr>
            <w:r w:rsidRPr="00087121">
              <w:rPr>
                <w:rFonts w:cstheme="minorHAnsi"/>
                <w:b/>
              </w:rPr>
              <w:t>Bank of America</w:t>
            </w:r>
          </w:p>
        </w:tc>
        <w:tc>
          <w:tcPr>
            <w:tcW w:w="1596" w:type="dxa"/>
            <w:vAlign w:val="center"/>
          </w:tcPr>
          <w:p w:rsidR="0003225E" w:rsidRPr="00087121" w:rsidRDefault="0003225E" w:rsidP="00087121">
            <w:pPr>
              <w:jc w:val="center"/>
              <w:rPr>
                <w:rFonts w:cstheme="minorHAnsi"/>
                <w:b/>
              </w:rPr>
            </w:pPr>
            <w:r w:rsidRPr="00087121">
              <w:rPr>
                <w:rFonts w:cstheme="minorHAnsi"/>
                <w:b/>
              </w:rPr>
              <w:t>C</w:t>
            </w:r>
            <w:r w:rsidR="008469A4" w:rsidRPr="00087121">
              <w:rPr>
                <w:rFonts w:cstheme="minorHAnsi"/>
                <w:b/>
              </w:rPr>
              <w:t>apital One</w:t>
            </w:r>
          </w:p>
        </w:tc>
        <w:tc>
          <w:tcPr>
            <w:tcW w:w="1596" w:type="dxa"/>
            <w:vAlign w:val="center"/>
          </w:tcPr>
          <w:p w:rsidR="0003225E" w:rsidRPr="00087121" w:rsidRDefault="008469A4" w:rsidP="00087121">
            <w:pPr>
              <w:jc w:val="center"/>
              <w:rPr>
                <w:rFonts w:cstheme="minorHAnsi"/>
                <w:b/>
              </w:rPr>
            </w:pPr>
            <w:r w:rsidRPr="00087121">
              <w:rPr>
                <w:rFonts w:cstheme="minorHAnsi"/>
                <w:b/>
              </w:rPr>
              <w:t>Chase Bank</w:t>
            </w:r>
          </w:p>
        </w:tc>
      </w:tr>
      <w:tr w:rsidR="008469A4" w:rsidRPr="00087121" w:rsidTr="00087121">
        <w:tc>
          <w:tcPr>
            <w:tcW w:w="1596" w:type="dxa"/>
            <w:vAlign w:val="center"/>
          </w:tcPr>
          <w:p w:rsidR="008469A4" w:rsidRPr="00087121" w:rsidRDefault="008469A4" w:rsidP="00087121">
            <w:pPr>
              <w:jc w:val="center"/>
              <w:rPr>
                <w:rFonts w:cstheme="minorHAnsi"/>
                <w:b/>
              </w:rPr>
            </w:pPr>
            <w:r w:rsidRPr="00087121">
              <w:rPr>
                <w:rFonts w:cstheme="minorHAnsi"/>
                <w:b/>
              </w:rPr>
              <w:t>6 Months</w:t>
            </w:r>
          </w:p>
        </w:tc>
        <w:tc>
          <w:tcPr>
            <w:tcW w:w="1596" w:type="dxa"/>
            <w:vAlign w:val="center"/>
          </w:tcPr>
          <w:p w:rsidR="008469A4" w:rsidRPr="00087121" w:rsidRDefault="008469A4" w:rsidP="00087121">
            <w:pPr>
              <w:spacing w:line="330" w:lineRule="atLeast"/>
              <w:jc w:val="center"/>
              <w:divId w:val="622883372"/>
              <w:rPr>
                <w:rFonts w:cstheme="minorHAnsi"/>
              </w:rPr>
            </w:pPr>
            <w:r w:rsidRPr="00087121">
              <w:rPr>
                <w:rFonts w:cstheme="minorHAnsi"/>
              </w:rPr>
              <w:t>4.65%</w:t>
            </w:r>
          </w:p>
        </w:tc>
        <w:tc>
          <w:tcPr>
            <w:tcW w:w="1596" w:type="dxa"/>
            <w:vAlign w:val="center"/>
          </w:tcPr>
          <w:p w:rsidR="008469A4" w:rsidRPr="00087121" w:rsidRDefault="008469A4" w:rsidP="00087121">
            <w:pPr>
              <w:spacing w:line="330" w:lineRule="atLeast"/>
              <w:jc w:val="center"/>
              <w:divId w:val="800195644"/>
              <w:rPr>
                <w:rFonts w:cstheme="minorHAnsi"/>
              </w:rPr>
            </w:pPr>
            <w:r w:rsidRPr="00087121">
              <w:rPr>
                <w:rFonts w:cstheme="minorHAnsi"/>
              </w:rPr>
              <w:t>4.75%</w:t>
            </w:r>
          </w:p>
          <w:p w:rsidR="008469A4" w:rsidRPr="00087121" w:rsidRDefault="008469A4" w:rsidP="00087121">
            <w:pPr>
              <w:spacing w:line="330" w:lineRule="atLeast"/>
              <w:jc w:val="center"/>
              <w:divId w:val="704405392"/>
              <w:rPr>
                <w:rFonts w:cstheme="minorHAnsi"/>
              </w:rPr>
            </w:pPr>
            <w:r w:rsidRPr="00087121">
              <w:rPr>
                <w:rFonts w:cstheme="minorHAnsi"/>
              </w:rPr>
              <w:t>(7 month)</w:t>
            </w:r>
          </w:p>
        </w:tc>
        <w:tc>
          <w:tcPr>
            <w:tcW w:w="1596" w:type="dxa"/>
            <w:vAlign w:val="center"/>
          </w:tcPr>
          <w:p w:rsidR="008469A4" w:rsidRPr="00087121" w:rsidRDefault="008469A4" w:rsidP="00087121">
            <w:pPr>
              <w:spacing w:line="330" w:lineRule="atLeast"/>
              <w:jc w:val="center"/>
              <w:divId w:val="199245982"/>
              <w:rPr>
                <w:rFonts w:cstheme="minorHAnsi"/>
              </w:rPr>
            </w:pPr>
            <w:r w:rsidRPr="00087121">
              <w:rPr>
                <w:rFonts w:cstheme="minorHAnsi"/>
              </w:rPr>
              <w:t>4.25%</w:t>
            </w:r>
          </w:p>
        </w:tc>
        <w:tc>
          <w:tcPr>
            <w:tcW w:w="1596" w:type="dxa"/>
            <w:vAlign w:val="center"/>
          </w:tcPr>
          <w:p w:rsidR="008469A4" w:rsidRPr="00087121" w:rsidRDefault="008469A4" w:rsidP="00087121">
            <w:pPr>
              <w:spacing w:line="330" w:lineRule="atLeast"/>
              <w:jc w:val="center"/>
              <w:divId w:val="2004309393"/>
              <w:rPr>
                <w:rFonts w:cstheme="minorHAnsi"/>
              </w:rPr>
            </w:pPr>
            <w:r w:rsidRPr="00087121">
              <w:rPr>
                <w:rFonts w:cstheme="minorHAnsi"/>
              </w:rPr>
              <w:t>3.00%</w:t>
            </w:r>
          </w:p>
        </w:tc>
      </w:tr>
      <w:tr w:rsidR="008469A4" w:rsidRPr="00087121" w:rsidTr="00087121">
        <w:tc>
          <w:tcPr>
            <w:tcW w:w="1596" w:type="dxa"/>
            <w:vAlign w:val="center"/>
          </w:tcPr>
          <w:p w:rsidR="008469A4" w:rsidRPr="00087121" w:rsidRDefault="008469A4" w:rsidP="00087121">
            <w:pPr>
              <w:spacing w:line="330" w:lineRule="atLeast"/>
              <w:jc w:val="center"/>
              <w:rPr>
                <w:rFonts w:cstheme="minorHAnsi"/>
                <w:b/>
              </w:rPr>
            </w:pPr>
            <w:r w:rsidRPr="00087121">
              <w:rPr>
                <w:rFonts w:cstheme="minorHAnsi"/>
                <w:b/>
              </w:rPr>
              <w:t>1 Year</w:t>
            </w:r>
          </w:p>
        </w:tc>
        <w:tc>
          <w:tcPr>
            <w:tcW w:w="1596" w:type="dxa"/>
            <w:vAlign w:val="center"/>
          </w:tcPr>
          <w:p w:rsidR="008469A4" w:rsidRPr="00087121" w:rsidRDefault="008469A4" w:rsidP="00087121">
            <w:pPr>
              <w:spacing w:line="330" w:lineRule="atLeast"/>
              <w:jc w:val="center"/>
              <w:rPr>
                <w:rFonts w:cstheme="minorHAnsi"/>
              </w:rPr>
            </w:pPr>
            <w:r w:rsidRPr="00087121">
              <w:rPr>
                <w:rFonts w:cstheme="minorHAnsi"/>
              </w:rPr>
              <w:t>2.00% to 3.00%</w:t>
            </w:r>
          </w:p>
        </w:tc>
        <w:tc>
          <w:tcPr>
            <w:tcW w:w="1596" w:type="dxa"/>
            <w:vAlign w:val="center"/>
          </w:tcPr>
          <w:p w:rsidR="008469A4" w:rsidRPr="00087121" w:rsidRDefault="008469A4" w:rsidP="00087121">
            <w:pPr>
              <w:spacing w:line="330" w:lineRule="atLeast"/>
              <w:jc w:val="center"/>
              <w:rPr>
                <w:rFonts w:cstheme="minorHAnsi"/>
              </w:rPr>
            </w:pPr>
            <w:r w:rsidRPr="00087121">
              <w:rPr>
                <w:rFonts w:cstheme="minorHAnsi"/>
              </w:rPr>
              <w:t>4.75%</w:t>
            </w:r>
          </w:p>
          <w:p w:rsidR="008469A4" w:rsidRPr="00087121" w:rsidRDefault="008469A4" w:rsidP="00087121">
            <w:pPr>
              <w:spacing w:line="330" w:lineRule="atLeast"/>
              <w:jc w:val="center"/>
              <w:rPr>
                <w:rFonts w:cstheme="minorHAnsi"/>
              </w:rPr>
            </w:pPr>
            <w:r w:rsidRPr="00087121">
              <w:rPr>
                <w:rFonts w:cstheme="minorHAnsi"/>
              </w:rPr>
              <w:t>(13 month)</w:t>
            </w:r>
          </w:p>
        </w:tc>
        <w:tc>
          <w:tcPr>
            <w:tcW w:w="1596" w:type="dxa"/>
            <w:vAlign w:val="center"/>
          </w:tcPr>
          <w:p w:rsidR="008469A4" w:rsidRPr="00087121" w:rsidRDefault="008469A4" w:rsidP="00087121">
            <w:pPr>
              <w:spacing w:line="330" w:lineRule="atLeast"/>
              <w:jc w:val="center"/>
              <w:rPr>
                <w:rFonts w:cstheme="minorHAnsi"/>
              </w:rPr>
            </w:pPr>
            <w:r w:rsidRPr="00087121">
              <w:rPr>
                <w:rFonts w:cstheme="minorHAnsi"/>
              </w:rPr>
              <w:t>5.00%</w:t>
            </w:r>
          </w:p>
        </w:tc>
        <w:tc>
          <w:tcPr>
            <w:tcW w:w="1596" w:type="dxa"/>
            <w:vAlign w:val="center"/>
          </w:tcPr>
          <w:p w:rsidR="008469A4" w:rsidRPr="00087121" w:rsidRDefault="008469A4" w:rsidP="00087121">
            <w:pPr>
              <w:spacing w:line="330" w:lineRule="atLeast"/>
              <w:jc w:val="center"/>
              <w:rPr>
                <w:rFonts w:cstheme="minorHAnsi"/>
              </w:rPr>
            </w:pPr>
            <w:r w:rsidRPr="00087121">
              <w:rPr>
                <w:rFonts w:cstheme="minorHAnsi"/>
              </w:rPr>
              <w:t>2.00%</w:t>
            </w:r>
          </w:p>
        </w:tc>
      </w:tr>
      <w:tr w:rsidR="008469A4" w:rsidRPr="00087121" w:rsidTr="00087121">
        <w:tc>
          <w:tcPr>
            <w:tcW w:w="1596" w:type="dxa"/>
            <w:vAlign w:val="center"/>
          </w:tcPr>
          <w:p w:rsidR="008469A4" w:rsidRPr="00087121" w:rsidRDefault="008469A4" w:rsidP="00087121">
            <w:pPr>
              <w:spacing w:line="330" w:lineRule="atLeast"/>
              <w:jc w:val="center"/>
              <w:rPr>
                <w:rFonts w:cstheme="minorHAnsi"/>
                <w:b/>
              </w:rPr>
            </w:pPr>
            <w:r w:rsidRPr="00087121">
              <w:rPr>
                <w:rFonts w:cstheme="minorHAnsi"/>
                <w:b/>
              </w:rPr>
              <w:t>2 Years</w:t>
            </w:r>
          </w:p>
        </w:tc>
        <w:tc>
          <w:tcPr>
            <w:tcW w:w="1596" w:type="dxa"/>
            <w:vAlign w:val="center"/>
          </w:tcPr>
          <w:p w:rsidR="008469A4" w:rsidRPr="00087121" w:rsidRDefault="008469A4" w:rsidP="00087121">
            <w:pPr>
              <w:spacing w:line="330" w:lineRule="atLeast"/>
              <w:jc w:val="center"/>
              <w:rPr>
                <w:rFonts w:cstheme="minorHAnsi"/>
              </w:rPr>
            </w:pPr>
            <w:r w:rsidRPr="00087121">
              <w:rPr>
                <w:rFonts w:cstheme="minorHAnsi"/>
              </w:rPr>
              <w:t>2.00%</w:t>
            </w:r>
          </w:p>
        </w:tc>
        <w:tc>
          <w:tcPr>
            <w:tcW w:w="1596" w:type="dxa"/>
            <w:vAlign w:val="center"/>
          </w:tcPr>
          <w:p w:rsidR="008469A4" w:rsidRPr="00087121" w:rsidRDefault="008469A4" w:rsidP="00087121">
            <w:pPr>
              <w:spacing w:line="330" w:lineRule="atLeast"/>
              <w:jc w:val="center"/>
              <w:rPr>
                <w:rFonts w:cstheme="minorHAnsi"/>
              </w:rPr>
            </w:pPr>
            <w:r w:rsidRPr="00087121">
              <w:rPr>
                <w:rFonts w:cstheme="minorHAnsi"/>
              </w:rPr>
              <w:t>3.00%</w:t>
            </w:r>
          </w:p>
          <w:p w:rsidR="008469A4" w:rsidRPr="00087121" w:rsidRDefault="008469A4" w:rsidP="00087121">
            <w:pPr>
              <w:spacing w:line="330" w:lineRule="atLeast"/>
              <w:jc w:val="center"/>
              <w:rPr>
                <w:rFonts w:cstheme="minorHAnsi"/>
              </w:rPr>
            </w:pPr>
            <w:r w:rsidRPr="00087121">
              <w:rPr>
                <w:rFonts w:cstheme="minorHAnsi"/>
              </w:rPr>
              <w:t>(25 month)</w:t>
            </w:r>
          </w:p>
        </w:tc>
        <w:tc>
          <w:tcPr>
            <w:tcW w:w="1596" w:type="dxa"/>
            <w:vAlign w:val="center"/>
          </w:tcPr>
          <w:p w:rsidR="008469A4" w:rsidRPr="00087121" w:rsidRDefault="008469A4" w:rsidP="00087121">
            <w:pPr>
              <w:spacing w:line="330" w:lineRule="atLeast"/>
              <w:jc w:val="center"/>
              <w:rPr>
                <w:rFonts w:cstheme="minorHAnsi"/>
              </w:rPr>
            </w:pPr>
            <w:r w:rsidRPr="00087121">
              <w:rPr>
                <w:rFonts w:cstheme="minorHAnsi"/>
              </w:rPr>
              <w:t>4.00%</w:t>
            </w:r>
          </w:p>
        </w:tc>
        <w:tc>
          <w:tcPr>
            <w:tcW w:w="1596" w:type="dxa"/>
            <w:vAlign w:val="center"/>
          </w:tcPr>
          <w:p w:rsidR="008469A4" w:rsidRPr="00087121" w:rsidRDefault="008469A4" w:rsidP="00087121">
            <w:pPr>
              <w:spacing w:line="330" w:lineRule="atLeast"/>
              <w:jc w:val="center"/>
              <w:rPr>
                <w:rFonts w:cstheme="minorHAnsi"/>
              </w:rPr>
            </w:pPr>
            <w:r w:rsidRPr="00087121">
              <w:rPr>
                <w:rFonts w:cstheme="minorHAnsi"/>
              </w:rPr>
              <w:t>2.50%</w:t>
            </w:r>
          </w:p>
        </w:tc>
      </w:tr>
      <w:tr w:rsidR="00087121" w:rsidRPr="00087121" w:rsidTr="00087121">
        <w:trPr>
          <w:trHeight w:val="197"/>
        </w:trPr>
        <w:tc>
          <w:tcPr>
            <w:tcW w:w="1596" w:type="dxa"/>
            <w:vAlign w:val="center"/>
          </w:tcPr>
          <w:p w:rsidR="00087121" w:rsidRPr="00087121" w:rsidRDefault="00087121" w:rsidP="00087121">
            <w:pPr>
              <w:jc w:val="center"/>
              <w:rPr>
                <w:rFonts w:cstheme="minorHAnsi"/>
                <w:b/>
              </w:rPr>
            </w:pPr>
            <w:r w:rsidRPr="00087121">
              <w:rPr>
                <w:rFonts w:cstheme="minorHAnsi"/>
                <w:b/>
              </w:rPr>
              <w:t>5 Years</w:t>
            </w:r>
          </w:p>
        </w:tc>
        <w:tc>
          <w:tcPr>
            <w:tcW w:w="1596" w:type="dxa"/>
            <w:vAlign w:val="center"/>
          </w:tcPr>
          <w:p w:rsidR="00087121" w:rsidRPr="00087121" w:rsidRDefault="00087121" w:rsidP="00087121">
            <w:pPr>
              <w:spacing w:line="330" w:lineRule="atLeast"/>
              <w:jc w:val="center"/>
              <w:divId w:val="1286546732"/>
              <w:rPr>
                <w:rFonts w:cstheme="minorHAnsi"/>
              </w:rPr>
            </w:pPr>
            <w:r w:rsidRPr="00087121">
              <w:rPr>
                <w:rFonts w:cstheme="minorHAnsi"/>
              </w:rPr>
              <w:t>2.00%</w:t>
            </w:r>
          </w:p>
        </w:tc>
        <w:tc>
          <w:tcPr>
            <w:tcW w:w="1596" w:type="dxa"/>
            <w:vAlign w:val="center"/>
          </w:tcPr>
          <w:p w:rsidR="00087121" w:rsidRPr="00087121" w:rsidRDefault="00087121" w:rsidP="00087121">
            <w:pPr>
              <w:spacing w:line="330" w:lineRule="atLeast"/>
              <w:jc w:val="center"/>
              <w:divId w:val="759301980"/>
              <w:rPr>
                <w:rFonts w:cstheme="minorHAnsi"/>
              </w:rPr>
            </w:pPr>
            <w:r w:rsidRPr="00087121">
              <w:rPr>
                <w:rFonts w:cstheme="minorHAnsi"/>
              </w:rPr>
              <w:t>0.03%</w:t>
            </w:r>
          </w:p>
        </w:tc>
        <w:tc>
          <w:tcPr>
            <w:tcW w:w="1596" w:type="dxa"/>
            <w:vAlign w:val="center"/>
          </w:tcPr>
          <w:p w:rsidR="00087121" w:rsidRPr="00087121" w:rsidRDefault="00087121" w:rsidP="00087121">
            <w:pPr>
              <w:spacing w:line="330" w:lineRule="atLeast"/>
              <w:jc w:val="center"/>
              <w:divId w:val="1650358510"/>
              <w:rPr>
                <w:rFonts w:cstheme="minorHAnsi"/>
              </w:rPr>
            </w:pPr>
            <w:r w:rsidRPr="00087121">
              <w:rPr>
                <w:rFonts w:cstheme="minorHAnsi"/>
              </w:rPr>
              <w:t>3.90%</w:t>
            </w:r>
          </w:p>
        </w:tc>
        <w:tc>
          <w:tcPr>
            <w:tcW w:w="1596" w:type="dxa"/>
            <w:vAlign w:val="center"/>
          </w:tcPr>
          <w:p w:rsidR="00087121" w:rsidRPr="00087121" w:rsidRDefault="00087121" w:rsidP="00087121">
            <w:pPr>
              <w:spacing w:line="330" w:lineRule="atLeast"/>
              <w:jc w:val="center"/>
              <w:divId w:val="1742367879"/>
              <w:rPr>
                <w:rFonts w:cstheme="minorHAnsi"/>
              </w:rPr>
            </w:pPr>
            <w:r w:rsidRPr="00087121">
              <w:rPr>
                <w:rFonts w:cstheme="minorHAnsi"/>
              </w:rPr>
              <w:t>2.50%</w:t>
            </w:r>
          </w:p>
        </w:tc>
      </w:tr>
    </w:tbl>
    <w:p w:rsidR="0003225E" w:rsidRDefault="0003225E"/>
    <w:p w:rsidR="003B6DA6" w:rsidRDefault="003B6DA6">
      <w:r>
        <w:br w:type="page"/>
      </w:r>
    </w:p>
    <w:p w:rsidR="005901F2" w:rsidRDefault="003B6DA6" w:rsidP="003B6DA6">
      <w:pPr>
        <w:pStyle w:val="Heading1"/>
        <w:jc w:val="center"/>
      </w:pPr>
      <w:bookmarkStart w:id="47" w:name="_Toc170221089"/>
      <w:r>
        <w:lastRenderedPageBreak/>
        <w:t>Money Market Accounts</w:t>
      </w:r>
      <w:bookmarkEnd w:id="47"/>
    </w:p>
    <w:p w:rsidR="003B6DA6" w:rsidRDefault="003B6DA6" w:rsidP="003B6DA6"/>
    <w:p w:rsidR="003B6DA6" w:rsidRDefault="00737E45" w:rsidP="003B6DA6">
      <w:r w:rsidRPr="00737E45">
        <w:t xml:space="preserve">A </w:t>
      </w:r>
      <w:r>
        <w:t>Money market account (MMA)</w:t>
      </w:r>
      <w:r w:rsidRPr="00737E45">
        <w:t xml:space="preserve"> is a savings account that typically offers higher interest rates than traditional savings accounts, often with check-writing privileges and debit card access</w:t>
      </w:r>
      <w:r>
        <w:t xml:space="preserve"> although there are restrictions on the number of withdrawals per month due to federal regulations (typically up to 6 withdrawals or transfers per statement cycle)</w:t>
      </w:r>
      <w:r w:rsidRPr="00737E45">
        <w:t>.</w:t>
      </w:r>
      <w:r>
        <w:t xml:space="preserve"> </w:t>
      </w:r>
      <w:r w:rsidRPr="00737E45">
        <w:t>They often require a higher minimum balance to open and maintain.</w:t>
      </w:r>
    </w:p>
    <w:p w:rsidR="00737E45" w:rsidRDefault="00737E45" w:rsidP="00737E45">
      <w:r>
        <w:t>MMAs offer liquidity and access to funds, making them suitable for short-term savings goals or emergency funds. They are popular among individuals and businesses looking for a balance between earning interest and maintaining access to funds and are often used for short-term savings, emergency funds, or funds awaiting investment in higher-return opportunities.</w:t>
      </w:r>
    </w:p>
    <w:p w:rsidR="00737E45" w:rsidRPr="00B76AAF" w:rsidRDefault="00737E45" w:rsidP="00D02CB8">
      <w:pPr>
        <w:pStyle w:val="ListParagraph"/>
        <w:numPr>
          <w:ilvl w:val="0"/>
          <w:numId w:val="5"/>
        </w:numPr>
        <w:rPr>
          <w:b/>
        </w:rPr>
      </w:pPr>
      <w:r w:rsidRPr="00B76AAF">
        <w:t>Market Size:</w:t>
      </w:r>
      <w:r w:rsidR="00B76AAF" w:rsidRPr="00B76AAF">
        <w:rPr>
          <w:b/>
        </w:rPr>
        <w:t xml:space="preserve"> </w:t>
      </w:r>
      <w:r w:rsidRPr="00737E45">
        <w:t>As of Q4 2023, the total amount held in MMAs in the U.S. was approximately $5.7 trillion, according to Federal Reserve data.</w:t>
      </w:r>
      <w:r>
        <w:t xml:space="preserve"> </w:t>
      </w:r>
      <w:r w:rsidRPr="00737E45">
        <w:t>This represents about 20% of all bank deposits in the U.S.</w:t>
      </w:r>
    </w:p>
    <w:p w:rsidR="00737E45" w:rsidRDefault="00B76AAF" w:rsidP="00D02CB8">
      <w:pPr>
        <w:pStyle w:val="ListParagraph"/>
        <w:numPr>
          <w:ilvl w:val="0"/>
          <w:numId w:val="5"/>
        </w:numPr>
      </w:pPr>
      <w:r>
        <w:t xml:space="preserve">According to a 2023 </w:t>
      </w:r>
      <w:proofErr w:type="spellStart"/>
      <w:r>
        <w:t>Bankrate</w:t>
      </w:r>
      <w:proofErr w:type="spellEnd"/>
      <w:r>
        <w:t xml:space="preserve"> study, 42% of MMAs charge a monthly maintenance fee if the balance falls below a certain threshold. The average monthly fee is $12, but can range from $5 to $25.</w:t>
      </w:r>
    </w:p>
    <w:p w:rsidR="00B76AAF" w:rsidRPr="00B76AAF" w:rsidRDefault="00B76AAF" w:rsidP="00D02CB8">
      <w:pPr>
        <w:numPr>
          <w:ilvl w:val="0"/>
          <w:numId w:val="6"/>
        </w:numPr>
      </w:pPr>
      <w:r w:rsidRPr="00B76AAF">
        <w:t>Comparison with Other Accounts</w:t>
      </w:r>
      <w:r>
        <w:t>(</w:t>
      </w:r>
      <w:r w:rsidRPr="00B76AAF">
        <w:t>as of 2024</w:t>
      </w:r>
      <w:r>
        <w:t>)</w:t>
      </w:r>
      <w:r w:rsidRPr="00B76AAF">
        <w:t>:</w:t>
      </w:r>
    </w:p>
    <w:p w:rsidR="00B76AAF" w:rsidRPr="00B76AAF" w:rsidRDefault="00B76AAF" w:rsidP="00D02CB8">
      <w:pPr>
        <w:numPr>
          <w:ilvl w:val="1"/>
          <w:numId w:val="6"/>
        </w:numPr>
      </w:pPr>
      <w:r w:rsidRPr="00B76AAF">
        <w:t>Average savings account rate: 0.46% APY</w:t>
      </w:r>
    </w:p>
    <w:p w:rsidR="00B76AAF" w:rsidRPr="00B76AAF" w:rsidRDefault="00B76AAF" w:rsidP="00D02CB8">
      <w:pPr>
        <w:numPr>
          <w:ilvl w:val="1"/>
          <w:numId w:val="6"/>
        </w:numPr>
      </w:pPr>
      <w:r w:rsidRPr="00B76AAF">
        <w:t>Average 1-year CD rate: 1.73% APY</w:t>
      </w:r>
    </w:p>
    <w:p w:rsidR="00B76AAF" w:rsidRDefault="00B76AAF" w:rsidP="00D02CB8">
      <w:pPr>
        <w:numPr>
          <w:ilvl w:val="1"/>
          <w:numId w:val="6"/>
        </w:numPr>
      </w:pPr>
      <w:r w:rsidRPr="00B76AAF">
        <w:t xml:space="preserve">Average MMA rate: 0.62% APY </w:t>
      </w:r>
    </w:p>
    <w:p w:rsidR="00523C99" w:rsidRDefault="00523C99" w:rsidP="00D15AA7">
      <w:pPr>
        <w:rPr>
          <w:b/>
        </w:rPr>
      </w:pPr>
    </w:p>
    <w:p w:rsidR="00D15AA7" w:rsidRPr="00D15AA7" w:rsidRDefault="00D15AA7" w:rsidP="00D15AA7">
      <w:pPr>
        <w:rPr>
          <w:b/>
        </w:rPr>
      </w:pPr>
      <w:r w:rsidRPr="00D15AA7">
        <w:rPr>
          <w:b/>
        </w:rPr>
        <w:t>Advantages and Disadvantages:</w:t>
      </w:r>
    </w:p>
    <w:tbl>
      <w:tblPr>
        <w:tblStyle w:val="TableGrid"/>
        <w:tblW w:w="0" w:type="auto"/>
        <w:tblLook w:val="04A0" w:firstRow="1" w:lastRow="0" w:firstColumn="1" w:lastColumn="0" w:noHBand="0" w:noVBand="1"/>
      </w:tblPr>
      <w:tblGrid>
        <w:gridCol w:w="4788"/>
        <w:gridCol w:w="4788"/>
      </w:tblGrid>
      <w:tr w:rsidR="00B76AAF" w:rsidRPr="000A552C" w:rsidTr="000A552C">
        <w:trPr>
          <w:trHeight w:val="432"/>
        </w:trPr>
        <w:tc>
          <w:tcPr>
            <w:tcW w:w="4788" w:type="dxa"/>
          </w:tcPr>
          <w:p w:rsidR="00B76AAF" w:rsidRPr="000A552C" w:rsidRDefault="00B76AAF" w:rsidP="000A552C">
            <w:pPr>
              <w:jc w:val="center"/>
              <w:rPr>
                <w:b/>
              </w:rPr>
            </w:pPr>
            <w:r w:rsidRPr="000A552C">
              <w:rPr>
                <w:b/>
              </w:rPr>
              <w:t>Pros</w:t>
            </w:r>
          </w:p>
        </w:tc>
        <w:tc>
          <w:tcPr>
            <w:tcW w:w="4788" w:type="dxa"/>
          </w:tcPr>
          <w:p w:rsidR="00B76AAF" w:rsidRPr="000A552C" w:rsidRDefault="00B76AAF" w:rsidP="000A552C">
            <w:pPr>
              <w:jc w:val="center"/>
              <w:rPr>
                <w:b/>
              </w:rPr>
            </w:pPr>
            <w:r w:rsidRPr="000A552C">
              <w:rPr>
                <w:b/>
              </w:rPr>
              <w:t>Cons</w:t>
            </w:r>
          </w:p>
        </w:tc>
      </w:tr>
      <w:tr w:rsidR="00B76AAF" w:rsidTr="00B76AAF">
        <w:tc>
          <w:tcPr>
            <w:tcW w:w="4788" w:type="dxa"/>
          </w:tcPr>
          <w:p w:rsidR="00B76AAF" w:rsidRPr="00B76AAF" w:rsidRDefault="00B76AAF" w:rsidP="00D02CB8">
            <w:pPr>
              <w:numPr>
                <w:ilvl w:val="0"/>
                <w:numId w:val="7"/>
              </w:numPr>
              <w:spacing w:line="360" w:lineRule="auto"/>
            </w:pPr>
            <w:r w:rsidRPr="00B76AAF">
              <w:t>Higher interest rates</w:t>
            </w:r>
          </w:p>
          <w:p w:rsidR="00B76AAF" w:rsidRPr="00B76AAF" w:rsidRDefault="00B76AAF" w:rsidP="00D02CB8">
            <w:pPr>
              <w:numPr>
                <w:ilvl w:val="0"/>
                <w:numId w:val="7"/>
              </w:numPr>
              <w:spacing w:line="360" w:lineRule="auto"/>
            </w:pPr>
            <w:r w:rsidRPr="00B76AAF">
              <w:t>Check-writing privileges</w:t>
            </w:r>
          </w:p>
          <w:p w:rsidR="00B76AAF" w:rsidRPr="00B76AAF" w:rsidRDefault="00B76AAF" w:rsidP="00D02CB8">
            <w:pPr>
              <w:numPr>
                <w:ilvl w:val="0"/>
                <w:numId w:val="7"/>
              </w:numPr>
              <w:spacing w:line="360" w:lineRule="auto"/>
            </w:pPr>
            <w:r w:rsidRPr="00B76AAF">
              <w:t>Debit cards</w:t>
            </w:r>
          </w:p>
          <w:p w:rsidR="00B76AAF" w:rsidRPr="00B76AAF" w:rsidRDefault="00B76AAF" w:rsidP="00D02CB8">
            <w:pPr>
              <w:numPr>
                <w:ilvl w:val="0"/>
                <w:numId w:val="7"/>
              </w:numPr>
              <w:spacing w:line="360" w:lineRule="auto"/>
            </w:pPr>
            <w:r w:rsidRPr="00B76AAF">
              <w:t>Insurance protection</w:t>
            </w:r>
          </w:p>
          <w:p w:rsidR="00B76AAF" w:rsidRDefault="00B76AAF" w:rsidP="000A552C">
            <w:pPr>
              <w:spacing w:line="360" w:lineRule="auto"/>
            </w:pPr>
          </w:p>
        </w:tc>
        <w:tc>
          <w:tcPr>
            <w:tcW w:w="4788" w:type="dxa"/>
          </w:tcPr>
          <w:p w:rsidR="00B76AAF" w:rsidRPr="00B76AAF" w:rsidRDefault="00B76AAF" w:rsidP="00D02CB8">
            <w:pPr>
              <w:numPr>
                <w:ilvl w:val="0"/>
                <w:numId w:val="8"/>
              </w:numPr>
              <w:spacing w:line="360" w:lineRule="auto"/>
            </w:pPr>
            <w:r w:rsidRPr="00B76AAF">
              <w:t>Limited transactions</w:t>
            </w:r>
          </w:p>
          <w:p w:rsidR="00B76AAF" w:rsidRPr="00B76AAF" w:rsidRDefault="00B76AAF" w:rsidP="00D02CB8">
            <w:pPr>
              <w:numPr>
                <w:ilvl w:val="0"/>
                <w:numId w:val="8"/>
              </w:numPr>
              <w:spacing w:line="360" w:lineRule="auto"/>
            </w:pPr>
            <w:r w:rsidRPr="00B76AAF">
              <w:t>Fees</w:t>
            </w:r>
          </w:p>
          <w:p w:rsidR="00B76AAF" w:rsidRPr="00B76AAF" w:rsidRDefault="00B76AAF" w:rsidP="00D02CB8">
            <w:pPr>
              <w:numPr>
                <w:ilvl w:val="0"/>
                <w:numId w:val="8"/>
              </w:numPr>
              <w:spacing w:line="360" w:lineRule="auto"/>
            </w:pPr>
            <w:r w:rsidRPr="00B76AAF">
              <w:t>Minimum balance requirement</w:t>
            </w:r>
          </w:p>
          <w:p w:rsidR="00B76AAF" w:rsidRDefault="00B76AAF" w:rsidP="000A552C">
            <w:pPr>
              <w:spacing w:line="360" w:lineRule="auto"/>
            </w:pPr>
          </w:p>
        </w:tc>
      </w:tr>
    </w:tbl>
    <w:p w:rsidR="00B76AAF" w:rsidRDefault="00B76AAF" w:rsidP="00B76AAF"/>
    <w:p w:rsidR="00D15AA7" w:rsidRDefault="00D15AA7" w:rsidP="00B76AAF"/>
    <w:p w:rsidR="00D15AA7" w:rsidRDefault="00D15AA7" w:rsidP="00B76AAF"/>
    <w:p w:rsidR="000A552C" w:rsidRPr="00D15AA7" w:rsidRDefault="00D15AA7" w:rsidP="00B76AAF">
      <w:pPr>
        <w:rPr>
          <w:b/>
        </w:rPr>
      </w:pPr>
      <w:bookmarkStart w:id="48" w:name="_GoBack"/>
      <w:bookmarkEnd w:id="48"/>
      <w:r w:rsidRPr="00D15AA7">
        <w:rPr>
          <w:b/>
        </w:rPr>
        <w:lastRenderedPageBreak/>
        <w:t xml:space="preserve">Some </w:t>
      </w:r>
      <w:r w:rsidR="000A552C" w:rsidRPr="00D15AA7">
        <w:rPr>
          <w:b/>
        </w:rPr>
        <w:t>Best Money Market Accounts</w:t>
      </w:r>
      <w:r w:rsidRPr="00D15AA7">
        <w:rPr>
          <w:b/>
        </w:rPr>
        <w:t>:</w:t>
      </w:r>
    </w:p>
    <w:tbl>
      <w:tblPr>
        <w:tblStyle w:val="TableGrid"/>
        <w:tblW w:w="0" w:type="auto"/>
        <w:jc w:val="center"/>
        <w:tblLook w:val="04A0" w:firstRow="1" w:lastRow="0" w:firstColumn="1" w:lastColumn="0" w:noHBand="0" w:noVBand="1"/>
      </w:tblPr>
      <w:tblGrid>
        <w:gridCol w:w="4788"/>
        <w:gridCol w:w="4788"/>
      </w:tblGrid>
      <w:tr w:rsidR="000A552C" w:rsidRPr="000A552C" w:rsidTr="000A552C">
        <w:trPr>
          <w:jc w:val="center"/>
        </w:trPr>
        <w:tc>
          <w:tcPr>
            <w:tcW w:w="4788" w:type="dxa"/>
            <w:vAlign w:val="center"/>
          </w:tcPr>
          <w:p w:rsidR="000A552C" w:rsidRPr="000A552C" w:rsidRDefault="000A552C" w:rsidP="000A552C">
            <w:pPr>
              <w:jc w:val="center"/>
              <w:rPr>
                <w:rFonts w:cstheme="minorHAnsi"/>
                <w:b/>
              </w:rPr>
            </w:pPr>
            <w:r w:rsidRPr="000A552C">
              <w:rPr>
                <w:rFonts w:cstheme="minorHAnsi"/>
                <w:b/>
              </w:rPr>
              <w:t>Bank/Institution</w:t>
            </w:r>
          </w:p>
        </w:tc>
        <w:tc>
          <w:tcPr>
            <w:tcW w:w="4788" w:type="dxa"/>
            <w:vAlign w:val="center"/>
          </w:tcPr>
          <w:p w:rsidR="000A552C" w:rsidRPr="000A552C" w:rsidRDefault="000A552C" w:rsidP="000A552C">
            <w:pPr>
              <w:jc w:val="center"/>
              <w:rPr>
                <w:rFonts w:cstheme="minorHAnsi"/>
              </w:rPr>
            </w:pPr>
            <w:r w:rsidRPr="000A552C">
              <w:rPr>
                <w:rFonts w:eastAsia="Times New Roman" w:cstheme="minorHAnsi"/>
                <w:b/>
                <w:bCs/>
              </w:rPr>
              <w:t>APY</w:t>
            </w:r>
          </w:p>
        </w:tc>
      </w:tr>
      <w:tr w:rsidR="000A552C" w:rsidRPr="000A552C" w:rsidTr="000A552C">
        <w:trPr>
          <w:jc w:val="center"/>
        </w:trPr>
        <w:tc>
          <w:tcPr>
            <w:tcW w:w="4788" w:type="dxa"/>
            <w:vAlign w:val="center"/>
          </w:tcPr>
          <w:p w:rsidR="000A552C" w:rsidRPr="000A552C" w:rsidRDefault="000A552C" w:rsidP="000A552C">
            <w:pPr>
              <w:jc w:val="center"/>
              <w:rPr>
                <w:rFonts w:cstheme="minorHAnsi"/>
              </w:rPr>
            </w:pPr>
            <w:proofErr w:type="spellStart"/>
            <w:r w:rsidRPr="000A552C">
              <w:rPr>
                <w:rFonts w:cstheme="minorHAnsi"/>
              </w:rPr>
              <w:t>Vio</w:t>
            </w:r>
            <w:proofErr w:type="spellEnd"/>
            <w:r w:rsidRPr="000A552C">
              <w:rPr>
                <w:rFonts w:cstheme="minorHAnsi"/>
              </w:rPr>
              <w:t xml:space="preserve"> Bank Cornerstone Money Market Account</w:t>
            </w:r>
          </w:p>
        </w:tc>
        <w:tc>
          <w:tcPr>
            <w:tcW w:w="4788" w:type="dxa"/>
            <w:vAlign w:val="center"/>
          </w:tcPr>
          <w:p w:rsidR="000A552C" w:rsidRPr="000A552C" w:rsidRDefault="000A552C" w:rsidP="000A552C">
            <w:pPr>
              <w:jc w:val="center"/>
              <w:rPr>
                <w:rFonts w:cstheme="minorHAnsi"/>
              </w:rPr>
            </w:pPr>
            <w:r w:rsidRPr="000A552C">
              <w:rPr>
                <w:rFonts w:cstheme="minorHAnsi"/>
              </w:rPr>
              <w:t>5.30%</w:t>
            </w:r>
          </w:p>
        </w:tc>
      </w:tr>
      <w:tr w:rsidR="000A552C" w:rsidRPr="000A552C" w:rsidTr="000A552C">
        <w:trPr>
          <w:jc w:val="center"/>
        </w:trPr>
        <w:tc>
          <w:tcPr>
            <w:tcW w:w="4788" w:type="dxa"/>
            <w:vAlign w:val="center"/>
          </w:tcPr>
          <w:p w:rsidR="000A552C" w:rsidRPr="000A552C" w:rsidRDefault="000A552C" w:rsidP="000A552C">
            <w:pPr>
              <w:jc w:val="center"/>
              <w:rPr>
                <w:rFonts w:cstheme="minorHAnsi"/>
              </w:rPr>
            </w:pPr>
            <w:proofErr w:type="spellStart"/>
            <w:r w:rsidRPr="000A552C">
              <w:rPr>
                <w:rFonts w:cstheme="minorHAnsi"/>
              </w:rPr>
              <w:t>Quontic</w:t>
            </w:r>
            <w:proofErr w:type="spellEnd"/>
            <w:r w:rsidRPr="000A552C">
              <w:rPr>
                <w:rFonts w:cstheme="minorHAnsi"/>
              </w:rPr>
              <w:t xml:space="preserve"> Money Market Account</w:t>
            </w:r>
          </w:p>
        </w:tc>
        <w:tc>
          <w:tcPr>
            <w:tcW w:w="4788" w:type="dxa"/>
            <w:vAlign w:val="center"/>
          </w:tcPr>
          <w:p w:rsidR="000A552C" w:rsidRPr="000A552C" w:rsidRDefault="000A552C" w:rsidP="000A552C">
            <w:pPr>
              <w:jc w:val="center"/>
              <w:rPr>
                <w:rFonts w:cstheme="minorHAnsi"/>
              </w:rPr>
            </w:pPr>
            <w:r w:rsidRPr="000A552C">
              <w:rPr>
                <w:rFonts w:cstheme="minorHAnsi"/>
              </w:rPr>
              <w:t>5.00%</w:t>
            </w:r>
          </w:p>
        </w:tc>
      </w:tr>
      <w:tr w:rsidR="000A552C" w:rsidRPr="000A552C" w:rsidTr="000A552C">
        <w:trPr>
          <w:jc w:val="center"/>
        </w:trPr>
        <w:tc>
          <w:tcPr>
            <w:tcW w:w="4788" w:type="dxa"/>
            <w:vAlign w:val="center"/>
          </w:tcPr>
          <w:p w:rsidR="000A552C" w:rsidRPr="000A552C" w:rsidRDefault="000A552C" w:rsidP="000A552C">
            <w:pPr>
              <w:jc w:val="center"/>
              <w:rPr>
                <w:rFonts w:cstheme="minorHAnsi"/>
              </w:rPr>
            </w:pPr>
            <w:proofErr w:type="spellStart"/>
            <w:r w:rsidRPr="000A552C">
              <w:rPr>
                <w:rFonts w:cstheme="minorHAnsi"/>
                <w:color w:val="000000"/>
              </w:rPr>
              <w:t>Zynlo</w:t>
            </w:r>
            <w:proofErr w:type="spellEnd"/>
            <w:r w:rsidRPr="000A552C">
              <w:rPr>
                <w:rFonts w:cstheme="minorHAnsi"/>
                <w:color w:val="000000"/>
              </w:rPr>
              <w:t xml:space="preserve"> Money Market Account</w:t>
            </w:r>
          </w:p>
        </w:tc>
        <w:tc>
          <w:tcPr>
            <w:tcW w:w="4788" w:type="dxa"/>
            <w:vAlign w:val="center"/>
          </w:tcPr>
          <w:p w:rsidR="000A552C" w:rsidRPr="000A552C" w:rsidRDefault="000A552C" w:rsidP="000A552C">
            <w:pPr>
              <w:jc w:val="center"/>
              <w:rPr>
                <w:rFonts w:cstheme="minorHAnsi"/>
              </w:rPr>
            </w:pPr>
            <w:r w:rsidRPr="000A552C">
              <w:rPr>
                <w:rFonts w:cstheme="minorHAnsi"/>
              </w:rPr>
              <w:t>5.00%</w:t>
            </w:r>
          </w:p>
        </w:tc>
      </w:tr>
      <w:tr w:rsidR="000A552C" w:rsidRPr="000A552C" w:rsidTr="000A552C">
        <w:trPr>
          <w:jc w:val="center"/>
        </w:trPr>
        <w:tc>
          <w:tcPr>
            <w:tcW w:w="4788" w:type="dxa"/>
            <w:vAlign w:val="center"/>
          </w:tcPr>
          <w:p w:rsidR="000A552C" w:rsidRPr="000A552C" w:rsidRDefault="000A552C" w:rsidP="000A552C">
            <w:pPr>
              <w:jc w:val="center"/>
              <w:rPr>
                <w:rFonts w:cstheme="minorHAnsi"/>
              </w:rPr>
            </w:pPr>
            <w:r w:rsidRPr="000A552C">
              <w:rPr>
                <w:rFonts w:cstheme="minorHAnsi"/>
                <w:color w:val="000000"/>
              </w:rPr>
              <w:t>First Foundation Bank Online Money Market</w:t>
            </w:r>
          </w:p>
        </w:tc>
        <w:tc>
          <w:tcPr>
            <w:tcW w:w="4788" w:type="dxa"/>
            <w:vAlign w:val="center"/>
          </w:tcPr>
          <w:p w:rsidR="000A552C" w:rsidRPr="000A552C" w:rsidRDefault="000A552C" w:rsidP="000A552C">
            <w:pPr>
              <w:jc w:val="center"/>
              <w:rPr>
                <w:rFonts w:cstheme="minorHAnsi"/>
              </w:rPr>
            </w:pPr>
            <w:r w:rsidRPr="000A552C">
              <w:rPr>
                <w:rFonts w:cstheme="minorHAnsi"/>
              </w:rPr>
              <w:t>4.90%</w:t>
            </w:r>
          </w:p>
        </w:tc>
      </w:tr>
    </w:tbl>
    <w:p w:rsidR="00193461" w:rsidRDefault="00193461" w:rsidP="00B76AAF">
      <w:pPr>
        <w:rPr>
          <w:b/>
          <w:bCs/>
        </w:rPr>
      </w:pPr>
    </w:p>
    <w:p w:rsidR="00F871F6" w:rsidRDefault="006B70F6" w:rsidP="00B76AAF">
      <w:r w:rsidRPr="006B70F6">
        <w:rPr>
          <w:b/>
          <w:bCs/>
        </w:rPr>
        <w:t>US Money Market Treasury Yield </w:t>
      </w:r>
      <w:r>
        <w:rPr>
          <w:b/>
          <w:bCs/>
        </w:rPr>
        <w:t>(Historical data):</w:t>
      </w:r>
    </w:p>
    <w:tbl>
      <w:tblPr>
        <w:tblStyle w:val="TableGrid"/>
        <w:tblW w:w="6318" w:type="dxa"/>
        <w:tblLook w:val="04A0" w:firstRow="1" w:lastRow="0" w:firstColumn="1" w:lastColumn="0" w:noHBand="0" w:noVBand="1"/>
      </w:tblPr>
      <w:tblGrid>
        <w:gridCol w:w="2946"/>
        <w:gridCol w:w="1542"/>
        <w:gridCol w:w="1830"/>
      </w:tblGrid>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b/>
                <w:bCs/>
              </w:rPr>
            </w:pPr>
            <w:r w:rsidRPr="00193461">
              <w:rPr>
                <w:rFonts w:cstheme="minorHAnsi"/>
                <w:b/>
                <w:bCs/>
              </w:rPr>
              <w:t>Date</w:t>
            </w:r>
          </w:p>
        </w:tc>
        <w:tc>
          <w:tcPr>
            <w:tcW w:w="1830" w:type="dxa"/>
            <w:vAlign w:val="center"/>
            <w:hideMark/>
          </w:tcPr>
          <w:p w:rsidR="003F70E6" w:rsidRPr="00193461" w:rsidRDefault="003F70E6" w:rsidP="00193461">
            <w:pPr>
              <w:spacing w:after="200" w:line="276" w:lineRule="auto"/>
              <w:jc w:val="center"/>
              <w:rPr>
                <w:rFonts w:cstheme="minorHAnsi"/>
                <w:b/>
                <w:bCs/>
              </w:rPr>
            </w:pPr>
            <w:r w:rsidRPr="00193461">
              <w:rPr>
                <w:rFonts w:cstheme="minorHAnsi"/>
                <w:b/>
                <w:bCs/>
              </w:rPr>
              <w:t>Value</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June 30, 2024</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5.33%</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September 30, 2023</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5.33%</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July 31, 2023</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5.08%</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May 31, 2023</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4.83%</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March 31, 2023</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4.57%</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January 31, 2023</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4.33%</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December 31, 2022</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3.83%</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October 31, 2022</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3.08%</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September 30, 2022</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2.33%</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August 31, 2022</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2.32%</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July 31, 2022</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1.58%</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May 31, 2022</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0.33%</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February 28, 2022</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0.08%</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December 31, 2021</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0.07%</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September 30, 2021</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0.06%</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July 31, 2021</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0.08%</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June 30, 2021</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0.05%</w:t>
            </w:r>
          </w:p>
        </w:tc>
      </w:tr>
      <w:tr w:rsidR="003F70E6" w:rsidRPr="00193461" w:rsidTr="00193461">
        <w:tc>
          <w:tcPr>
            <w:tcW w:w="0" w:type="auto"/>
            <w:gridSpan w:val="2"/>
            <w:vAlign w:val="center"/>
            <w:hideMark/>
          </w:tcPr>
          <w:p w:rsidR="003F70E6" w:rsidRPr="00193461" w:rsidRDefault="003F70E6" w:rsidP="00193461">
            <w:pPr>
              <w:spacing w:after="200" w:line="276" w:lineRule="auto"/>
              <w:jc w:val="center"/>
              <w:rPr>
                <w:rFonts w:cstheme="minorHAnsi"/>
              </w:rPr>
            </w:pPr>
            <w:r w:rsidRPr="00193461">
              <w:rPr>
                <w:rFonts w:cstheme="minorHAnsi"/>
              </w:rPr>
              <w:t>May 31, 2021</w:t>
            </w:r>
          </w:p>
        </w:tc>
        <w:tc>
          <w:tcPr>
            <w:tcW w:w="1830" w:type="dxa"/>
            <w:vAlign w:val="center"/>
            <w:hideMark/>
          </w:tcPr>
          <w:p w:rsidR="003F70E6" w:rsidRPr="00193461" w:rsidRDefault="003F70E6" w:rsidP="00193461">
            <w:pPr>
              <w:spacing w:after="200" w:line="276" w:lineRule="auto"/>
              <w:jc w:val="center"/>
              <w:rPr>
                <w:rFonts w:cstheme="minorHAnsi"/>
              </w:rPr>
            </w:pPr>
            <w:r w:rsidRPr="00193461">
              <w:rPr>
                <w:rFonts w:cstheme="minorHAnsi"/>
              </w:rPr>
              <w:t>0.06%</w:t>
            </w:r>
          </w:p>
        </w:tc>
      </w:tr>
      <w:tr w:rsidR="003F70E6" w:rsidRPr="00193461" w:rsidTr="00193461">
        <w:trPr>
          <w:gridAfter w:val="1"/>
          <w:wAfter w:w="1830" w:type="dxa"/>
        </w:trPr>
        <w:tc>
          <w:tcPr>
            <w:tcW w:w="0" w:type="auto"/>
            <w:vAlign w:val="center"/>
            <w:hideMark/>
          </w:tcPr>
          <w:p w:rsidR="003F70E6" w:rsidRPr="00193461" w:rsidRDefault="003F70E6" w:rsidP="00193461">
            <w:pPr>
              <w:spacing w:after="200" w:line="276" w:lineRule="auto"/>
              <w:jc w:val="center"/>
              <w:rPr>
                <w:rFonts w:cstheme="minorHAnsi"/>
              </w:rPr>
            </w:pPr>
            <w:r w:rsidRPr="00193461">
              <w:rPr>
                <w:rFonts w:cstheme="minorHAnsi"/>
              </w:rPr>
              <w:lastRenderedPageBreak/>
              <w:t>April 30, 2021</w:t>
            </w:r>
          </w:p>
        </w:tc>
        <w:tc>
          <w:tcPr>
            <w:tcW w:w="0" w:type="auto"/>
            <w:vAlign w:val="center"/>
            <w:hideMark/>
          </w:tcPr>
          <w:p w:rsidR="003F70E6" w:rsidRPr="00193461" w:rsidRDefault="003F70E6" w:rsidP="00193461">
            <w:pPr>
              <w:spacing w:after="200" w:line="276" w:lineRule="auto"/>
              <w:jc w:val="center"/>
              <w:rPr>
                <w:rFonts w:cstheme="minorHAnsi"/>
              </w:rPr>
            </w:pPr>
            <w:r w:rsidRPr="00193461">
              <w:rPr>
                <w:rFonts w:cstheme="minorHAnsi"/>
              </w:rPr>
              <w:t>0.07%</w:t>
            </w:r>
          </w:p>
        </w:tc>
      </w:tr>
    </w:tbl>
    <w:p w:rsidR="00F871F6" w:rsidRDefault="006B70F6">
      <w:r>
        <w:rPr>
          <w:noProof/>
        </w:rPr>
        <w:drawing>
          <wp:anchor distT="0" distB="0" distL="114300" distR="114300" simplePos="0" relativeHeight="251658240" behindDoc="1" locked="0" layoutInCell="1" allowOverlap="1" wp14:anchorId="215F744D" wp14:editId="65FD8051">
            <wp:simplePos x="0" y="0"/>
            <wp:positionH relativeFrom="column">
              <wp:posOffset>0</wp:posOffset>
            </wp:positionH>
            <wp:positionV relativeFrom="paragraph">
              <wp:posOffset>3175</wp:posOffset>
            </wp:positionV>
            <wp:extent cx="6335395" cy="3801110"/>
            <wp:effectExtent l="0" t="0" r="27305" b="27940"/>
            <wp:wrapTight wrapText="bothSides">
              <wp:wrapPolygon edited="0">
                <wp:start x="0" y="0"/>
                <wp:lineTo x="0" y="21651"/>
                <wp:lineTo x="21628" y="21651"/>
                <wp:lineTo x="21628"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871F6">
        <w:br w:type="page"/>
      </w:r>
    </w:p>
    <w:p w:rsidR="000A552C" w:rsidRDefault="00F871F6" w:rsidP="00F871F6">
      <w:pPr>
        <w:pStyle w:val="Heading1"/>
        <w:jc w:val="center"/>
      </w:pPr>
      <w:bookmarkStart w:id="49" w:name="_Toc170221090"/>
      <w:r>
        <w:lastRenderedPageBreak/>
        <w:t>Individual Retirement Accounts</w:t>
      </w:r>
      <w:bookmarkEnd w:id="49"/>
    </w:p>
    <w:p w:rsidR="00F871F6" w:rsidRDefault="00F871F6" w:rsidP="00F871F6"/>
    <w:p w:rsidR="00F871F6" w:rsidRPr="00F871F6" w:rsidRDefault="00F871F6" w:rsidP="00F871F6">
      <w:r w:rsidRPr="00F871F6">
        <w:t xml:space="preserve">Individual Retirement Accounts (IRAs) are tax-advantaged accounts designed to help individuals save for </w:t>
      </w:r>
      <w:r>
        <w:t>retirement.</w:t>
      </w:r>
    </w:p>
    <w:p w:rsidR="00F871F6" w:rsidRPr="00F871F6" w:rsidRDefault="00F871F6" w:rsidP="00F871F6">
      <w:pPr>
        <w:rPr>
          <w:b/>
          <w:bCs/>
        </w:rPr>
      </w:pPr>
      <w:r w:rsidRPr="00F871F6">
        <w:rPr>
          <w:b/>
          <w:bCs/>
        </w:rPr>
        <w:t>Types of IRAs</w:t>
      </w:r>
    </w:p>
    <w:p w:rsidR="00F871F6" w:rsidRPr="00F871F6" w:rsidRDefault="00F871F6" w:rsidP="00D02CB8">
      <w:pPr>
        <w:numPr>
          <w:ilvl w:val="0"/>
          <w:numId w:val="11"/>
        </w:numPr>
      </w:pPr>
      <w:r w:rsidRPr="00F871F6">
        <w:rPr>
          <w:b/>
          <w:bCs/>
        </w:rPr>
        <w:t>Traditional IRA</w:t>
      </w:r>
      <w:r w:rsidRPr="00F871F6">
        <w:t>:</w:t>
      </w:r>
    </w:p>
    <w:p w:rsidR="00F871F6" w:rsidRPr="00F871F6" w:rsidRDefault="00F871F6" w:rsidP="00D02CB8">
      <w:pPr>
        <w:numPr>
          <w:ilvl w:val="1"/>
          <w:numId w:val="11"/>
        </w:numPr>
      </w:pPr>
      <w:r w:rsidRPr="00F871F6">
        <w:rPr>
          <w:b/>
          <w:bCs/>
        </w:rPr>
        <w:t>Tax Deductibility</w:t>
      </w:r>
      <w:r w:rsidRPr="00F871F6">
        <w:t>: Contributions may be tax-deductible, depending on income, filing status, and whether the individual or spouse is covered by a retirement plan at work.</w:t>
      </w:r>
    </w:p>
    <w:p w:rsidR="00F871F6" w:rsidRPr="00F871F6" w:rsidRDefault="00F871F6" w:rsidP="00D02CB8">
      <w:pPr>
        <w:numPr>
          <w:ilvl w:val="1"/>
          <w:numId w:val="11"/>
        </w:numPr>
      </w:pPr>
      <w:r w:rsidRPr="00F871F6">
        <w:rPr>
          <w:b/>
          <w:bCs/>
        </w:rPr>
        <w:t>Taxation</w:t>
      </w:r>
      <w:r w:rsidRPr="00F871F6">
        <w:t>: Contributions grow tax-deferred. Withdrawals in retirement are taxed as ordinary income.</w:t>
      </w:r>
    </w:p>
    <w:p w:rsidR="00F871F6" w:rsidRPr="00F871F6" w:rsidRDefault="00F871F6" w:rsidP="00D02CB8">
      <w:pPr>
        <w:numPr>
          <w:ilvl w:val="1"/>
          <w:numId w:val="11"/>
        </w:numPr>
      </w:pPr>
      <w:r w:rsidRPr="00F871F6">
        <w:rPr>
          <w:b/>
          <w:bCs/>
        </w:rPr>
        <w:t>Contribution Limits</w:t>
      </w:r>
      <w:r w:rsidRPr="00F871F6">
        <w:t>: For 2023, the limit is $6,500 per year ($7,500 if age 50 or older).</w:t>
      </w:r>
    </w:p>
    <w:p w:rsidR="00F871F6" w:rsidRDefault="00F871F6" w:rsidP="00D02CB8">
      <w:pPr>
        <w:numPr>
          <w:ilvl w:val="1"/>
          <w:numId w:val="11"/>
        </w:numPr>
      </w:pPr>
      <w:r w:rsidRPr="00F871F6">
        <w:rPr>
          <w:b/>
          <w:bCs/>
        </w:rPr>
        <w:t>Required Minimum Distributions (RMDs)</w:t>
      </w:r>
      <w:r w:rsidRPr="00F871F6">
        <w:t>: Must start at age 72.</w:t>
      </w:r>
    </w:p>
    <w:p w:rsidR="00F871F6" w:rsidRPr="00F871F6" w:rsidRDefault="00F871F6" w:rsidP="00D02CB8">
      <w:pPr>
        <w:numPr>
          <w:ilvl w:val="1"/>
          <w:numId w:val="11"/>
        </w:numPr>
      </w:pPr>
      <w:r w:rsidRPr="00F871F6">
        <w:t>Tax deductibility phases out for individuals covered by a workplace retirement plan:</w:t>
      </w:r>
    </w:p>
    <w:p w:rsidR="00F871F6" w:rsidRPr="00F871F6" w:rsidRDefault="00F871F6" w:rsidP="00D02CB8">
      <w:pPr>
        <w:numPr>
          <w:ilvl w:val="2"/>
          <w:numId w:val="11"/>
        </w:numPr>
      </w:pPr>
      <w:r w:rsidRPr="00F871F6">
        <w:t>Single filers: $73,000 to $83,000.</w:t>
      </w:r>
    </w:p>
    <w:p w:rsidR="00F871F6" w:rsidRPr="00F871F6" w:rsidRDefault="00F871F6" w:rsidP="00D02CB8">
      <w:pPr>
        <w:numPr>
          <w:ilvl w:val="2"/>
          <w:numId w:val="11"/>
        </w:numPr>
      </w:pPr>
      <w:r w:rsidRPr="00F871F6">
        <w:t>Married filing jointly: $116,000 to $136,000.</w:t>
      </w:r>
    </w:p>
    <w:p w:rsidR="00F871F6" w:rsidRPr="00F871F6" w:rsidRDefault="00F871F6" w:rsidP="00D02CB8">
      <w:pPr>
        <w:numPr>
          <w:ilvl w:val="0"/>
          <w:numId w:val="11"/>
        </w:numPr>
      </w:pPr>
      <w:r w:rsidRPr="00F871F6">
        <w:rPr>
          <w:b/>
          <w:bCs/>
        </w:rPr>
        <w:t>Roth IRA</w:t>
      </w:r>
      <w:r w:rsidRPr="00F871F6">
        <w:t>:</w:t>
      </w:r>
    </w:p>
    <w:p w:rsidR="00F871F6" w:rsidRPr="00F871F6" w:rsidRDefault="00F871F6" w:rsidP="00D02CB8">
      <w:pPr>
        <w:numPr>
          <w:ilvl w:val="1"/>
          <w:numId w:val="11"/>
        </w:numPr>
      </w:pPr>
      <w:r w:rsidRPr="00F871F6">
        <w:rPr>
          <w:b/>
          <w:bCs/>
        </w:rPr>
        <w:t>Tax Deductibility</w:t>
      </w:r>
      <w:r w:rsidRPr="00F871F6">
        <w:t>: Contributions are not tax-deductible.</w:t>
      </w:r>
    </w:p>
    <w:p w:rsidR="00F871F6" w:rsidRPr="00F871F6" w:rsidRDefault="00F871F6" w:rsidP="00D02CB8">
      <w:pPr>
        <w:numPr>
          <w:ilvl w:val="1"/>
          <w:numId w:val="11"/>
        </w:numPr>
      </w:pPr>
      <w:r w:rsidRPr="00F871F6">
        <w:rPr>
          <w:b/>
          <w:bCs/>
        </w:rPr>
        <w:t>Taxation</w:t>
      </w:r>
      <w:r w:rsidRPr="00F871F6">
        <w:t>: Contributions grow tax-free. Qualified withdrawals in retirement are tax-free.</w:t>
      </w:r>
    </w:p>
    <w:p w:rsidR="00F871F6" w:rsidRPr="00F871F6" w:rsidRDefault="00F871F6" w:rsidP="00D02CB8">
      <w:pPr>
        <w:numPr>
          <w:ilvl w:val="1"/>
          <w:numId w:val="11"/>
        </w:numPr>
      </w:pPr>
      <w:r w:rsidRPr="00F871F6">
        <w:rPr>
          <w:b/>
          <w:bCs/>
        </w:rPr>
        <w:t>Contribution Limits</w:t>
      </w:r>
      <w:r w:rsidRPr="00F871F6">
        <w:t>: Same as Traditional IRA, but subject to income limits for eligibility.</w:t>
      </w:r>
    </w:p>
    <w:p w:rsidR="00F871F6" w:rsidRDefault="00F871F6" w:rsidP="00D02CB8">
      <w:pPr>
        <w:numPr>
          <w:ilvl w:val="1"/>
          <w:numId w:val="11"/>
        </w:numPr>
      </w:pPr>
      <w:r w:rsidRPr="00F871F6">
        <w:rPr>
          <w:b/>
          <w:bCs/>
        </w:rPr>
        <w:t>RMDs</w:t>
      </w:r>
      <w:r w:rsidRPr="00F871F6">
        <w:t>: No RMDs during the account holder’s lifetime.</w:t>
      </w:r>
    </w:p>
    <w:p w:rsidR="00F871F6" w:rsidRPr="00F871F6" w:rsidRDefault="00F871F6" w:rsidP="00D02CB8">
      <w:pPr>
        <w:numPr>
          <w:ilvl w:val="1"/>
          <w:numId w:val="11"/>
        </w:numPr>
      </w:pPr>
      <w:r w:rsidRPr="00F871F6">
        <w:t>Contribution eligibility phases out:</w:t>
      </w:r>
    </w:p>
    <w:p w:rsidR="00F871F6" w:rsidRPr="00F871F6" w:rsidRDefault="00F871F6" w:rsidP="00D02CB8">
      <w:pPr>
        <w:numPr>
          <w:ilvl w:val="2"/>
          <w:numId w:val="11"/>
        </w:numPr>
      </w:pPr>
      <w:r w:rsidRPr="00F871F6">
        <w:t>Single filers: $138,000 to $153,000.</w:t>
      </w:r>
    </w:p>
    <w:p w:rsidR="00F871F6" w:rsidRPr="00F871F6" w:rsidRDefault="00F871F6" w:rsidP="00D02CB8">
      <w:pPr>
        <w:numPr>
          <w:ilvl w:val="2"/>
          <w:numId w:val="11"/>
        </w:numPr>
      </w:pPr>
      <w:r w:rsidRPr="00F871F6">
        <w:t>Married filing jointly: $218,000 to $228,000.</w:t>
      </w:r>
    </w:p>
    <w:p w:rsidR="00F871F6" w:rsidRPr="00F871F6" w:rsidRDefault="00F871F6" w:rsidP="00D02CB8">
      <w:pPr>
        <w:numPr>
          <w:ilvl w:val="0"/>
          <w:numId w:val="11"/>
        </w:numPr>
      </w:pPr>
      <w:r w:rsidRPr="00F871F6">
        <w:rPr>
          <w:b/>
          <w:bCs/>
        </w:rPr>
        <w:t>SEP IRA (Simplified Employee Pension)</w:t>
      </w:r>
      <w:r w:rsidRPr="00F871F6">
        <w:t>:</w:t>
      </w:r>
    </w:p>
    <w:p w:rsidR="00F871F6" w:rsidRPr="00F871F6" w:rsidRDefault="00F871F6" w:rsidP="00D02CB8">
      <w:pPr>
        <w:numPr>
          <w:ilvl w:val="1"/>
          <w:numId w:val="11"/>
        </w:numPr>
      </w:pPr>
      <w:r w:rsidRPr="00F871F6">
        <w:rPr>
          <w:b/>
          <w:bCs/>
        </w:rPr>
        <w:t>Tax Deductibility</w:t>
      </w:r>
      <w:r w:rsidRPr="00F871F6">
        <w:t>: Contributions are tax-deductible for the employer.</w:t>
      </w:r>
    </w:p>
    <w:p w:rsidR="00F871F6" w:rsidRPr="00F871F6" w:rsidRDefault="00F871F6" w:rsidP="00D02CB8">
      <w:pPr>
        <w:numPr>
          <w:ilvl w:val="1"/>
          <w:numId w:val="11"/>
        </w:numPr>
      </w:pPr>
      <w:r w:rsidRPr="00F871F6">
        <w:rPr>
          <w:b/>
          <w:bCs/>
        </w:rPr>
        <w:t>Taxation</w:t>
      </w:r>
      <w:r w:rsidRPr="00F871F6">
        <w:t>: Contributions grow tax-deferred. Withdrawals are taxed as ordinary income.</w:t>
      </w:r>
    </w:p>
    <w:p w:rsidR="00F871F6" w:rsidRPr="00F871F6" w:rsidRDefault="00F871F6" w:rsidP="00D02CB8">
      <w:pPr>
        <w:numPr>
          <w:ilvl w:val="1"/>
          <w:numId w:val="11"/>
        </w:numPr>
      </w:pPr>
      <w:r w:rsidRPr="00F871F6">
        <w:rPr>
          <w:b/>
          <w:bCs/>
        </w:rPr>
        <w:t>Contribution Limits</w:t>
      </w:r>
      <w:r w:rsidRPr="00F871F6">
        <w:t xml:space="preserve">: Up to 25% of compensation or $66,000 for 2023, whichever is </w:t>
      </w:r>
      <w:proofErr w:type="gramStart"/>
      <w:r w:rsidRPr="00F871F6">
        <w:t>less.</w:t>
      </w:r>
      <w:proofErr w:type="gramEnd"/>
    </w:p>
    <w:p w:rsidR="00F871F6" w:rsidRPr="00F871F6" w:rsidRDefault="00F871F6" w:rsidP="00D02CB8">
      <w:pPr>
        <w:numPr>
          <w:ilvl w:val="1"/>
          <w:numId w:val="11"/>
        </w:numPr>
      </w:pPr>
      <w:r w:rsidRPr="00F871F6">
        <w:rPr>
          <w:b/>
          <w:bCs/>
        </w:rPr>
        <w:lastRenderedPageBreak/>
        <w:t>RMDs</w:t>
      </w:r>
      <w:r w:rsidRPr="00F871F6">
        <w:t>: Must start at age 72.</w:t>
      </w:r>
    </w:p>
    <w:p w:rsidR="00F871F6" w:rsidRPr="00F871F6" w:rsidRDefault="00F871F6" w:rsidP="00D02CB8">
      <w:pPr>
        <w:numPr>
          <w:ilvl w:val="0"/>
          <w:numId w:val="11"/>
        </w:numPr>
      </w:pPr>
      <w:r w:rsidRPr="00F871F6">
        <w:rPr>
          <w:b/>
          <w:bCs/>
        </w:rPr>
        <w:t>SIMPLE IRA (Savings Incentive Match Plan for Employees)</w:t>
      </w:r>
      <w:r w:rsidRPr="00F871F6">
        <w:t>:</w:t>
      </w:r>
    </w:p>
    <w:p w:rsidR="00F871F6" w:rsidRPr="00F871F6" w:rsidRDefault="00F871F6" w:rsidP="00D02CB8">
      <w:pPr>
        <w:numPr>
          <w:ilvl w:val="1"/>
          <w:numId w:val="11"/>
        </w:numPr>
      </w:pPr>
      <w:r w:rsidRPr="00F871F6">
        <w:rPr>
          <w:b/>
          <w:bCs/>
        </w:rPr>
        <w:t>Tax Deductibility</w:t>
      </w:r>
      <w:r w:rsidRPr="00F871F6">
        <w:t>: Contributions are tax-deductible for both employees and employers.</w:t>
      </w:r>
    </w:p>
    <w:p w:rsidR="00F871F6" w:rsidRPr="00F871F6" w:rsidRDefault="00F871F6" w:rsidP="00D02CB8">
      <w:pPr>
        <w:numPr>
          <w:ilvl w:val="1"/>
          <w:numId w:val="11"/>
        </w:numPr>
      </w:pPr>
      <w:r w:rsidRPr="00F871F6">
        <w:rPr>
          <w:b/>
          <w:bCs/>
        </w:rPr>
        <w:t>Taxation</w:t>
      </w:r>
      <w:r w:rsidRPr="00F871F6">
        <w:t>: Contributions grow tax-deferred. Withdrawals are taxed as ordinary income.</w:t>
      </w:r>
    </w:p>
    <w:p w:rsidR="00F871F6" w:rsidRPr="00F871F6" w:rsidRDefault="00F871F6" w:rsidP="00D02CB8">
      <w:pPr>
        <w:numPr>
          <w:ilvl w:val="1"/>
          <w:numId w:val="11"/>
        </w:numPr>
      </w:pPr>
      <w:r w:rsidRPr="00F871F6">
        <w:rPr>
          <w:b/>
          <w:bCs/>
        </w:rPr>
        <w:t>Contribution Limits</w:t>
      </w:r>
      <w:r w:rsidRPr="00F871F6">
        <w:t xml:space="preserve">: Employee contribution limit is $15,500 for 2023 ($19,000 if age 50 or older). Employers must match contributions up to 3% of employee compensation or make a 2% </w:t>
      </w:r>
      <w:proofErr w:type="spellStart"/>
      <w:r w:rsidRPr="00F871F6">
        <w:t>nonelective</w:t>
      </w:r>
      <w:proofErr w:type="spellEnd"/>
      <w:r w:rsidRPr="00F871F6">
        <w:t xml:space="preserve"> contribution.</w:t>
      </w:r>
    </w:p>
    <w:p w:rsidR="00F871F6" w:rsidRPr="00F871F6" w:rsidRDefault="00F871F6" w:rsidP="00D02CB8">
      <w:pPr>
        <w:numPr>
          <w:ilvl w:val="1"/>
          <w:numId w:val="11"/>
        </w:numPr>
      </w:pPr>
      <w:r w:rsidRPr="00F871F6">
        <w:rPr>
          <w:b/>
          <w:bCs/>
        </w:rPr>
        <w:t>RMDs</w:t>
      </w:r>
      <w:r w:rsidRPr="00F871F6">
        <w:t>: Must start at age 72.</w:t>
      </w:r>
    </w:p>
    <w:p w:rsidR="00F871F6" w:rsidRPr="00F871F6" w:rsidRDefault="00F871F6" w:rsidP="00F871F6">
      <w:pPr>
        <w:rPr>
          <w:b/>
          <w:bCs/>
        </w:rPr>
      </w:pPr>
      <w:r>
        <w:rPr>
          <w:b/>
          <w:bCs/>
        </w:rPr>
        <w:t>Important</w:t>
      </w:r>
      <w:r w:rsidRPr="00F871F6">
        <w:rPr>
          <w:b/>
          <w:bCs/>
        </w:rPr>
        <w:t xml:space="preserve"> Terminology</w:t>
      </w:r>
      <w:r>
        <w:rPr>
          <w:b/>
          <w:bCs/>
        </w:rPr>
        <w:t>:</w:t>
      </w:r>
    </w:p>
    <w:p w:rsidR="00F871F6" w:rsidRPr="00F871F6" w:rsidRDefault="00F871F6" w:rsidP="00D02CB8">
      <w:pPr>
        <w:numPr>
          <w:ilvl w:val="0"/>
          <w:numId w:val="12"/>
        </w:numPr>
      </w:pPr>
      <w:r w:rsidRPr="00F871F6">
        <w:rPr>
          <w:b/>
          <w:bCs/>
        </w:rPr>
        <w:t>Contribution Limits</w:t>
      </w:r>
      <w:r w:rsidRPr="00F871F6">
        <w:t>:</w:t>
      </w:r>
      <w:r>
        <w:t xml:space="preserve"> </w:t>
      </w:r>
      <w:r w:rsidRPr="00F871F6">
        <w:t>The maximum amount that can be contributed to an IRA each year. Limits can vary by IRA type and age of the contributor.</w:t>
      </w:r>
    </w:p>
    <w:p w:rsidR="00F871F6" w:rsidRPr="00F871F6" w:rsidRDefault="00F871F6" w:rsidP="00D02CB8">
      <w:pPr>
        <w:numPr>
          <w:ilvl w:val="0"/>
          <w:numId w:val="12"/>
        </w:numPr>
      </w:pPr>
      <w:r w:rsidRPr="00F871F6">
        <w:rPr>
          <w:b/>
          <w:bCs/>
        </w:rPr>
        <w:t>Tax Deductibility</w:t>
      </w:r>
      <w:r w:rsidRPr="00F871F6">
        <w:t>:</w:t>
      </w:r>
      <w:r>
        <w:t xml:space="preserve"> </w:t>
      </w:r>
      <w:r w:rsidRPr="00F871F6">
        <w:t>Whether contributions to the IRA can be deducted from taxable income. This feature applies to Traditional IRAs and employer contributions to SEP and SIMPLE IRAs.</w:t>
      </w:r>
    </w:p>
    <w:p w:rsidR="00F871F6" w:rsidRPr="00F871F6" w:rsidRDefault="00F871F6" w:rsidP="00D02CB8">
      <w:pPr>
        <w:numPr>
          <w:ilvl w:val="0"/>
          <w:numId w:val="12"/>
        </w:numPr>
      </w:pPr>
      <w:r w:rsidRPr="00F871F6">
        <w:rPr>
          <w:b/>
          <w:bCs/>
        </w:rPr>
        <w:t>Tax-Deferred</w:t>
      </w:r>
      <w:r w:rsidRPr="00F871F6">
        <w:t>:</w:t>
      </w:r>
      <w:r>
        <w:t xml:space="preserve"> </w:t>
      </w:r>
      <w:r w:rsidRPr="00F871F6">
        <w:t>Earnings within the IRA grow without being taxed until withdrawals are made. Applies to Traditional, SEP, and SIMPLE IRAs.</w:t>
      </w:r>
    </w:p>
    <w:p w:rsidR="00F871F6" w:rsidRPr="00F871F6" w:rsidRDefault="00F871F6" w:rsidP="00D02CB8">
      <w:pPr>
        <w:numPr>
          <w:ilvl w:val="0"/>
          <w:numId w:val="12"/>
        </w:numPr>
      </w:pPr>
      <w:r w:rsidRPr="00F871F6">
        <w:rPr>
          <w:b/>
          <w:bCs/>
        </w:rPr>
        <w:t>Tax-Free</w:t>
      </w:r>
      <w:r w:rsidRPr="00F871F6">
        <w:t>:</w:t>
      </w:r>
      <w:r>
        <w:t xml:space="preserve"> </w:t>
      </w:r>
      <w:r w:rsidRPr="00F871F6">
        <w:t>Earnings and qualified withdrawals are not taxed. Applies to Roth IRAs.</w:t>
      </w:r>
    </w:p>
    <w:p w:rsidR="00F871F6" w:rsidRPr="00F871F6" w:rsidRDefault="00F871F6" w:rsidP="00D02CB8">
      <w:pPr>
        <w:numPr>
          <w:ilvl w:val="0"/>
          <w:numId w:val="12"/>
        </w:numPr>
      </w:pPr>
      <w:r w:rsidRPr="00F871F6">
        <w:rPr>
          <w:b/>
          <w:bCs/>
        </w:rPr>
        <w:t>Required Minimum Distributions (RMDs)</w:t>
      </w:r>
      <w:r w:rsidRPr="00F871F6">
        <w:t>:</w:t>
      </w:r>
      <w:r>
        <w:t xml:space="preserve"> </w:t>
      </w:r>
      <w:r w:rsidRPr="00F871F6">
        <w:t>The minimum amount that must be withdrawn from the IRA each year starting at age 72. Applies to Traditional, SEP, and SIMPLE IRAs, but not Roth IRAs.</w:t>
      </w:r>
    </w:p>
    <w:p w:rsidR="00F871F6" w:rsidRPr="00F871F6" w:rsidRDefault="00F871F6" w:rsidP="00D02CB8">
      <w:pPr>
        <w:numPr>
          <w:ilvl w:val="0"/>
          <w:numId w:val="12"/>
        </w:numPr>
      </w:pPr>
      <w:r w:rsidRPr="00F871F6">
        <w:rPr>
          <w:b/>
          <w:bCs/>
        </w:rPr>
        <w:t>Qualified Withdrawal</w:t>
      </w:r>
      <w:r w:rsidRPr="00F871F6">
        <w:t>:</w:t>
      </w:r>
      <w:r>
        <w:t xml:space="preserve"> </w:t>
      </w:r>
      <w:r w:rsidRPr="00F871F6">
        <w:t>A withdrawal that meets IRS criteria for being tax-free or penalty-free. For Roth IRAs, this typically means the account has been open for at least five years, and the withdrawal is made after age 59½.</w:t>
      </w:r>
    </w:p>
    <w:p w:rsidR="00F871F6" w:rsidRPr="00F871F6" w:rsidRDefault="00F871F6" w:rsidP="00D02CB8">
      <w:pPr>
        <w:numPr>
          <w:ilvl w:val="0"/>
          <w:numId w:val="12"/>
        </w:numPr>
      </w:pPr>
      <w:r w:rsidRPr="00F871F6">
        <w:rPr>
          <w:b/>
          <w:bCs/>
        </w:rPr>
        <w:t>Non-Qualified Withdrawal</w:t>
      </w:r>
      <w:r w:rsidRPr="00F871F6">
        <w:t>:</w:t>
      </w:r>
      <w:r>
        <w:t xml:space="preserve"> </w:t>
      </w:r>
      <w:r w:rsidRPr="00F871F6">
        <w:t>A withdrawal that does not meet IRS criteria and may be subject to taxes and penalties. For Roth IRAs, this means withdrawals made before age 59½ or within five years of opening the account.</w:t>
      </w:r>
    </w:p>
    <w:p w:rsidR="00F871F6" w:rsidRPr="00F871F6" w:rsidRDefault="00F871F6" w:rsidP="00D02CB8">
      <w:pPr>
        <w:numPr>
          <w:ilvl w:val="0"/>
          <w:numId w:val="12"/>
        </w:numPr>
      </w:pPr>
      <w:r w:rsidRPr="00F871F6">
        <w:rPr>
          <w:b/>
          <w:bCs/>
        </w:rPr>
        <w:t>Catch-Up Contribution</w:t>
      </w:r>
      <w:r w:rsidRPr="00F871F6">
        <w:t>:</w:t>
      </w:r>
      <w:r>
        <w:t xml:space="preserve"> </w:t>
      </w:r>
      <w:r w:rsidRPr="00F871F6">
        <w:t>Additional contributions allowed for individuals age 50 and older, above the standard contribution limit.</w:t>
      </w:r>
    </w:p>
    <w:p w:rsidR="00F871F6" w:rsidRPr="00F871F6" w:rsidRDefault="00F871F6" w:rsidP="00D02CB8">
      <w:pPr>
        <w:numPr>
          <w:ilvl w:val="0"/>
          <w:numId w:val="12"/>
        </w:numPr>
      </w:pPr>
      <w:r w:rsidRPr="00F871F6">
        <w:rPr>
          <w:b/>
          <w:bCs/>
        </w:rPr>
        <w:t>Rollovers</w:t>
      </w:r>
      <w:r w:rsidRPr="00F871F6">
        <w:t>:</w:t>
      </w:r>
      <w:r>
        <w:t xml:space="preserve"> </w:t>
      </w:r>
      <w:r w:rsidRPr="00F871F6">
        <w:t>The process of moving funds from one retirement account to another (e.g., from a 401(k) to an IRA) without incurring taxes or penalties, as long as the rollover is completed within 60 days.</w:t>
      </w:r>
    </w:p>
    <w:p w:rsidR="00D02CB8" w:rsidRDefault="00D02CB8" w:rsidP="00D02CB8">
      <w:pPr>
        <w:rPr>
          <w:b/>
          <w:bCs/>
        </w:rPr>
      </w:pPr>
    </w:p>
    <w:p w:rsidR="00D02CB8" w:rsidRPr="00D02CB8" w:rsidRDefault="00D02CB8" w:rsidP="00D02CB8">
      <w:pPr>
        <w:rPr>
          <w:b/>
        </w:rPr>
      </w:pPr>
      <w:r w:rsidRPr="00D02CB8">
        <w:rPr>
          <w:b/>
        </w:rPr>
        <w:lastRenderedPageBreak/>
        <w:t xml:space="preserve">Market Size: </w:t>
      </w:r>
    </w:p>
    <w:p w:rsidR="00D02CB8" w:rsidRPr="00D02CB8" w:rsidRDefault="00D02CB8" w:rsidP="00D02CB8">
      <w:pPr>
        <w:numPr>
          <w:ilvl w:val="0"/>
          <w:numId w:val="13"/>
        </w:numPr>
      </w:pPr>
      <w:r w:rsidRPr="00D02CB8">
        <w:t>As of Q4 2023, total IRA assets in the U.S. reached approximately $13.9 trillion (Investment Company Institute data)</w:t>
      </w:r>
    </w:p>
    <w:p w:rsidR="00D02CB8" w:rsidRPr="00D02CB8" w:rsidRDefault="00D02CB8" w:rsidP="00D02CB8">
      <w:pPr>
        <w:numPr>
          <w:ilvl w:val="0"/>
          <w:numId w:val="13"/>
        </w:numPr>
      </w:pPr>
      <w:r w:rsidRPr="00D02CB8">
        <w:t>Traditional IRAs: $10.2 trillion</w:t>
      </w:r>
    </w:p>
    <w:p w:rsidR="00D02CB8" w:rsidRPr="00D02CB8" w:rsidRDefault="00D02CB8" w:rsidP="00D02CB8">
      <w:pPr>
        <w:numPr>
          <w:ilvl w:val="0"/>
          <w:numId w:val="13"/>
        </w:numPr>
      </w:pPr>
      <w:r w:rsidRPr="00D02CB8">
        <w:t>Roth IRAs: $1.7 trillion</w:t>
      </w:r>
    </w:p>
    <w:p w:rsidR="00D02CB8" w:rsidRPr="00D02CB8" w:rsidRDefault="00D02CB8" w:rsidP="00D02CB8">
      <w:pPr>
        <w:numPr>
          <w:ilvl w:val="0"/>
          <w:numId w:val="13"/>
        </w:numPr>
      </w:pPr>
      <w:r w:rsidRPr="00D02CB8">
        <w:t>SEP IRAs and SIMPLE IRAs: $2 trillion</w:t>
      </w:r>
    </w:p>
    <w:p w:rsidR="00D02CB8" w:rsidRPr="00D02CB8" w:rsidRDefault="00D02CB8" w:rsidP="00D02CB8">
      <w:pPr>
        <w:rPr>
          <w:b/>
        </w:rPr>
      </w:pPr>
      <w:r w:rsidRPr="00D02CB8">
        <w:rPr>
          <w:b/>
        </w:rPr>
        <w:t xml:space="preserve">Participation Rates: </w:t>
      </w:r>
    </w:p>
    <w:p w:rsidR="00D02CB8" w:rsidRPr="00D02CB8" w:rsidRDefault="00D02CB8" w:rsidP="00D02CB8">
      <w:pPr>
        <w:numPr>
          <w:ilvl w:val="0"/>
          <w:numId w:val="14"/>
        </w:numPr>
      </w:pPr>
      <w:r w:rsidRPr="00D02CB8">
        <w:t>According to a 2023 Federal Reserve survey, about 37% of U.S. households own an IRA</w:t>
      </w:r>
    </w:p>
    <w:p w:rsidR="00D02CB8" w:rsidRPr="00D02CB8" w:rsidRDefault="00D02CB8" w:rsidP="00D02CB8">
      <w:pPr>
        <w:numPr>
          <w:ilvl w:val="0"/>
          <w:numId w:val="14"/>
        </w:numPr>
      </w:pPr>
      <w:r w:rsidRPr="00D02CB8">
        <w:t xml:space="preserve">Ownership increases with age and income: </w:t>
      </w:r>
    </w:p>
    <w:p w:rsidR="00D02CB8" w:rsidRPr="00D02CB8" w:rsidRDefault="00D02CB8" w:rsidP="00D02CB8">
      <w:pPr>
        <w:numPr>
          <w:ilvl w:val="1"/>
          <w:numId w:val="14"/>
        </w:numPr>
      </w:pPr>
      <w:r w:rsidRPr="00D02CB8">
        <w:t>25% for those under 35</w:t>
      </w:r>
    </w:p>
    <w:p w:rsidR="00D02CB8" w:rsidRPr="00D02CB8" w:rsidRDefault="00D02CB8" w:rsidP="00D02CB8">
      <w:pPr>
        <w:numPr>
          <w:ilvl w:val="1"/>
          <w:numId w:val="14"/>
        </w:numPr>
      </w:pPr>
      <w:r w:rsidRPr="00D02CB8">
        <w:t>48% for those 65 and older</w:t>
      </w:r>
    </w:p>
    <w:p w:rsidR="00D02CB8" w:rsidRPr="00D02CB8" w:rsidRDefault="00D02CB8" w:rsidP="00D02CB8">
      <w:pPr>
        <w:numPr>
          <w:ilvl w:val="1"/>
          <w:numId w:val="14"/>
        </w:numPr>
      </w:pPr>
      <w:r w:rsidRPr="00D02CB8">
        <w:t>62% for households with incomes over $100,000</w:t>
      </w:r>
    </w:p>
    <w:p w:rsidR="00D02CB8" w:rsidRPr="00D02CB8" w:rsidRDefault="00D02CB8" w:rsidP="00D02CB8">
      <w:pPr>
        <w:rPr>
          <w:b/>
        </w:rPr>
      </w:pPr>
      <w:r w:rsidRPr="00D02CB8">
        <w:rPr>
          <w:b/>
        </w:rPr>
        <w:t xml:space="preserve">Average Balances (as of 2023): </w:t>
      </w:r>
    </w:p>
    <w:p w:rsidR="00D02CB8" w:rsidRPr="00D02CB8" w:rsidRDefault="00D02CB8" w:rsidP="00D02CB8">
      <w:pPr>
        <w:numPr>
          <w:ilvl w:val="0"/>
          <w:numId w:val="15"/>
        </w:numPr>
      </w:pPr>
      <w:r w:rsidRPr="00D02CB8">
        <w:t>Average Traditional IRA balance: $113,800</w:t>
      </w:r>
    </w:p>
    <w:p w:rsidR="00D02CB8" w:rsidRPr="00D02CB8" w:rsidRDefault="00D02CB8" w:rsidP="00D02CB8">
      <w:pPr>
        <w:numPr>
          <w:ilvl w:val="0"/>
          <w:numId w:val="15"/>
        </w:numPr>
      </w:pPr>
      <w:r w:rsidRPr="00D02CB8">
        <w:t>Average Roth IRA balance: $44,300</w:t>
      </w:r>
    </w:p>
    <w:p w:rsidR="00D02CB8" w:rsidRPr="00D02CB8" w:rsidRDefault="00D02CB8" w:rsidP="00D02CB8">
      <w:r w:rsidRPr="00D02CB8">
        <w:rPr>
          <w:b/>
        </w:rPr>
        <w:t>Conversion Trends:</w:t>
      </w:r>
      <w:r w:rsidRPr="00D02CB8">
        <w:t xml:space="preserve"> Roth IRA conversions increased by 18% in 2023 compared to 2022, as more individuals sought to take advantage of tax-free growth</w:t>
      </w:r>
      <w:r>
        <w:t xml:space="preserve">. </w:t>
      </w:r>
    </w:p>
    <w:p w:rsidR="00D02CB8" w:rsidRPr="00D02CB8" w:rsidRDefault="00D02CB8" w:rsidP="00D02CB8">
      <w:pPr>
        <w:rPr>
          <w:b/>
        </w:rPr>
      </w:pPr>
      <w:r w:rsidRPr="00D02CB8">
        <w:rPr>
          <w:b/>
        </w:rPr>
        <w:t xml:space="preserve">Investment Allocations: </w:t>
      </w:r>
    </w:p>
    <w:p w:rsidR="00D02CB8" w:rsidRPr="00D02CB8" w:rsidRDefault="00D02CB8" w:rsidP="00D02CB8">
      <w:r w:rsidRPr="00D02CB8">
        <w:t>According to a 2023 Inve</w:t>
      </w:r>
      <w:r>
        <w:t>stment Company Institute study:</w:t>
      </w:r>
    </w:p>
    <w:p w:rsidR="00D02CB8" w:rsidRPr="00D02CB8" w:rsidRDefault="00D02CB8" w:rsidP="00D02CB8">
      <w:pPr>
        <w:numPr>
          <w:ilvl w:val="0"/>
          <w:numId w:val="16"/>
        </w:numPr>
      </w:pPr>
      <w:r w:rsidRPr="00D02CB8">
        <w:t>Mutual funds: 44%</w:t>
      </w:r>
    </w:p>
    <w:p w:rsidR="00D02CB8" w:rsidRPr="00D02CB8" w:rsidRDefault="00D02CB8" w:rsidP="00D02CB8">
      <w:pPr>
        <w:numPr>
          <w:ilvl w:val="0"/>
          <w:numId w:val="16"/>
        </w:numPr>
      </w:pPr>
      <w:r w:rsidRPr="00D02CB8">
        <w:t>Individual stocks: 27%</w:t>
      </w:r>
    </w:p>
    <w:p w:rsidR="00D02CB8" w:rsidRPr="00D02CB8" w:rsidRDefault="00D02CB8" w:rsidP="00D02CB8">
      <w:pPr>
        <w:numPr>
          <w:ilvl w:val="0"/>
          <w:numId w:val="16"/>
        </w:numPr>
      </w:pPr>
      <w:r w:rsidRPr="00D02CB8">
        <w:t>ETFs: 15%</w:t>
      </w:r>
    </w:p>
    <w:p w:rsidR="00D02CB8" w:rsidRDefault="00D02CB8" w:rsidP="00D02CB8">
      <w:pPr>
        <w:numPr>
          <w:ilvl w:val="0"/>
          <w:numId w:val="16"/>
        </w:numPr>
      </w:pPr>
      <w:r w:rsidRPr="00D02CB8">
        <w:t>Bonds and cash: 14%</w:t>
      </w:r>
    </w:p>
    <w:p w:rsidR="00D02CB8" w:rsidRPr="00D02CB8" w:rsidRDefault="00D02CB8" w:rsidP="00D02CB8"/>
    <w:p w:rsidR="00D02CB8" w:rsidRPr="00D02CB8" w:rsidRDefault="00D02CB8" w:rsidP="00D02CB8">
      <w:pPr>
        <w:pStyle w:val="ListParagraph"/>
        <w:numPr>
          <w:ilvl w:val="0"/>
          <w:numId w:val="17"/>
        </w:numPr>
      </w:pPr>
      <w:r w:rsidRPr="00D02CB8">
        <w:t>Average annual withdrawal rate: 5.2% of account balance (2023 data)</w:t>
      </w:r>
    </w:p>
    <w:p w:rsidR="00D02CB8" w:rsidRPr="00D02CB8" w:rsidRDefault="00D02CB8" w:rsidP="00D02CB8">
      <w:pPr>
        <w:pStyle w:val="ListParagraph"/>
        <w:numPr>
          <w:ilvl w:val="0"/>
          <w:numId w:val="17"/>
        </w:numPr>
      </w:pPr>
      <w:r w:rsidRPr="00D02CB8">
        <w:t>Estimated tax savings from IRAs: $27.8 billion in 2023 (Joint Committee on Taxation)</w:t>
      </w:r>
    </w:p>
    <w:p w:rsidR="00D02CB8" w:rsidRDefault="00D02CB8" w:rsidP="00D02CB8">
      <w:pPr>
        <w:pStyle w:val="ListParagraph"/>
        <w:numPr>
          <w:ilvl w:val="0"/>
          <w:numId w:val="17"/>
        </w:numPr>
      </w:pPr>
      <w:r w:rsidRPr="00D02CB8">
        <w:lastRenderedPageBreak/>
        <w:t>Rollover Activity: In 2023, about $516 billion was rolled over from employer-sponsored retirement plans to IRAs</w:t>
      </w:r>
    </w:p>
    <w:p w:rsidR="00D02CB8" w:rsidRDefault="00D02CB8" w:rsidP="00D02CB8">
      <w:pPr>
        <w:pStyle w:val="ListParagraph"/>
        <w:numPr>
          <w:ilvl w:val="0"/>
          <w:numId w:val="17"/>
        </w:numPr>
      </w:pPr>
      <w:r w:rsidRPr="00D02CB8">
        <w:t>Inheritance Trends: Inherited IRAs accounted for about 7% of all IRA assets in 2023</w:t>
      </w:r>
    </w:p>
    <w:p w:rsidR="00D02CB8" w:rsidRPr="00D02CB8" w:rsidRDefault="00D02CB8" w:rsidP="00D02CB8">
      <w:pPr>
        <w:pStyle w:val="ListParagraph"/>
        <w:numPr>
          <w:ilvl w:val="0"/>
          <w:numId w:val="17"/>
        </w:numPr>
      </w:pPr>
      <w:r w:rsidRPr="00D02CB8">
        <w:t xml:space="preserve">Digital Trends: </w:t>
      </w:r>
    </w:p>
    <w:p w:rsidR="00D02CB8" w:rsidRPr="00D02CB8" w:rsidRDefault="00D02CB8" w:rsidP="00D02CB8">
      <w:pPr>
        <w:pStyle w:val="ListParagraph"/>
        <w:numPr>
          <w:ilvl w:val="0"/>
          <w:numId w:val="18"/>
        </w:numPr>
      </w:pPr>
      <w:r w:rsidRPr="00D02CB8">
        <w:t>78% of IRA providers offer mobile apps for account management</w:t>
      </w:r>
    </w:p>
    <w:p w:rsidR="00D02CB8" w:rsidRPr="00D02CB8" w:rsidRDefault="00D02CB8" w:rsidP="00D02CB8">
      <w:pPr>
        <w:pStyle w:val="ListParagraph"/>
        <w:numPr>
          <w:ilvl w:val="0"/>
          <w:numId w:val="18"/>
        </w:numPr>
      </w:pPr>
      <w:r w:rsidRPr="00D02CB8">
        <w:t>35% increase in digital-only IRA openings from 2022 to 2023</w:t>
      </w:r>
    </w:p>
    <w:p w:rsidR="00D02CB8" w:rsidRPr="00D02CB8" w:rsidRDefault="00D02CB8" w:rsidP="00D02CB8">
      <w:pPr>
        <w:pStyle w:val="ListParagraph"/>
        <w:numPr>
          <w:ilvl w:val="0"/>
          <w:numId w:val="19"/>
        </w:numPr>
      </w:pPr>
      <w:r w:rsidRPr="00D02CB8">
        <w:t>Future Projections: IRA assets are projected to grow to $17.5 trillion by 2027, representing a 6% annual growth rate</w:t>
      </w:r>
    </w:p>
    <w:p w:rsidR="00D02CB8" w:rsidRPr="00D02CB8" w:rsidRDefault="00D02CB8" w:rsidP="00D02CB8">
      <w:pPr>
        <w:pStyle w:val="ListParagraph"/>
        <w:numPr>
          <w:ilvl w:val="0"/>
          <w:numId w:val="19"/>
        </w:numPr>
      </w:pPr>
      <w:r w:rsidRPr="00D02CB8">
        <w:t>Catch-Up Contributions: 31% of eligible IRA owners made catch-up contributions in 2023</w:t>
      </w:r>
    </w:p>
    <w:p w:rsidR="00B66176" w:rsidRDefault="00B66176" w:rsidP="00B66176">
      <w:pPr>
        <w:pStyle w:val="Title"/>
        <w:jc w:val="right"/>
      </w:pPr>
    </w:p>
    <w:p w:rsidR="00B66176" w:rsidRDefault="00B66176" w:rsidP="00B66176">
      <w:pPr>
        <w:pStyle w:val="Title"/>
        <w:jc w:val="right"/>
      </w:pPr>
    </w:p>
    <w:p w:rsidR="00B66176" w:rsidRDefault="00B66176" w:rsidP="00B66176">
      <w:pPr>
        <w:pStyle w:val="Title"/>
        <w:jc w:val="right"/>
      </w:pPr>
    </w:p>
    <w:p w:rsidR="00B66176" w:rsidRDefault="00B66176" w:rsidP="00B66176">
      <w:pPr>
        <w:pStyle w:val="Title"/>
        <w:jc w:val="right"/>
      </w:pPr>
    </w:p>
    <w:p w:rsidR="00B66176" w:rsidRDefault="00B66176" w:rsidP="00B66176">
      <w:pPr>
        <w:pStyle w:val="Title"/>
        <w:jc w:val="right"/>
      </w:pPr>
    </w:p>
    <w:p w:rsidR="00B66176" w:rsidRDefault="00B66176" w:rsidP="00B66176">
      <w:pPr>
        <w:pStyle w:val="Title"/>
        <w:jc w:val="right"/>
      </w:pPr>
    </w:p>
    <w:p w:rsidR="00B66176" w:rsidRDefault="00B66176" w:rsidP="00B66176">
      <w:pPr>
        <w:pStyle w:val="Title"/>
        <w:jc w:val="right"/>
      </w:pPr>
    </w:p>
    <w:p w:rsidR="00B66176" w:rsidRDefault="00B66176" w:rsidP="00B66176">
      <w:pPr>
        <w:pStyle w:val="Title"/>
        <w:jc w:val="right"/>
      </w:pPr>
    </w:p>
    <w:p w:rsidR="00B66176" w:rsidRDefault="00B66176" w:rsidP="00B66176">
      <w:pPr>
        <w:pStyle w:val="Title"/>
        <w:jc w:val="right"/>
      </w:pPr>
    </w:p>
    <w:p w:rsidR="00B66176" w:rsidRDefault="00B66176" w:rsidP="00B66176">
      <w:pPr>
        <w:pStyle w:val="Title"/>
        <w:jc w:val="right"/>
      </w:pPr>
    </w:p>
    <w:p w:rsidR="00B66176" w:rsidRDefault="00B66176" w:rsidP="00B66176">
      <w:pPr>
        <w:pStyle w:val="Title"/>
        <w:jc w:val="right"/>
      </w:pPr>
    </w:p>
    <w:p w:rsidR="00B66176" w:rsidRDefault="00B66176" w:rsidP="00B66176">
      <w:pPr>
        <w:pStyle w:val="Title"/>
        <w:jc w:val="right"/>
      </w:pPr>
    </w:p>
    <w:p w:rsidR="00B66176" w:rsidRDefault="00B66176" w:rsidP="00B66176">
      <w:pPr>
        <w:pStyle w:val="Title"/>
        <w:jc w:val="right"/>
      </w:pPr>
    </w:p>
    <w:p w:rsidR="00B66176" w:rsidRDefault="00B66176" w:rsidP="00B66176">
      <w:pPr>
        <w:pStyle w:val="Title"/>
        <w:jc w:val="right"/>
      </w:pPr>
    </w:p>
    <w:p w:rsidR="00F871F6" w:rsidRPr="00F871F6" w:rsidRDefault="00B66176" w:rsidP="00B66176">
      <w:pPr>
        <w:pStyle w:val="Title"/>
        <w:jc w:val="right"/>
      </w:pPr>
      <w:r>
        <w:t>Thank You</w:t>
      </w:r>
    </w:p>
    <w:sectPr w:rsidR="00F871F6" w:rsidRPr="00F87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169"/>
    <w:multiLevelType w:val="multilevel"/>
    <w:tmpl w:val="AA9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AF5839"/>
    <w:multiLevelType w:val="hybridMultilevel"/>
    <w:tmpl w:val="3C12EF86"/>
    <w:lvl w:ilvl="0" w:tplc="0409000F">
      <w:start w:val="1"/>
      <w:numFmt w:val="decimal"/>
      <w:lvlText w:val="%1."/>
      <w:lvlJc w:val="left"/>
      <w:pPr>
        <w:ind w:left="72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171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E37A2"/>
    <w:multiLevelType w:val="multilevel"/>
    <w:tmpl w:val="2328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9B5FDD"/>
    <w:multiLevelType w:val="hybridMultilevel"/>
    <w:tmpl w:val="ED22E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20890"/>
    <w:multiLevelType w:val="multilevel"/>
    <w:tmpl w:val="752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252148"/>
    <w:multiLevelType w:val="hybridMultilevel"/>
    <w:tmpl w:val="59C8D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A33F2"/>
    <w:multiLevelType w:val="multilevel"/>
    <w:tmpl w:val="F5F2CB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48204038"/>
    <w:multiLevelType w:val="multilevel"/>
    <w:tmpl w:val="EF3A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0773F2"/>
    <w:multiLevelType w:val="multilevel"/>
    <w:tmpl w:val="C8ECB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5654C8"/>
    <w:multiLevelType w:val="multilevel"/>
    <w:tmpl w:val="93383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171798"/>
    <w:multiLevelType w:val="multilevel"/>
    <w:tmpl w:val="C06C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57325"/>
    <w:multiLevelType w:val="hybridMultilevel"/>
    <w:tmpl w:val="82FED3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F394628"/>
    <w:multiLevelType w:val="hybridMultilevel"/>
    <w:tmpl w:val="754E8B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A331D2"/>
    <w:multiLevelType w:val="multilevel"/>
    <w:tmpl w:val="23DA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5B1BE8"/>
    <w:multiLevelType w:val="multilevel"/>
    <w:tmpl w:val="707601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649A3DEE"/>
    <w:multiLevelType w:val="multilevel"/>
    <w:tmpl w:val="1E66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0E0979"/>
    <w:multiLevelType w:val="multilevel"/>
    <w:tmpl w:val="11C65C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6DAB79AC"/>
    <w:multiLevelType w:val="multilevel"/>
    <w:tmpl w:val="2846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806A30"/>
    <w:multiLevelType w:val="hybridMultilevel"/>
    <w:tmpl w:val="F0AC8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6"/>
  </w:num>
  <w:num w:numId="4">
    <w:abstractNumId w:val="1"/>
  </w:num>
  <w:num w:numId="5">
    <w:abstractNumId w:val="3"/>
  </w:num>
  <w:num w:numId="6">
    <w:abstractNumId w:val="12"/>
  </w:num>
  <w:num w:numId="7">
    <w:abstractNumId w:val="2"/>
  </w:num>
  <w:num w:numId="8">
    <w:abstractNumId w:val="13"/>
  </w:num>
  <w:num w:numId="9">
    <w:abstractNumId w:val="15"/>
  </w:num>
  <w:num w:numId="10">
    <w:abstractNumId w:val="0"/>
  </w:num>
  <w:num w:numId="11">
    <w:abstractNumId w:val="9"/>
  </w:num>
  <w:num w:numId="12">
    <w:abstractNumId w:val="8"/>
  </w:num>
  <w:num w:numId="13">
    <w:abstractNumId w:val="10"/>
  </w:num>
  <w:num w:numId="14">
    <w:abstractNumId w:val="7"/>
  </w:num>
  <w:num w:numId="15">
    <w:abstractNumId w:val="4"/>
  </w:num>
  <w:num w:numId="16">
    <w:abstractNumId w:val="17"/>
  </w:num>
  <w:num w:numId="17">
    <w:abstractNumId w:val="18"/>
  </w:num>
  <w:num w:numId="18">
    <w:abstractNumId w:val="11"/>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298"/>
    <w:rsid w:val="0003225E"/>
    <w:rsid w:val="00087121"/>
    <w:rsid w:val="000A552C"/>
    <w:rsid w:val="000C6F20"/>
    <w:rsid w:val="00193461"/>
    <w:rsid w:val="001D0E39"/>
    <w:rsid w:val="00295458"/>
    <w:rsid w:val="003B6DA6"/>
    <w:rsid w:val="003F70E6"/>
    <w:rsid w:val="004F7E86"/>
    <w:rsid w:val="00523C99"/>
    <w:rsid w:val="005901F2"/>
    <w:rsid w:val="006B4878"/>
    <w:rsid w:val="006B70F6"/>
    <w:rsid w:val="00737E45"/>
    <w:rsid w:val="008469A4"/>
    <w:rsid w:val="009A2298"/>
    <w:rsid w:val="009B0DF6"/>
    <w:rsid w:val="00B66176"/>
    <w:rsid w:val="00B76AAF"/>
    <w:rsid w:val="00CB504C"/>
    <w:rsid w:val="00D02CB8"/>
    <w:rsid w:val="00D15AA7"/>
    <w:rsid w:val="00F2659F"/>
    <w:rsid w:val="00F8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2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34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6F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9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A2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2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298"/>
    <w:rPr>
      <w:rFonts w:ascii="Tahoma" w:hAnsi="Tahoma" w:cs="Tahoma"/>
      <w:sz w:val="16"/>
      <w:szCs w:val="16"/>
    </w:rPr>
  </w:style>
  <w:style w:type="character" w:customStyle="1" w:styleId="Heading3Char">
    <w:name w:val="Heading 3 Char"/>
    <w:basedOn w:val="DefaultParagraphFont"/>
    <w:link w:val="Heading3"/>
    <w:uiPriority w:val="9"/>
    <w:rsid w:val="000C6F2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901F2"/>
    <w:pPr>
      <w:ind w:left="720"/>
      <w:contextualSpacing/>
    </w:pPr>
  </w:style>
  <w:style w:type="paragraph" w:styleId="NormalWeb">
    <w:name w:val="Normal (Web)"/>
    <w:basedOn w:val="Normal"/>
    <w:uiPriority w:val="99"/>
    <w:unhideWhenUsed/>
    <w:rsid w:val="002954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458"/>
    <w:rPr>
      <w:b/>
      <w:bCs/>
    </w:rPr>
  </w:style>
  <w:style w:type="character" w:customStyle="1" w:styleId="content">
    <w:name w:val="content"/>
    <w:basedOn w:val="DefaultParagraphFont"/>
    <w:rsid w:val="00295458"/>
  </w:style>
  <w:style w:type="paragraph" w:styleId="TOCHeading">
    <w:name w:val="TOC Heading"/>
    <w:basedOn w:val="Heading1"/>
    <w:next w:val="Normal"/>
    <w:uiPriority w:val="39"/>
    <w:semiHidden/>
    <w:unhideWhenUsed/>
    <w:qFormat/>
    <w:rsid w:val="00F2659F"/>
    <w:pPr>
      <w:outlineLvl w:val="9"/>
    </w:pPr>
    <w:rPr>
      <w:lang w:eastAsia="ja-JP"/>
    </w:rPr>
  </w:style>
  <w:style w:type="paragraph" w:styleId="TOC1">
    <w:name w:val="toc 1"/>
    <w:basedOn w:val="Normal"/>
    <w:next w:val="Normal"/>
    <w:autoRedefine/>
    <w:uiPriority w:val="39"/>
    <w:unhideWhenUsed/>
    <w:rsid w:val="00F2659F"/>
    <w:pPr>
      <w:spacing w:after="100"/>
    </w:pPr>
  </w:style>
  <w:style w:type="character" w:styleId="Hyperlink">
    <w:name w:val="Hyperlink"/>
    <w:basedOn w:val="DefaultParagraphFont"/>
    <w:uiPriority w:val="99"/>
    <w:unhideWhenUsed/>
    <w:rsid w:val="00F2659F"/>
    <w:rPr>
      <w:color w:val="0000FF" w:themeColor="hyperlink"/>
      <w:u w:val="single"/>
    </w:rPr>
  </w:style>
  <w:style w:type="character" w:customStyle="1" w:styleId="Heading2Char">
    <w:name w:val="Heading 2 Char"/>
    <w:basedOn w:val="DefaultParagraphFont"/>
    <w:link w:val="Heading2"/>
    <w:uiPriority w:val="9"/>
    <w:rsid w:val="0019346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66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617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2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34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6F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9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A2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2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298"/>
    <w:rPr>
      <w:rFonts w:ascii="Tahoma" w:hAnsi="Tahoma" w:cs="Tahoma"/>
      <w:sz w:val="16"/>
      <w:szCs w:val="16"/>
    </w:rPr>
  </w:style>
  <w:style w:type="character" w:customStyle="1" w:styleId="Heading3Char">
    <w:name w:val="Heading 3 Char"/>
    <w:basedOn w:val="DefaultParagraphFont"/>
    <w:link w:val="Heading3"/>
    <w:uiPriority w:val="9"/>
    <w:rsid w:val="000C6F2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901F2"/>
    <w:pPr>
      <w:ind w:left="720"/>
      <w:contextualSpacing/>
    </w:pPr>
  </w:style>
  <w:style w:type="paragraph" w:styleId="NormalWeb">
    <w:name w:val="Normal (Web)"/>
    <w:basedOn w:val="Normal"/>
    <w:uiPriority w:val="99"/>
    <w:unhideWhenUsed/>
    <w:rsid w:val="002954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458"/>
    <w:rPr>
      <w:b/>
      <w:bCs/>
    </w:rPr>
  </w:style>
  <w:style w:type="character" w:customStyle="1" w:styleId="content">
    <w:name w:val="content"/>
    <w:basedOn w:val="DefaultParagraphFont"/>
    <w:rsid w:val="00295458"/>
  </w:style>
  <w:style w:type="paragraph" w:styleId="TOCHeading">
    <w:name w:val="TOC Heading"/>
    <w:basedOn w:val="Heading1"/>
    <w:next w:val="Normal"/>
    <w:uiPriority w:val="39"/>
    <w:semiHidden/>
    <w:unhideWhenUsed/>
    <w:qFormat/>
    <w:rsid w:val="00F2659F"/>
    <w:pPr>
      <w:outlineLvl w:val="9"/>
    </w:pPr>
    <w:rPr>
      <w:lang w:eastAsia="ja-JP"/>
    </w:rPr>
  </w:style>
  <w:style w:type="paragraph" w:styleId="TOC1">
    <w:name w:val="toc 1"/>
    <w:basedOn w:val="Normal"/>
    <w:next w:val="Normal"/>
    <w:autoRedefine/>
    <w:uiPriority w:val="39"/>
    <w:unhideWhenUsed/>
    <w:rsid w:val="00F2659F"/>
    <w:pPr>
      <w:spacing w:after="100"/>
    </w:pPr>
  </w:style>
  <w:style w:type="character" w:styleId="Hyperlink">
    <w:name w:val="Hyperlink"/>
    <w:basedOn w:val="DefaultParagraphFont"/>
    <w:uiPriority w:val="99"/>
    <w:unhideWhenUsed/>
    <w:rsid w:val="00F2659F"/>
    <w:rPr>
      <w:color w:val="0000FF" w:themeColor="hyperlink"/>
      <w:u w:val="single"/>
    </w:rPr>
  </w:style>
  <w:style w:type="character" w:customStyle="1" w:styleId="Heading2Char">
    <w:name w:val="Heading 2 Char"/>
    <w:basedOn w:val="DefaultParagraphFont"/>
    <w:link w:val="Heading2"/>
    <w:uiPriority w:val="9"/>
    <w:rsid w:val="0019346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66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617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8828">
      <w:bodyDiv w:val="1"/>
      <w:marLeft w:val="0"/>
      <w:marRight w:val="0"/>
      <w:marTop w:val="0"/>
      <w:marBottom w:val="0"/>
      <w:divBdr>
        <w:top w:val="none" w:sz="0" w:space="0" w:color="auto"/>
        <w:left w:val="none" w:sz="0" w:space="0" w:color="auto"/>
        <w:bottom w:val="none" w:sz="0" w:space="0" w:color="auto"/>
        <w:right w:val="none" w:sz="0" w:space="0" w:color="auto"/>
      </w:divBdr>
    </w:div>
    <w:div w:id="128713425">
      <w:bodyDiv w:val="1"/>
      <w:marLeft w:val="0"/>
      <w:marRight w:val="0"/>
      <w:marTop w:val="0"/>
      <w:marBottom w:val="0"/>
      <w:divBdr>
        <w:top w:val="none" w:sz="0" w:space="0" w:color="auto"/>
        <w:left w:val="none" w:sz="0" w:space="0" w:color="auto"/>
        <w:bottom w:val="none" w:sz="0" w:space="0" w:color="auto"/>
        <w:right w:val="none" w:sz="0" w:space="0" w:color="auto"/>
      </w:divBdr>
    </w:div>
    <w:div w:id="166213566">
      <w:bodyDiv w:val="1"/>
      <w:marLeft w:val="0"/>
      <w:marRight w:val="0"/>
      <w:marTop w:val="0"/>
      <w:marBottom w:val="0"/>
      <w:divBdr>
        <w:top w:val="none" w:sz="0" w:space="0" w:color="auto"/>
        <w:left w:val="none" w:sz="0" w:space="0" w:color="auto"/>
        <w:bottom w:val="none" w:sz="0" w:space="0" w:color="auto"/>
        <w:right w:val="none" w:sz="0" w:space="0" w:color="auto"/>
      </w:divBdr>
    </w:div>
    <w:div w:id="167332513">
      <w:bodyDiv w:val="1"/>
      <w:marLeft w:val="0"/>
      <w:marRight w:val="0"/>
      <w:marTop w:val="0"/>
      <w:marBottom w:val="0"/>
      <w:divBdr>
        <w:top w:val="none" w:sz="0" w:space="0" w:color="auto"/>
        <w:left w:val="none" w:sz="0" w:space="0" w:color="auto"/>
        <w:bottom w:val="none" w:sz="0" w:space="0" w:color="auto"/>
        <w:right w:val="none" w:sz="0" w:space="0" w:color="auto"/>
      </w:divBdr>
      <w:divsChild>
        <w:div w:id="1836795333">
          <w:marLeft w:val="0"/>
          <w:marRight w:val="0"/>
          <w:marTop w:val="0"/>
          <w:marBottom w:val="0"/>
          <w:divBdr>
            <w:top w:val="single" w:sz="2" w:space="0" w:color="E5E7EB"/>
            <w:left w:val="single" w:sz="2" w:space="0" w:color="E5E7EB"/>
            <w:bottom w:val="single" w:sz="2" w:space="0" w:color="E5E7EB"/>
            <w:right w:val="single" w:sz="2" w:space="0" w:color="E5E7EB"/>
          </w:divBdr>
        </w:div>
        <w:div w:id="654990879">
          <w:marLeft w:val="0"/>
          <w:marRight w:val="0"/>
          <w:marTop w:val="0"/>
          <w:marBottom w:val="0"/>
          <w:divBdr>
            <w:top w:val="single" w:sz="2" w:space="0" w:color="E5E7EB"/>
            <w:left w:val="single" w:sz="2" w:space="0" w:color="E5E7EB"/>
            <w:bottom w:val="single" w:sz="2" w:space="0" w:color="E5E7EB"/>
            <w:right w:val="single" w:sz="2" w:space="0" w:color="E5E7EB"/>
          </w:divBdr>
        </w:div>
        <w:div w:id="1722090847">
          <w:marLeft w:val="0"/>
          <w:marRight w:val="0"/>
          <w:marTop w:val="0"/>
          <w:marBottom w:val="0"/>
          <w:divBdr>
            <w:top w:val="single" w:sz="2" w:space="0" w:color="E5E7EB"/>
            <w:left w:val="single" w:sz="2" w:space="0" w:color="E5E7EB"/>
            <w:bottom w:val="single" w:sz="2" w:space="0" w:color="E5E7EB"/>
            <w:right w:val="single" w:sz="2" w:space="0" w:color="E5E7EB"/>
          </w:divBdr>
        </w:div>
        <w:div w:id="427312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058498">
      <w:bodyDiv w:val="1"/>
      <w:marLeft w:val="0"/>
      <w:marRight w:val="0"/>
      <w:marTop w:val="0"/>
      <w:marBottom w:val="0"/>
      <w:divBdr>
        <w:top w:val="none" w:sz="0" w:space="0" w:color="auto"/>
        <w:left w:val="none" w:sz="0" w:space="0" w:color="auto"/>
        <w:bottom w:val="none" w:sz="0" w:space="0" w:color="auto"/>
        <w:right w:val="none" w:sz="0" w:space="0" w:color="auto"/>
      </w:divBdr>
    </w:div>
    <w:div w:id="339360184">
      <w:bodyDiv w:val="1"/>
      <w:marLeft w:val="0"/>
      <w:marRight w:val="0"/>
      <w:marTop w:val="0"/>
      <w:marBottom w:val="0"/>
      <w:divBdr>
        <w:top w:val="none" w:sz="0" w:space="0" w:color="auto"/>
        <w:left w:val="none" w:sz="0" w:space="0" w:color="auto"/>
        <w:bottom w:val="none" w:sz="0" w:space="0" w:color="auto"/>
        <w:right w:val="none" w:sz="0" w:space="0" w:color="auto"/>
      </w:divBdr>
    </w:div>
    <w:div w:id="441799460">
      <w:bodyDiv w:val="1"/>
      <w:marLeft w:val="0"/>
      <w:marRight w:val="0"/>
      <w:marTop w:val="0"/>
      <w:marBottom w:val="0"/>
      <w:divBdr>
        <w:top w:val="none" w:sz="0" w:space="0" w:color="auto"/>
        <w:left w:val="none" w:sz="0" w:space="0" w:color="auto"/>
        <w:bottom w:val="none" w:sz="0" w:space="0" w:color="auto"/>
        <w:right w:val="none" w:sz="0" w:space="0" w:color="auto"/>
      </w:divBdr>
      <w:divsChild>
        <w:div w:id="815298529">
          <w:marLeft w:val="0"/>
          <w:marRight w:val="0"/>
          <w:marTop w:val="0"/>
          <w:marBottom w:val="0"/>
          <w:divBdr>
            <w:top w:val="none" w:sz="0" w:space="0" w:color="auto"/>
            <w:left w:val="none" w:sz="0" w:space="0" w:color="auto"/>
            <w:bottom w:val="none" w:sz="0" w:space="0" w:color="auto"/>
            <w:right w:val="none" w:sz="0" w:space="0" w:color="auto"/>
          </w:divBdr>
        </w:div>
      </w:divsChild>
    </w:div>
    <w:div w:id="472722285">
      <w:bodyDiv w:val="1"/>
      <w:marLeft w:val="0"/>
      <w:marRight w:val="0"/>
      <w:marTop w:val="0"/>
      <w:marBottom w:val="0"/>
      <w:divBdr>
        <w:top w:val="none" w:sz="0" w:space="0" w:color="auto"/>
        <w:left w:val="none" w:sz="0" w:space="0" w:color="auto"/>
        <w:bottom w:val="none" w:sz="0" w:space="0" w:color="auto"/>
        <w:right w:val="none" w:sz="0" w:space="0" w:color="auto"/>
      </w:divBdr>
    </w:div>
    <w:div w:id="479540958">
      <w:bodyDiv w:val="1"/>
      <w:marLeft w:val="0"/>
      <w:marRight w:val="0"/>
      <w:marTop w:val="0"/>
      <w:marBottom w:val="0"/>
      <w:divBdr>
        <w:top w:val="none" w:sz="0" w:space="0" w:color="auto"/>
        <w:left w:val="none" w:sz="0" w:space="0" w:color="auto"/>
        <w:bottom w:val="none" w:sz="0" w:space="0" w:color="auto"/>
        <w:right w:val="none" w:sz="0" w:space="0" w:color="auto"/>
      </w:divBdr>
    </w:div>
    <w:div w:id="500702777">
      <w:bodyDiv w:val="1"/>
      <w:marLeft w:val="0"/>
      <w:marRight w:val="0"/>
      <w:marTop w:val="0"/>
      <w:marBottom w:val="0"/>
      <w:divBdr>
        <w:top w:val="none" w:sz="0" w:space="0" w:color="auto"/>
        <w:left w:val="none" w:sz="0" w:space="0" w:color="auto"/>
        <w:bottom w:val="none" w:sz="0" w:space="0" w:color="auto"/>
        <w:right w:val="none" w:sz="0" w:space="0" w:color="auto"/>
      </w:divBdr>
      <w:divsChild>
        <w:div w:id="613949908">
          <w:marLeft w:val="0"/>
          <w:marRight w:val="0"/>
          <w:marTop w:val="0"/>
          <w:marBottom w:val="0"/>
          <w:divBdr>
            <w:top w:val="single" w:sz="2" w:space="0" w:color="E5E7EB"/>
            <w:left w:val="single" w:sz="2" w:space="0" w:color="E5E7EB"/>
            <w:bottom w:val="single" w:sz="2" w:space="0" w:color="E5E7EB"/>
            <w:right w:val="single" w:sz="2" w:space="0" w:color="E5E7EB"/>
          </w:divBdr>
        </w:div>
        <w:div w:id="2024624419">
          <w:marLeft w:val="0"/>
          <w:marRight w:val="0"/>
          <w:marTop w:val="0"/>
          <w:marBottom w:val="0"/>
          <w:divBdr>
            <w:top w:val="single" w:sz="2" w:space="0" w:color="E5E7EB"/>
            <w:left w:val="single" w:sz="2" w:space="0" w:color="E5E7EB"/>
            <w:bottom w:val="single" w:sz="2" w:space="0" w:color="E5E7EB"/>
            <w:right w:val="single" w:sz="2" w:space="0" w:color="E5E7EB"/>
          </w:divBdr>
          <w:divsChild>
            <w:div w:id="1161846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5527500">
          <w:marLeft w:val="0"/>
          <w:marRight w:val="0"/>
          <w:marTop w:val="0"/>
          <w:marBottom w:val="0"/>
          <w:divBdr>
            <w:top w:val="single" w:sz="2" w:space="0" w:color="E5E7EB"/>
            <w:left w:val="single" w:sz="2" w:space="0" w:color="E5E7EB"/>
            <w:bottom w:val="single" w:sz="2" w:space="0" w:color="E5E7EB"/>
            <w:right w:val="single" w:sz="2" w:space="0" w:color="E5E7EB"/>
          </w:divBdr>
        </w:div>
        <w:div w:id="1063717870">
          <w:marLeft w:val="0"/>
          <w:marRight w:val="0"/>
          <w:marTop w:val="0"/>
          <w:marBottom w:val="0"/>
          <w:divBdr>
            <w:top w:val="single" w:sz="2" w:space="0" w:color="E5E7EB"/>
            <w:left w:val="single" w:sz="2" w:space="0" w:color="E5E7EB"/>
            <w:bottom w:val="single" w:sz="2" w:space="0" w:color="E5E7EB"/>
            <w:right w:val="single" w:sz="2" w:space="0" w:color="E5E7EB"/>
          </w:divBdr>
        </w:div>
        <w:div w:id="519704723">
          <w:marLeft w:val="0"/>
          <w:marRight w:val="0"/>
          <w:marTop w:val="0"/>
          <w:marBottom w:val="0"/>
          <w:divBdr>
            <w:top w:val="single" w:sz="2" w:space="0" w:color="E5E7EB"/>
            <w:left w:val="single" w:sz="2" w:space="0" w:color="E5E7EB"/>
            <w:bottom w:val="single" w:sz="2" w:space="0" w:color="E5E7EB"/>
            <w:right w:val="single" w:sz="2" w:space="0" w:color="E5E7EB"/>
          </w:divBdr>
          <w:divsChild>
            <w:div w:id="612521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605230">
          <w:marLeft w:val="0"/>
          <w:marRight w:val="0"/>
          <w:marTop w:val="0"/>
          <w:marBottom w:val="0"/>
          <w:divBdr>
            <w:top w:val="single" w:sz="2" w:space="0" w:color="E5E7EB"/>
            <w:left w:val="single" w:sz="2" w:space="0" w:color="E5E7EB"/>
            <w:bottom w:val="single" w:sz="2" w:space="0" w:color="E5E7EB"/>
            <w:right w:val="single" w:sz="2" w:space="0" w:color="E5E7EB"/>
          </w:divBdr>
        </w:div>
        <w:div w:id="357853230">
          <w:marLeft w:val="0"/>
          <w:marRight w:val="0"/>
          <w:marTop w:val="0"/>
          <w:marBottom w:val="0"/>
          <w:divBdr>
            <w:top w:val="single" w:sz="2" w:space="0" w:color="E5E7EB"/>
            <w:left w:val="single" w:sz="2" w:space="0" w:color="E5E7EB"/>
            <w:bottom w:val="single" w:sz="2" w:space="0" w:color="E5E7EB"/>
            <w:right w:val="single" w:sz="2" w:space="0" w:color="E5E7EB"/>
          </w:divBdr>
          <w:divsChild>
            <w:div w:id="1126460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1395420">
          <w:marLeft w:val="0"/>
          <w:marRight w:val="0"/>
          <w:marTop w:val="0"/>
          <w:marBottom w:val="0"/>
          <w:divBdr>
            <w:top w:val="single" w:sz="2" w:space="0" w:color="E5E7EB"/>
            <w:left w:val="single" w:sz="2" w:space="0" w:color="E5E7EB"/>
            <w:bottom w:val="single" w:sz="2" w:space="0" w:color="E5E7EB"/>
            <w:right w:val="single" w:sz="2" w:space="0" w:color="E5E7EB"/>
          </w:divBdr>
        </w:div>
        <w:div w:id="1928953030">
          <w:marLeft w:val="0"/>
          <w:marRight w:val="0"/>
          <w:marTop w:val="0"/>
          <w:marBottom w:val="0"/>
          <w:divBdr>
            <w:top w:val="single" w:sz="2" w:space="0" w:color="E5E7EB"/>
            <w:left w:val="single" w:sz="2" w:space="0" w:color="E5E7EB"/>
            <w:bottom w:val="single" w:sz="2" w:space="0" w:color="E5E7EB"/>
            <w:right w:val="single" w:sz="2" w:space="0" w:color="E5E7EB"/>
          </w:divBdr>
        </w:div>
        <w:div w:id="1074813225">
          <w:marLeft w:val="0"/>
          <w:marRight w:val="0"/>
          <w:marTop w:val="0"/>
          <w:marBottom w:val="0"/>
          <w:divBdr>
            <w:top w:val="single" w:sz="2" w:space="0" w:color="E5E7EB"/>
            <w:left w:val="single" w:sz="2" w:space="0" w:color="E5E7EB"/>
            <w:bottom w:val="single" w:sz="2" w:space="0" w:color="E5E7EB"/>
            <w:right w:val="single" w:sz="2" w:space="0" w:color="E5E7EB"/>
          </w:divBdr>
          <w:divsChild>
            <w:div w:id="1419984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99775">
          <w:marLeft w:val="0"/>
          <w:marRight w:val="0"/>
          <w:marTop w:val="0"/>
          <w:marBottom w:val="0"/>
          <w:divBdr>
            <w:top w:val="single" w:sz="2" w:space="0" w:color="E5E7EB"/>
            <w:left w:val="single" w:sz="2" w:space="0" w:color="E5E7EB"/>
            <w:bottom w:val="single" w:sz="2" w:space="0" w:color="E5E7EB"/>
            <w:right w:val="single" w:sz="2" w:space="0" w:color="E5E7EB"/>
          </w:divBdr>
        </w:div>
        <w:div w:id="932935364">
          <w:marLeft w:val="0"/>
          <w:marRight w:val="0"/>
          <w:marTop w:val="0"/>
          <w:marBottom w:val="0"/>
          <w:divBdr>
            <w:top w:val="single" w:sz="2" w:space="0" w:color="E5E7EB"/>
            <w:left w:val="single" w:sz="2" w:space="0" w:color="E5E7EB"/>
            <w:bottom w:val="single" w:sz="2" w:space="0" w:color="E5E7EB"/>
            <w:right w:val="single" w:sz="2" w:space="0" w:color="E5E7EB"/>
          </w:divBdr>
          <w:divsChild>
            <w:div w:id="22902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881956">
          <w:marLeft w:val="0"/>
          <w:marRight w:val="0"/>
          <w:marTop w:val="0"/>
          <w:marBottom w:val="0"/>
          <w:divBdr>
            <w:top w:val="single" w:sz="2" w:space="0" w:color="E5E7EB"/>
            <w:left w:val="single" w:sz="2" w:space="0" w:color="E5E7EB"/>
            <w:bottom w:val="single" w:sz="2" w:space="0" w:color="E5E7EB"/>
            <w:right w:val="single" w:sz="2" w:space="0" w:color="E5E7EB"/>
          </w:divBdr>
        </w:div>
        <w:div w:id="1576696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4852740">
      <w:bodyDiv w:val="1"/>
      <w:marLeft w:val="0"/>
      <w:marRight w:val="0"/>
      <w:marTop w:val="0"/>
      <w:marBottom w:val="0"/>
      <w:divBdr>
        <w:top w:val="none" w:sz="0" w:space="0" w:color="auto"/>
        <w:left w:val="none" w:sz="0" w:space="0" w:color="auto"/>
        <w:bottom w:val="none" w:sz="0" w:space="0" w:color="auto"/>
        <w:right w:val="none" w:sz="0" w:space="0" w:color="auto"/>
      </w:divBdr>
    </w:div>
    <w:div w:id="583951802">
      <w:bodyDiv w:val="1"/>
      <w:marLeft w:val="0"/>
      <w:marRight w:val="0"/>
      <w:marTop w:val="0"/>
      <w:marBottom w:val="0"/>
      <w:divBdr>
        <w:top w:val="none" w:sz="0" w:space="0" w:color="auto"/>
        <w:left w:val="none" w:sz="0" w:space="0" w:color="auto"/>
        <w:bottom w:val="none" w:sz="0" w:space="0" w:color="auto"/>
        <w:right w:val="none" w:sz="0" w:space="0" w:color="auto"/>
      </w:divBdr>
    </w:div>
    <w:div w:id="610624942">
      <w:bodyDiv w:val="1"/>
      <w:marLeft w:val="0"/>
      <w:marRight w:val="0"/>
      <w:marTop w:val="0"/>
      <w:marBottom w:val="0"/>
      <w:divBdr>
        <w:top w:val="none" w:sz="0" w:space="0" w:color="auto"/>
        <w:left w:val="none" w:sz="0" w:space="0" w:color="auto"/>
        <w:bottom w:val="none" w:sz="0" w:space="0" w:color="auto"/>
        <w:right w:val="none" w:sz="0" w:space="0" w:color="auto"/>
      </w:divBdr>
    </w:div>
    <w:div w:id="611591799">
      <w:bodyDiv w:val="1"/>
      <w:marLeft w:val="0"/>
      <w:marRight w:val="0"/>
      <w:marTop w:val="0"/>
      <w:marBottom w:val="0"/>
      <w:divBdr>
        <w:top w:val="none" w:sz="0" w:space="0" w:color="auto"/>
        <w:left w:val="none" w:sz="0" w:space="0" w:color="auto"/>
        <w:bottom w:val="none" w:sz="0" w:space="0" w:color="auto"/>
        <w:right w:val="none" w:sz="0" w:space="0" w:color="auto"/>
      </w:divBdr>
    </w:div>
    <w:div w:id="651905037">
      <w:bodyDiv w:val="1"/>
      <w:marLeft w:val="0"/>
      <w:marRight w:val="0"/>
      <w:marTop w:val="0"/>
      <w:marBottom w:val="0"/>
      <w:divBdr>
        <w:top w:val="none" w:sz="0" w:space="0" w:color="auto"/>
        <w:left w:val="none" w:sz="0" w:space="0" w:color="auto"/>
        <w:bottom w:val="none" w:sz="0" w:space="0" w:color="auto"/>
        <w:right w:val="none" w:sz="0" w:space="0" w:color="auto"/>
      </w:divBdr>
      <w:divsChild>
        <w:div w:id="1647542065">
          <w:marLeft w:val="0"/>
          <w:marRight w:val="0"/>
          <w:marTop w:val="0"/>
          <w:marBottom w:val="0"/>
          <w:divBdr>
            <w:top w:val="none" w:sz="0" w:space="0" w:color="auto"/>
            <w:left w:val="none" w:sz="0" w:space="0" w:color="auto"/>
            <w:bottom w:val="none" w:sz="0" w:space="0" w:color="auto"/>
            <w:right w:val="none" w:sz="0" w:space="0" w:color="auto"/>
          </w:divBdr>
        </w:div>
      </w:divsChild>
    </w:div>
    <w:div w:id="673845396">
      <w:bodyDiv w:val="1"/>
      <w:marLeft w:val="0"/>
      <w:marRight w:val="0"/>
      <w:marTop w:val="0"/>
      <w:marBottom w:val="0"/>
      <w:divBdr>
        <w:top w:val="none" w:sz="0" w:space="0" w:color="auto"/>
        <w:left w:val="none" w:sz="0" w:space="0" w:color="auto"/>
        <w:bottom w:val="none" w:sz="0" w:space="0" w:color="auto"/>
        <w:right w:val="none" w:sz="0" w:space="0" w:color="auto"/>
      </w:divBdr>
      <w:divsChild>
        <w:div w:id="1156530889">
          <w:marLeft w:val="0"/>
          <w:marRight w:val="0"/>
          <w:marTop w:val="0"/>
          <w:marBottom w:val="0"/>
          <w:divBdr>
            <w:top w:val="single" w:sz="2" w:space="0" w:color="E5E7EB"/>
            <w:left w:val="single" w:sz="2" w:space="0" w:color="E5E7EB"/>
            <w:bottom w:val="single" w:sz="2" w:space="0" w:color="E5E7EB"/>
            <w:right w:val="single" w:sz="2" w:space="0" w:color="E5E7EB"/>
          </w:divBdr>
        </w:div>
        <w:div w:id="226890459">
          <w:marLeft w:val="0"/>
          <w:marRight w:val="0"/>
          <w:marTop w:val="0"/>
          <w:marBottom w:val="0"/>
          <w:divBdr>
            <w:top w:val="single" w:sz="2" w:space="0" w:color="E5E7EB"/>
            <w:left w:val="single" w:sz="2" w:space="0" w:color="E5E7EB"/>
            <w:bottom w:val="single" w:sz="2" w:space="0" w:color="E5E7EB"/>
            <w:right w:val="single" w:sz="2" w:space="0" w:color="E5E7EB"/>
          </w:divBdr>
          <w:divsChild>
            <w:div w:id="835732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0012785">
          <w:marLeft w:val="0"/>
          <w:marRight w:val="0"/>
          <w:marTop w:val="0"/>
          <w:marBottom w:val="0"/>
          <w:divBdr>
            <w:top w:val="single" w:sz="2" w:space="0" w:color="E5E7EB"/>
            <w:left w:val="single" w:sz="2" w:space="0" w:color="E5E7EB"/>
            <w:bottom w:val="single" w:sz="2" w:space="0" w:color="E5E7EB"/>
            <w:right w:val="single" w:sz="2" w:space="0" w:color="E5E7EB"/>
          </w:divBdr>
        </w:div>
        <w:div w:id="1024136518">
          <w:marLeft w:val="0"/>
          <w:marRight w:val="0"/>
          <w:marTop w:val="0"/>
          <w:marBottom w:val="0"/>
          <w:divBdr>
            <w:top w:val="single" w:sz="2" w:space="0" w:color="E5E7EB"/>
            <w:left w:val="single" w:sz="2" w:space="0" w:color="E5E7EB"/>
            <w:bottom w:val="single" w:sz="2" w:space="0" w:color="E5E7EB"/>
            <w:right w:val="single" w:sz="2" w:space="0" w:color="E5E7EB"/>
          </w:divBdr>
        </w:div>
        <w:div w:id="802845073">
          <w:marLeft w:val="0"/>
          <w:marRight w:val="0"/>
          <w:marTop w:val="0"/>
          <w:marBottom w:val="0"/>
          <w:divBdr>
            <w:top w:val="single" w:sz="2" w:space="0" w:color="E5E7EB"/>
            <w:left w:val="single" w:sz="2" w:space="0" w:color="E5E7EB"/>
            <w:bottom w:val="single" w:sz="2" w:space="0" w:color="E5E7EB"/>
            <w:right w:val="single" w:sz="2" w:space="0" w:color="E5E7EB"/>
          </w:divBdr>
          <w:divsChild>
            <w:div w:id="519589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2021861">
          <w:marLeft w:val="0"/>
          <w:marRight w:val="0"/>
          <w:marTop w:val="0"/>
          <w:marBottom w:val="0"/>
          <w:divBdr>
            <w:top w:val="single" w:sz="2" w:space="0" w:color="E5E7EB"/>
            <w:left w:val="single" w:sz="2" w:space="0" w:color="E5E7EB"/>
            <w:bottom w:val="single" w:sz="2" w:space="0" w:color="E5E7EB"/>
            <w:right w:val="single" w:sz="2" w:space="0" w:color="E5E7EB"/>
          </w:divBdr>
        </w:div>
        <w:div w:id="2107379169">
          <w:marLeft w:val="0"/>
          <w:marRight w:val="0"/>
          <w:marTop w:val="0"/>
          <w:marBottom w:val="0"/>
          <w:divBdr>
            <w:top w:val="single" w:sz="2" w:space="0" w:color="E5E7EB"/>
            <w:left w:val="single" w:sz="2" w:space="0" w:color="E5E7EB"/>
            <w:bottom w:val="single" w:sz="2" w:space="0" w:color="E5E7EB"/>
            <w:right w:val="single" w:sz="2" w:space="0" w:color="E5E7EB"/>
          </w:divBdr>
          <w:divsChild>
            <w:div w:id="485823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219519">
          <w:marLeft w:val="0"/>
          <w:marRight w:val="0"/>
          <w:marTop w:val="0"/>
          <w:marBottom w:val="0"/>
          <w:divBdr>
            <w:top w:val="single" w:sz="2" w:space="0" w:color="E5E7EB"/>
            <w:left w:val="single" w:sz="2" w:space="0" w:color="E5E7EB"/>
            <w:bottom w:val="single" w:sz="2" w:space="0" w:color="E5E7EB"/>
            <w:right w:val="single" w:sz="2" w:space="0" w:color="E5E7EB"/>
          </w:divBdr>
        </w:div>
        <w:div w:id="457651766">
          <w:marLeft w:val="0"/>
          <w:marRight w:val="0"/>
          <w:marTop w:val="0"/>
          <w:marBottom w:val="0"/>
          <w:divBdr>
            <w:top w:val="single" w:sz="2" w:space="0" w:color="E5E7EB"/>
            <w:left w:val="single" w:sz="2" w:space="0" w:color="E5E7EB"/>
            <w:bottom w:val="single" w:sz="2" w:space="0" w:color="E5E7EB"/>
            <w:right w:val="single" w:sz="2" w:space="0" w:color="E5E7EB"/>
          </w:divBdr>
        </w:div>
        <w:div w:id="1120346322">
          <w:marLeft w:val="0"/>
          <w:marRight w:val="0"/>
          <w:marTop w:val="0"/>
          <w:marBottom w:val="0"/>
          <w:divBdr>
            <w:top w:val="single" w:sz="2" w:space="0" w:color="E5E7EB"/>
            <w:left w:val="single" w:sz="2" w:space="0" w:color="E5E7EB"/>
            <w:bottom w:val="single" w:sz="2" w:space="0" w:color="E5E7EB"/>
            <w:right w:val="single" w:sz="2" w:space="0" w:color="E5E7EB"/>
          </w:divBdr>
          <w:divsChild>
            <w:div w:id="1460613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8815646">
          <w:marLeft w:val="0"/>
          <w:marRight w:val="0"/>
          <w:marTop w:val="0"/>
          <w:marBottom w:val="0"/>
          <w:divBdr>
            <w:top w:val="single" w:sz="2" w:space="0" w:color="E5E7EB"/>
            <w:left w:val="single" w:sz="2" w:space="0" w:color="E5E7EB"/>
            <w:bottom w:val="single" w:sz="2" w:space="0" w:color="E5E7EB"/>
            <w:right w:val="single" w:sz="2" w:space="0" w:color="E5E7EB"/>
          </w:divBdr>
        </w:div>
        <w:div w:id="1333676409">
          <w:marLeft w:val="0"/>
          <w:marRight w:val="0"/>
          <w:marTop w:val="0"/>
          <w:marBottom w:val="0"/>
          <w:divBdr>
            <w:top w:val="single" w:sz="2" w:space="0" w:color="E5E7EB"/>
            <w:left w:val="single" w:sz="2" w:space="0" w:color="E5E7EB"/>
            <w:bottom w:val="single" w:sz="2" w:space="0" w:color="E5E7EB"/>
            <w:right w:val="single" w:sz="2" w:space="0" w:color="E5E7EB"/>
          </w:divBdr>
          <w:divsChild>
            <w:div w:id="1778019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4169907">
          <w:marLeft w:val="0"/>
          <w:marRight w:val="0"/>
          <w:marTop w:val="0"/>
          <w:marBottom w:val="0"/>
          <w:divBdr>
            <w:top w:val="single" w:sz="2" w:space="0" w:color="E5E7EB"/>
            <w:left w:val="single" w:sz="2" w:space="0" w:color="E5E7EB"/>
            <w:bottom w:val="single" w:sz="2" w:space="0" w:color="E5E7EB"/>
            <w:right w:val="single" w:sz="2" w:space="0" w:color="E5E7EB"/>
          </w:divBdr>
        </w:div>
        <w:div w:id="435100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3170139">
      <w:bodyDiv w:val="1"/>
      <w:marLeft w:val="0"/>
      <w:marRight w:val="0"/>
      <w:marTop w:val="0"/>
      <w:marBottom w:val="0"/>
      <w:divBdr>
        <w:top w:val="none" w:sz="0" w:space="0" w:color="auto"/>
        <w:left w:val="none" w:sz="0" w:space="0" w:color="auto"/>
        <w:bottom w:val="none" w:sz="0" w:space="0" w:color="auto"/>
        <w:right w:val="none" w:sz="0" w:space="0" w:color="auto"/>
      </w:divBdr>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77468063">
      <w:bodyDiv w:val="1"/>
      <w:marLeft w:val="0"/>
      <w:marRight w:val="0"/>
      <w:marTop w:val="0"/>
      <w:marBottom w:val="0"/>
      <w:divBdr>
        <w:top w:val="none" w:sz="0" w:space="0" w:color="auto"/>
        <w:left w:val="none" w:sz="0" w:space="0" w:color="auto"/>
        <w:bottom w:val="none" w:sz="0" w:space="0" w:color="auto"/>
        <w:right w:val="none" w:sz="0" w:space="0" w:color="auto"/>
      </w:divBdr>
      <w:divsChild>
        <w:div w:id="1989747361">
          <w:marLeft w:val="0"/>
          <w:marRight w:val="0"/>
          <w:marTop w:val="0"/>
          <w:marBottom w:val="0"/>
          <w:divBdr>
            <w:top w:val="none" w:sz="0" w:space="0" w:color="auto"/>
            <w:left w:val="none" w:sz="0" w:space="0" w:color="auto"/>
            <w:bottom w:val="none" w:sz="0" w:space="0" w:color="auto"/>
            <w:right w:val="none" w:sz="0" w:space="0" w:color="auto"/>
          </w:divBdr>
        </w:div>
        <w:div w:id="1877230401">
          <w:marLeft w:val="0"/>
          <w:marRight w:val="0"/>
          <w:marTop w:val="0"/>
          <w:marBottom w:val="0"/>
          <w:divBdr>
            <w:top w:val="none" w:sz="0" w:space="0" w:color="auto"/>
            <w:left w:val="none" w:sz="0" w:space="0" w:color="auto"/>
            <w:bottom w:val="none" w:sz="0" w:space="0" w:color="auto"/>
            <w:right w:val="none" w:sz="0" w:space="0" w:color="auto"/>
          </w:divBdr>
        </w:div>
      </w:divsChild>
    </w:div>
    <w:div w:id="895163272">
      <w:bodyDiv w:val="1"/>
      <w:marLeft w:val="0"/>
      <w:marRight w:val="0"/>
      <w:marTop w:val="0"/>
      <w:marBottom w:val="0"/>
      <w:divBdr>
        <w:top w:val="none" w:sz="0" w:space="0" w:color="auto"/>
        <w:left w:val="none" w:sz="0" w:space="0" w:color="auto"/>
        <w:bottom w:val="none" w:sz="0" w:space="0" w:color="auto"/>
        <w:right w:val="none" w:sz="0" w:space="0" w:color="auto"/>
      </w:divBdr>
    </w:div>
    <w:div w:id="896166037">
      <w:bodyDiv w:val="1"/>
      <w:marLeft w:val="0"/>
      <w:marRight w:val="0"/>
      <w:marTop w:val="0"/>
      <w:marBottom w:val="0"/>
      <w:divBdr>
        <w:top w:val="none" w:sz="0" w:space="0" w:color="auto"/>
        <w:left w:val="none" w:sz="0" w:space="0" w:color="auto"/>
        <w:bottom w:val="none" w:sz="0" w:space="0" w:color="auto"/>
        <w:right w:val="none" w:sz="0" w:space="0" w:color="auto"/>
      </w:divBdr>
      <w:divsChild>
        <w:div w:id="933518012">
          <w:marLeft w:val="0"/>
          <w:marRight w:val="0"/>
          <w:marTop w:val="0"/>
          <w:marBottom w:val="0"/>
          <w:divBdr>
            <w:top w:val="none" w:sz="0" w:space="0" w:color="auto"/>
            <w:left w:val="none" w:sz="0" w:space="0" w:color="auto"/>
            <w:bottom w:val="none" w:sz="0" w:space="0" w:color="auto"/>
            <w:right w:val="none" w:sz="0" w:space="0" w:color="auto"/>
          </w:divBdr>
        </w:div>
        <w:div w:id="959140634">
          <w:marLeft w:val="0"/>
          <w:marRight w:val="0"/>
          <w:marTop w:val="0"/>
          <w:marBottom w:val="0"/>
          <w:divBdr>
            <w:top w:val="none" w:sz="0" w:space="0" w:color="auto"/>
            <w:left w:val="none" w:sz="0" w:space="0" w:color="auto"/>
            <w:bottom w:val="none" w:sz="0" w:space="0" w:color="auto"/>
            <w:right w:val="none" w:sz="0" w:space="0" w:color="auto"/>
          </w:divBdr>
        </w:div>
      </w:divsChild>
    </w:div>
    <w:div w:id="998923071">
      <w:bodyDiv w:val="1"/>
      <w:marLeft w:val="0"/>
      <w:marRight w:val="0"/>
      <w:marTop w:val="0"/>
      <w:marBottom w:val="0"/>
      <w:divBdr>
        <w:top w:val="none" w:sz="0" w:space="0" w:color="auto"/>
        <w:left w:val="none" w:sz="0" w:space="0" w:color="auto"/>
        <w:bottom w:val="none" w:sz="0" w:space="0" w:color="auto"/>
        <w:right w:val="none" w:sz="0" w:space="0" w:color="auto"/>
      </w:divBdr>
    </w:div>
    <w:div w:id="1067191785">
      <w:bodyDiv w:val="1"/>
      <w:marLeft w:val="0"/>
      <w:marRight w:val="0"/>
      <w:marTop w:val="0"/>
      <w:marBottom w:val="0"/>
      <w:divBdr>
        <w:top w:val="none" w:sz="0" w:space="0" w:color="auto"/>
        <w:left w:val="none" w:sz="0" w:space="0" w:color="auto"/>
        <w:bottom w:val="none" w:sz="0" w:space="0" w:color="auto"/>
        <w:right w:val="none" w:sz="0" w:space="0" w:color="auto"/>
      </w:divBdr>
    </w:div>
    <w:div w:id="1076509773">
      <w:bodyDiv w:val="1"/>
      <w:marLeft w:val="0"/>
      <w:marRight w:val="0"/>
      <w:marTop w:val="0"/>
      <w:marBottom w:val="0"/>
      <w:divBdr>
        <w:top w:val="none" w:sz="0" w:space="0" w:color="auto"/>
        <w:left w:val="none" w:sz="0" w:space="0" w:color="auto"/>
        <w:bottom w:val="none" w:sz="0" w:space="0" w:color="auto"/>
        <w:right w:val="none" w:sz="0" w:space="0" w:color="auto"/>
      </w:divBdr>
    </w:div>
    <w:div w:id="1085761092">
      <w:bodyDiv w:val="1"/>
      <w:marLeft w:val="0"/>
      <w:marRight w:val="0"/>
      <w:marTop w:val="0"/>
      <w:marBottom w:val="0"/>
      <w:divBdr>
        <w:top w:val="none" w:sz="0" w:space="0" w:color="auto"/>
        <w:left w:val="none" w:sz="0" w:space="0" w:color="auto"/>
        <w:bottom w:val="none" w:sz="0" w:space="0" w:color="auto"/>
        <w:right w:val="none" w:sz="0" w:space="0" w:color="auto"/>
      </w:divBdr>
    </w:div>
    <w:div w:id="1108815325">
      <w:bodyDiv w:val="1"/>
      <w:marLeft w:val="0"/>
      <w:marRight w:val="0"/>
      <w:marTop w:val="0"/>
      <w:marBottom w:val="0"/>
      <w:divBdr>
        <w:top w:val="none" w:sz="0" w:space="0" w:color="auto"/>
        <w:left w:val="none" w:sz="0" w:space="0" w:color="auto"/>
        <w:bottom w:val="none" w:sz="0" w:space="0" w:color="auto"/>
        <w:right w:val="none" w:sz="0" w:space="0" w:color="auto"/>
      </w:divBdr>
    </w:div>
    <w:div w:id="1129974072">
      <w:bodyDiv w:val="1"/>
      <w:marLeft w:val="0"/>
      <w:marRight w:val="0"/>
      <w:marTop w:val="0"/>
      <w:marBottom w:val="0"/>
      <w:divBdr>
        <w:top w:val="none" w:sz="0" w:space="0" w:color="auto"/>
        <w:left w:val="none" w:sz="0" w:space="0" w:color="auto"/>
        <w:bottom w:val="none" w:sz="0" w:space="0" w:color="auto"/>
        <w:right w:val="none" w:sz="0" w:space="0" w:color="auto"/>
      </w:divBdr>
    </w:div>
    <w:div w:id="1183516972">
      <w:bodyDiv w:val="1"/>
      <w:marLeft w:val="0"/>
      <w:marRight w:val="0"/>
      <w:marTop w:val="0"/>
      <w:marBottom w:val="0"/>
      <w:divBdr>
        <w:top w:val="none" w:sz="0" w:space="0" w:color="auto"/>
        <w:left w:val="none" w:sz="0" w:space="0" w:color="auto"/>
        <w:bottom w:val="none" w:sz="0" w:space="0" w:color="auto"/>
        <w:right w:val="none" w:sz="0" w:space="0" w:color="auto"/>
      </w:divBdr>
    </w:div>
    <w:div w:id="1193422393">
      <w:bodyDiv w:val="1"/>
      <w:marLeft w:val="0"/>
      <w:marRight w:val="0"/>
      <w:marTop w:val="0"/>
      <w:marBottom w:val="0"/>
      <w:divBdr>
        <w:top w:val="none" w:sz="0" w:space="0" w:color="auto"/>
        <w:left w:val="none" w:sz="0" w:space="0" w:color="auto"/>
        <w:bottom w:val="none" w:sz="0" w:space="0" w:color="auto"/>
        <w:right w:val="none" w:sz="0" w:space="0" w:color="auto"/>
      </w:divBdr>
      <w:divsChild>
        <w:div w:id="622883372">
          <w:marLeft w:val="0"/>
          <w:marRight w:val="0"/>
          <w:marTop w:val="0"/>
          <w:marBottom w:val="0"/>
          <w:divBdr>
            <w:top w:val="single" w:sz="2" w:space="0" w:color="E5E7EB"/>
            <w:left w:val="single" w:sz="2" w:space="0" w:color="E5E7EB"/>
            <w:bottom w:val="single" w:sz="2" w:space="0" w:color="E5E7EB"/>
            <w:right w:val="single" w:sz="2" w:space="0" w:color="E5E7EB"/>
          </w:divBdr>
        </w:div>
        <w:div w:id="800195644">
          <w:marLeft w:val="0"/>
          <w:marRight w:val="0"/>
          <w:marTop w:val="0"/>
          <w:marBottom w:val="0"/>
          <w:divBdr>
            <w:top w:val="single" w:sz="2" w:space="0" w:color="E5E7EB"/>
            <w:left w:val="single" w:sz="2" w:space="0" w:color="E5E7EB"/>
            <w:bottom w:val="single" w:sz="2" w:space="0" w:color="E5E7EB"/>
            <w:right w:val="single" w:sz="2" w:space="0" w:color="E5E7EB"/>
          </w:divBdr>
          <w:divsChild>
            <w:div w:id="704405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245982">
          <w:marLeft w:val="0"/>
          <w:marRight w:val="0"/>
          <w:marTop w:val="0"/>
          <w:marBottom w:val="0"/>
          <w:divBdr>
            <w:top w:val="single" w:sz="2" w:space="0" w:color="E5E7EB"/>
            <w:left w:val="single" w:sz="2" w:space="0" w:color="E5E7EB"/>
            <w:bottom w:val="single" w:sz="2" w:space="0" w:color="E5E7EB"/>
            <w:right w:val="single" w:sz="2" w:space="0" w:color="E5E7EB"/>
          </w:divBdr>
        </w:div>
        <w:div w:id="2004309393">
          <w:marLeft w:val="0"/>
          <w:marRight w:val="0"/>
          <w:marTop w:val="0"/>
          <w:marBottom w:val="0"/>
          <w:divBdr>
            <w:top w:val="single" w:sz="2" w:space="0" w:color="E5E7EB"/>
            <w:left w:val="single" w:sz="2" w:space="0" w:color="E5E7EB"/>
            <w:bottom w:val="single" w:sz="2" w:space="0" w:color="E5E7EB"/>
            <w:right w:val="single" w:sz="2" w:space="0" w:color="E5E7EB"/>
          </w:divBdr>
        </w:div>
        <w:div w:id="105319446">
          <w:marLeft w:val="0"/>
          <w:marRight w:val="0"/>
          <w:marTop w:val="0"/>
          <w:marBottom w:val="0"/>
          <w:divBdr>
            <w:top w:val="single" w:sz="2" w:space="0" w:color="E5E7EB"/>
            <w:left w:val="single" w:sz="2" w:space="0" w:color="E5E7EB"/>
            <w:bottom w:val="single" w:sz="2" w:space="0" w:color="E5E7EB"/>
            <w:right w:val="single" w:sz="2" w:space="0" w:color="E5E7EB"/>
          </w:divBdr>
          <w:divsChild>
            <w:div w:id="1055204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8488343">
          <w:marLeft w:val="0"/>
          <w:marRight w:val="0"/>
          <w:marTop w:val="0"/>
          <w:marBottom w:val="0"/>
          <w:divBdr>
            <w:top w:val="single" w:sz="2" w:space="0" w:color="E5E7EB"/>
            <w:left w:val="single" w:sz="2" w:space="0" w:color="E5E7EB"/>
            <w:bottom w:val="single" w:sz="2" w:space="0" w:color="E5E7EB"/>
            <w:right w:val="single" w:sz="2" w:space="0" w:color="E5E7EB"/>
          </w:divBdr>
        </w:div>
        <w:div w:id="1555122406">
          <w:marLeft w:val="0"/>
          <w:marRight w:val="0"/>
          <w:marTop w:val="0"/>
          <w:marBottom w:val="0"/>
          <w:divBdr>
            <w:top w:val="single" w:sz="2" w:space="0" w:color="E5E7EB"/>
            <w:left w:val="single" w:sz="2" w:space="0" w:color="E5E7EB"/>
            <w:bottom w:val="single" w:sz="2" w:space="0" w:color="E5E7EB"/>
            <w:right w:val="single" w:sz="2" w:space="0" w:color="E5E7EB"/>
          </w:divBdr>
          <w:divsChild>
            <w:div w:id="2018384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3502438">
          <w:marLeft w:val="0"/>
          <w:marRight w:val="0"/>
          <w:marTop w:val="0"/>
          <w:marBottom w:val="0"/>
          <w:divBdr>
            <w:top w:val="single" w:sz="2" w:space="0" w:color="E5E7EB"/>
            <w:left w:val="single" w:sz="2" w:space="0" w:color="E5E7EB"/>
            <w:bottom w:val="single" w:sz="2" w:space="0" w:color="E5E7EB"/>
            <w:right w:val="single" w:sz="2" w:space="0" w:color="E5E7EB"/>
          </w:divBdr>
        </w:div>
        <w:div w:id="630405784">
          <w:marLeft w:val="0"/>
          <w:marRight w:val="0"/>
          <w:marTop w:val="0"/>
          <w:marBottom w:val="0"/>
          <w:divBdr>
            <w:top w:val="single" w:sz="2" w:space="0" w:color="E5E7EB"/>
            <w:left w:val="single" w:sz="2" w:space="0" w:color="E5E7EB"/>
            <w:bottom w:val="single" w:sz="2" w:space="0" w:color="E5E7EB"/>
            <w:right w:val="single" w:sz="2" w:space="0" w:color="E5E7EB"/>
          </w:divBdr>
        </w:div>
        <w:div w:id="454252215">
          <w:marLeft w:val="0"/>
          <w:marRight w:val="0"/>
          <w:marTop w:val="0"/>
          <w:marBottom w:val="0"/>
          <w:divBdr>
            <w:top w:val="single" w:sz="2" w:space="0" w:color="E5E7EB"/>
            <w:left w:val="single" w:sz="2" w:space="0" w:color="E5E7EB"/>
            <w:bottom w:val="single" w:sz="2" w:space="0" w:color="E5E7EB"/>
            <w:right w:val="single" w:sz="2" w:space="0" w:color="E5E7EB"/>
          </w:divBdr>
          <w:divsChild>
            <w:div w:id="87629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7339412">
          <w:marLeft w:val="0"/>
          <w:marRight w:val="0"/>
          <w:marTop w:val="0"/>
          <w:marBottom w:val="0"/>
          <w:divBdr>
            <w:top w:val="single" w:sz="2" w:space="0" w:color="E5E7EB"/>
            <w:left w:val="single" w:sz="2" w:space="0" w:color="E5E7EB"/>
            <w:bottom w:val="single" w:sz="2" w:space="0" w:color="E5E7EB"/>
            <w:right w:val="single" w:sz="2" w:space="0" w:color="E5E7EB"/>
          </w:divBdr>
        </w:div>
        <w:div w:id="1130322360">
          <w:marLeft w:val="0"/>
          <w:marRight w:val="0"/>
          <w:marTop w:val="0"/>
          <w:marBottom w:val="0"/>
          <w:divBdr>
            <w:top w:val="single" w:sz="2" w:space="0" w:color="E5E7EB"/>
            <w:left w:val="single" w:sz="2" w:space="0" w:color="E5E7EB"/>
            <w:bottom w:val="single" w:sz="2" w:space="0" w:color="E5E7EB"/>
            <w:right w:val="single" w:sz="2" w:space="0" w:color="E5E7EB"/>
          </w:divBdr>
          <w:divsChild>
            <w:div w:id="579481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5900903">
          <w:marLeft w:val="0"/>
          <w:marRight w:val="0"/>
          <w:marTop w:val="0"/>
          <w:marBottom w:val="0"/>
          <w:divBdr>
            <w:top w:val="single" w:sz="2" w:space="0" w:color="E5E7EB"/>
            <w:left w:val="single" w:sz="2" w:space="0" w:color="E5E7EB"/>
            <w:bottom w:val="single" w:sz="2" w:space="0" w:color="E5E7EB"/>
            <w:right w:val="single" w:sz="2" w:space="0" w:color="E5E7EB"/>
          </w:divBdr>
        </w:div>
        <w:div w:id="1237667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13299">
      <w:bodyDiv w:val="1"/>
      <w:marLeft w:val="0"/>
      <w:marRight w:val="0"/>
      <w:marTop w:val="0"/>
      <w:marBottom w:val="0"/>
      <w:divBdr>
        <w:top w:val="none" w:sz="0" w:space="0" w:color="auto"/>
        <w:left w:val="none" w:sz="0" w:space="0" w:color="auto"/>
        <w:bottom w:val="none" w:sz="0" w:space="0" w:color="auto"/>
        <w:right w:val="none" w:sz="0" w:space="0" w:color="auto"/>
      </w:divBdr>
    </w:div>
    <w:div w:id="1220747862">
      <w:bodyDiv w:val="1"/>
      <w:marLeft w:val="0"/>
      <w:marRight w:val="0"/>
      <w:marTop w:val="0"/>
      <w:marBottom w:val="0"/>
      <w:divBdr>
        <w:top w:val="none" w:sz="0" w:space="0" w:color="auto"/>
        <w:left w:val="none" w:sz="0" w:space="0" w:color="auto"/>
        <w:bottom w:val="none" w:sz="0" w:space="0" w:color="auto"/>
        <w:right w:val="none" w:sz="0" w:space="0" w:color="auto"/>
      </w:divBdr>
      <w:divsChild>
        <w:div w:id="1765107594">
          <w:marLeft w:val="0"/>
          <w:marRight w:val="0"/>
          <w:marTop w:val="0"/>
          <w:marBottom w:val="0"/>
          <w:divBdr>
            <w:top w:val="single" w:sz="2" w:space="0" w:color="E5E7EB"/>
            <w:left w:val="single" w:sz="2" w:space="0" w:color="E5E7EB"/>
            <w:bottom w:val="single" w:sz="2" w:space="0" w:color="E5E7EB"/>
            <w:right w:val="single" w:sz="2" w:space="0" w:color="E5E7EB"/>
          </w:divBdr>
        </w:div>
        <w:div w:id="960720671">
          <w:marLeft w:val="0"/>
          <w:marRight w:val="0"/>
          <w:marTop w:val="0"/>
          <w:marBottom w:val="0"/>
          <w:divBdr>
            <w:top w:val="single" w:sz="2" w:space="0" w:color="E5E7EB"/>
            <w:left w:val="single" w:sz="2" w:space="0" w:color="E5E7EB"/>
            <w:bottom w:val="single" w:sz="2" w:space="0" w:color="E5E7EB"/>
            <w:right w:val="single" w:sz="2" w:space="0" w:color="E5E7EB"/>
          </w:divBdr>
        </w:div>
        <w:div w:id="250818934">
          <w:marLeft w:val="0"/>
          <w:marRight w:val="0"/>
          <w:marTop w:val="0"/>
          <w:marBottom w:val="0"/>
          <w:divBdr>
            <w:top w:val="single" w:sz="2" w:space="0" w:color="E5E7EB"/>
            <w:left w:val="single" w:sz="2" w:space="0" w:color="E5E7EB"/>
            <w:bottom w:val="single" w:sz="2" w:space="0" w:color="E5E7EB"/>
            <w:right w:val="single" w:sz="2" w:space="0" w:color="E5E7EB"/>
          </w:divBdr>
        </w:div>
        <w:div w:id="580217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2983013">
      <w:bodyDiv w:val="1"/>
      <w:marLeft w:val="0"/>
      <w:marRight w:val="0"/>
      <w:marTop w:val="0"/>
      <w:marBottom w:val="0"/>
      <w:divBdr>
        <w:top w:val="none" w:sz="0" w:space="0" w:color="auto"/>
        <w:left w:val="none" w:sz="0" w:space="0" w:color="auto"/>
        <w:bottom w:val="none" w:sz="0" w:space="0" w:color="auto"/>
        <w:right w:val="none" w:sz="0" w:space="0" w:color="auto"/>
      </w:divBdr>
    </w:div>
    <w:div w:id="1254129380">
      <w:bodyDiv w:val="1"/>
      <w:marLeft w:val="0"/>
      <w:marRight w:val="0"/>
      <w:marTop w:val="0"/>
      <w:marBottom w:val="0"/>
      <w:divBdr>
        <w:top w:val="none" w:sz="0" w:space="0" w:color="auto"/>
        <w:left w:val="none" w:sz="0" w:space="0" w:color="auto"/>
        <w:bottom w:val="none" w:sz="0" w:space="0" w:color="auto"/>
        <w:right w:val="none" w:sz="0" w:space="0" w:color="auto"/>
      </w:divBdr>
    </w:div>
    <w:div w:id="1269003802">
      <w:bodyDiv w:val="1"/>
      <w:marLeft w:val="0"/>
      <w:marRight w:val="0"/>
      <w:marTop w:val="0"/>
      <w:marBottom w:val="0"/>
      <w:divBdr>
        <w:top w:val="none" w:sz="0" w:space="0" w:color="auto"/>
        <w:left w:val="none" w:sz="0" w:space="0" w:color="auto"/>
        <w:bottom w:val="none" w:sz="0" w:space="0" w:color="auto"/>
        <w:right w:val="none" w:sz="0" w:space="0" w:color="auto"/>
      </w:divBdr>
    </w:div>
    <w:div w:id="1276324448">
      <w:bodyDiv w:val="1"/>
      <w:marLeft w:val="0"/>
      <w:marRight w:val="0"/>
      <w:marTop w:val="0"/>
      <w:marBottom w:val="0"/>
      <w:divBdr>
        <w:top w:val="none" w:sz="0" w:space="0" w:color="auto"/>
        <w:left w:val="none" w:sz="0" w:space="0" w:color="auto"/>
        <w:bottom w:val="none" w:sz="0" w:space="0" w:color="auto"/>
        <w:right w:val="none" w:sz="0" w:space="0" w:color="auto"/>
      </w:divBdr>
      <w:divsChild>
        <w:div w:id="76295389">
          <w:marLeft w:val="0"/>
          <w:marRight w:val="0"/>
          <w:marTop w:val="0"/>
          <w:marBottom w:val="0"/>
          <w:divBdr>
            <w:top w:val="single" w:sz="2" w:space="0" w:color="E5E7EB"/>
            <w:left w:val="single" w:sz="2" w:space="0" w:color="E5E7EB"/>
            <w:bottom w:val="single" w:sz="2" w:space="0" w:color="E5E7EB"/>
            <w:right w:val="single" w:sz="2" w:space="0" w:color="E5E7EB"/>
          </w:divBdr>
        </w:div>
        <w:div w:id="92748356">
          <w:marLeft w:val="0"/>
          <w:marRight w:val="0"/>
          <w:marTop w:val="0"/>
          <w:marBottom w:val="0"/>
          <w:divBdr>
            <w:top w:val="single" w:sz="2" w:space="0" w:color="E5E7EB"/>
            <w:left w:val="single" w:sz="2" w:space="0" w:color="E5E7EB"/>
            <w:bottom w:val="single" w:sz="2" w:space="0" w:color="E5E7EB"/>
            <w:right w:val="single" w:sz="2" w:space="0" w:color="E5E7EB"/>
          </w:divBdr>
          <w:divsChild>
            <w:div w:id="888883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9542627">
          <w:marLeft w:val="0"/>
          <w:marRight w:val="0"/>
          <w:marTop w:val="0"/>
          <w:marBottom w:val="0"/>
          <w:divBdr>
            <w:top w:val="single" w:sz="2" w:space="0" w:color="E5E7EB"/>
            <w:left w:val="single" w:sz="2" w:space="0" w:color="E5E7EB"/>
            <w:bottom w:val="single" w:sz="2" w:space="0" w:color="E5E7EB"/>
            <w:right w:val="single" w:sz="2" w:space="0" w:color="E5E7EB"/>
          </w:divBdr>
        </w:div>
        <w:div w:id="1718427756">
          <w:marLeft w:val="0"/>
          <w:marRight w:val="0"/>
          <w:marTop w:val="0"/>
          <w:marBottom w:val="0"/>
          <w:divBdr>
            <w:top w:val="single" w:sz="2" w:space="0" w:color="E5E7EB"/>
            <w:left w:val="single" w:sz="2" w:space="0" w:color="E5E7EB"/>
            <w:bottom w:val="single" w:sz="2" w:space="0" w:color="E5E7EB"/>
            <w:right w:val="single" w:sz="2" w:space="0" w:color="E5E7EB"/>
          </w:divBdr>
        </w:div>
        <w:div w:id="1451705212">
          <w:marLeft w:val="0"/>
          <w:marRight w:val="0"/>
          <w:marTop w:val="0"/>
          <w:marBottom w:val="0"/>
          <w:divBdr>
            <w:top w:val="single" w:sz="2" w:space="0" w:color="E5E7EB"/>
            <w:left w:val="single" w:sz="2" w:space="0" w:color="E5E7EB"/>
            <w:bottom w:val="single" w:sz="2" w:space="0" w:color="E5E7EB"/>
            <w:right w:val="single" w:sz="2" w:space="0" w:color="E5E7EB"/>
          </w:divBdr>
          <w:divsChild>
            <w:div w:id="1418019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203598">
          <w:marLeft w:val="0"/>
          <w:marRight w:val="0"/>
          <w:marTop w:val="0"/>
          <w:marBottom w:val="0"/>
          <w:divBdr>
            <w:top w:val="single" w:sz="2" w:space="0" w:color="E5E7EB"/>
            <w:left w:val="single" w:sz="2" w:space="0" w:color="E5E7EB"/>
            <w:bottom w:val="single" w:sz="2" w:space="0" w:color="E5E7EB"/>
            <w:right w:val="single" w:sz="2" w:space="0" w:color="E5E7EB"/>
          </w:divBdr>
        </w:div>
        <w:div w:id="811947711">
          <w:marLeft w:val="0"/>
          <w:marRight w:val="0"/>
          <w:marTop w:val="0"/>
          <w:marBottom w:val="0"/>
          <w:divBdr>
            <w:top w:val="single" w:sz="2" w:space="0" w:color="E5E7EB"/>
            <w:left w:val="single" w:sz="2" w:space="0" w:color="E5E7EB"/>
            <w:bottom w:val="single" w:sz="2" w:space="0" w:color="E5E7EB"/>
            <w:right w:val="single" w:sz="2" w:space="0" w:color="E5E7EB"/>
          </w:divBdr>
          <w:divsChild>
            <w:div w:id="1674868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6142787">
          <w:marLeft w:val="0"/>
          <w:marRight w:val="0"/>
          <w:marTop w:val="0"/>
          <w:marBottom w:val="0"/>
          <w:divBdr>
            <w:top w:val="single" w:sz="2" w:space="0" w:color="E5E7EB"/>
            <w:left w:val="single" w:sz="2" w:space="0" w:color="E5E7EB"/>
            <w:bottom w:val="single" w:sz="2" w:space="0" w:color="E5E7EB"/>
            <w:right w:val="single" w:sz="2" w:space="0" w:color="E5E7EB"/>
          </w:divBdr>
        </w:div>
        <w:div w:id="594215041">
          <w:marLeft w:val="0"/>
          <w:marRight w:val="0"/>
          <w:marTop w:val="0"/>
          <w:marBottom w:val="0"/>
          <w:divBdr>
            <w:top w:val="single" w:sz="2" w:space="0" w:color="E5E7EB"/>
            <w:left w:val="single" w:sz="2" w:space="0" w:color="E5E7EB"/>
            <w:bottom w:val="single" w:sz="2" w:space="0" w:color="E5E7EB"/>
            <w:right w:val="single" w:sz="2" w:space="0" w:color="E5E7EB"/>
          </w:divBdr>
        </w:div>
        <w:div w:id="861746076">
          <w:marLeft w:val="0"/>
          <w:marRight w:val="0"/>
          <w:marTop w:val="0"/>
          <w:marBottom w:val="0"/>
          <w:divBdr>
            <w:top w:val="single" w:sz="2" w:space="0" w:color="E5E7EB"/>
            <w:left w:val="single" w:sz="2" w:space="0" w:color="E5E7EB"/>
            <w:bottom w:val="single" w:sz="2" w:space="0" w:color="E5E7EB"/>
            <w:right w:val="single" w:sz="2" w:space="0" w:color="E5E7EB"/>
          </w:divBdr>
          <w:divsChild>
            <w:div w:id="1717896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147762">
          <w:marLeft w:val="0"/>
          <w:marRight w:val="0"/>
          <w:marTop w:val="0"/>
          <w:marBottom w:val="0"/>
          <w:divBdr>
            <w:top w:val="single" w:sz="2" w:space="0" w:color="E5E7EB"/>
            <w:left w:val="single" w:sz="2" w:space="0" w:color="E5E7EB"/>
            <w:bottom w:val="single" w:sz="2" w:space="0" w:color="E5E7EB"/>
            <w:right w:val="single" w:sz="2" w:space="0" w:color="E5E7EB"/>
          </w:divBdr>
        </w:div>
        <w:div w:id="2026980182">
          <w:marLeft w:val="0"/>
          <w:marRight w:val="0"/>
          <w:marTop w:val="0"/>
          <w:marBottom w:val="0"/>
          <w:divBdr>
            <w:top w:val="single" w:sz="2" w:space="0" w:color="E5E7EB"/>
            <w:left w:val="single" w:sz="2" w:space="0" w:color="E5E7EB"/>
            <w:bottom w:val="single" w:sz="2" w:space="0" w:color="E5E7EB"/>
            <w:right w:val="single" w:sz="2" w:space="0" w:color="E5E7EB"/>
          </w:divBdr>
          <w:divsChild>
            <w:div w:id="1288124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3463886">
          <w:marLeft w:val="0"/>
          <w:marRight w:val="0"/>
          <w:marTop w:val="0"/>
          <w:marBottom w:val="0"/>
          <w:divBdr>
            <w:top w:val="single" w:sz="2" w:space="0" w:color="E5E7EB"/>
            <w:left w:val="single" w:sz="2" w:space="0" w:color="E5E7EB"/>
            <w:bottom w:val="single" w:sz="2" w:space="0" w:color="E5E7EB"/>
            <w:right w:val="single" w:sz="2" w:space="0" w:color="E5E7EB"/>
          </w:divBdr>
        </w:div>
        <w:div w:id="228344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0797266">
      <w:bodyDiv w:val="1"/>
      <w:marLeft w:val="0"/>
      <w:marRight w:val="0"/>
      <w:marTop w:val="0"/>
      <w:marBottom w:val="0"/>
      <w:divBdr>
        <w:top w:val="none" w:sz="0" w:space="0" w:color="auto"/>
        <w:left w:val="none" w:sz="0" w:space="0" w:color="auto"/>
        <w:bottom w:val="none" w:sz="0" w:space="0" w:color="auto"/>
        <w:right w:val="none" w:sz="0" w:space="0" w:color="auto"/>
      </w:divBdr>
    </w:div>
    <w:div w:id="1323852726">
      <w:bodyDiv w:val="1"/>
      <w:marLeft w:val="0"/>
      <w:marRight w:val="0"/>
      <w:marTop w:val="0"/>
      <w:marBottom w:val="0"/>
      <w:divBdr>
        <w:top w:val="none" w:sz="0" w:space="0" w:color="auto"/>
        <w:left w:val="none" w:sz="0" w:space="0" w:color="auto"/>
        <w:bottom w:val="none" w:sz="0" w:space="0" w:color="auto"/>
        <w:right w:val="none" w:sz="0" w:space="0" w:color="auto"/>
      </w:divBdr>
    </w:div>
    <w:div w:id="1352337830">
      <w:bodyDiv w:val="1"/>
      <w:marLeft w:val="0"/>
      <w:marRight w:val="0"/>
      <w:marTop w:val="0"/>
      <w:marBottom w:val="0"/>
      <w:divBdr>
        <w:top w:val="none" w:sz="0" w:space="0" w:color="auto"/>
        <w:left w:val="none" w:sz="0" w:space="0" w:color="auto"/>
        <w:bottom w:val="none" w:sz="0" w:space="0" w:color="auto"/>
        <w:right w:val="none" w:sz="0" w:space="0" w:color="auto"/>
      </w:divBdr>
    </w:div>
    <w:div w:id="1362588707">
      <w:bodyDiv w:val="1"/>
      <w:marLeft w:val="0"/>
      <w:marRight w:val="0"/>
      <w:marTop w:val="0"/>
      <w:marBottom w:val="0"/>
      <w:divBdr>
        <w:top w:val="none" w:sz="0" w:space="0" w:color="auto"/>
        <w:left w:val="none" w:sz="0" w:space="0" w:color="auto"/>
        <w:bottom w:val="none" w:sz="0" w:space="0" w:color="auto"/>
        <w:right w:val="none" w:sz="0" w:space="0" w:color="auto"/>
      </w:divBdr>
    </w:div>
    <w:div w:id="1424188073">
      <w:bodyDiv w:val="1"/>
      <w:marLeft w:val="0"/>
      <w:marRight w:val="0"/>
      <w:marTop w:val="0"/>
      <w:marBottom w:val="0"/>
      <w:divBdr>
        <w:top w:val="none" w:sz="0" w:space="0" w:color="auto"/>
        <w:left w:val="none" w:sz="0" w:space="0" w:color="auto"/>
        <w:bottom w:val="none" w:sz="0" w:space="0" w:color="auto"/>
        <w:right w:val="none" w:sz="0" w:space="0" w:color="auto"/>
      </w:divBdr>
    </w:div>
    <w:div w:id="1444038276">
      <w:bodyDiv w:val="1"/>
      <w:marLeft w:val="0"/>
      <w:marRight w:val="0"/>
      <w:marTop w:val="0"/>
      <w:marBottom w:val="0"/>
      <w:divBdr>
        <w:top w:val="none" w:sz="0" w:space="0" w:color="auto"/>
        <w:left w:val="none" w:sz="0" w:space="0" w:color="auto"/>
        <w:bottom w:val="none" w:sz="0" w:space="0" w:color="auto"/>
        <w:right w:val="none" w:sz="0" w:space="0" w:color="auto"/>
      </w:divBdr>
    </w:div>
    <w:div w:id="1449659117">
      <w:bodyDiv w:val="1"/>
      <w:marLeft w:val="0"/>
      <w:marRight w:val="0"/>
      <w:marTop w:val="0"/>
      <w:marBottom w:val="0"/>
      <w:divBdr>
        <w:top w:val="none" w:sz="0" w:space="0" w:color="auto"/>
        <w:left w:val="none" w:sz="0" w:space="0" w:color="auto"/>
        <w:bottom w:val="none" w:sz="0" w:space="0" w:color="auto"/>
        <w:right w:val="none" w:sz="0" w:space="0" w:color="auto"/>
      </w:divBdr>
      <w:divsChild>
        <w:div w:id="1286546732">
          <w:marLeft w:val="0"/>
          <w:marRight w:val="0"/>
          <w:marTop w:val="0"/>
          <w:marBottom w:val="0"/>
          <w:divBdr>
            <w:top w:val="single" w:sz="2" w:space="0" w:color="E5E7EB"/>
            <w:left w:val="single" w:sz="2" w:space="0" w:color="E5E7EB"/>
            <w:bottom w:val="single" w:sz="2" w:space="0" w:color="E5E7EB"/>
            <w:right w:val="single" w:sz="2" w:space="0" w:color="E5E7EB"/>
          </w:divBdr>
        </w:div>
        <w:div w:id="759301980">
          <w:marLeft w:val="0"/>
          <w:marRight w:val="0"/>
          <w:marTop w:val="0"/>
          <w:marBottom w:val="0"/>
          <w:divBdr>
            <w:top w:val="single" w:sz="2" w:space="0" w:color="E5E7EB"/>
            <w:left w:val="single" w:sz="2" w:space="0" w:color="E5E7EB"/>
            <w:bottom w:val="single" w:sz="2" w:space="0" w:color="E5E7EB"/>
            <w:right w:val="single" w:sz="2" w:space="0" w:color="E5E7EB"/>
          </w:divBdr>
        </w:div>
        <w:div w:id="1650358510">
          <w:marLeft w:val="0"/>
          <w:marRight w:val="0"/>
          <w:marTop w:val="0"/>
          <w:marBottom w:val="0"/>
          <w:divBdr>
            <w:top w:val="single" w:sz="2" w:space="0" w:color="E5E7EB"/>
            <w:left w:val="single" w:sz="2" w:space="0" w:color="E5E7EB"/>
            <w:bottom w:val="single" w:sz="2" w:space="0" w:color="E5E7EB"/>
            <w:right w:val="single" w:sz="2" w:space="0" w:color="E5E7EB"/>
          </w:divBdr>
        </w:div>
        <w:div w:id="1742367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019715">
      <w:bodyDiv w:val="1"/>
      <w:marLeft w:val="0"/>
      <w:marRight w:val="0"/>
      <w:marTop w:val="0"/>
      <w:marBottom w:val="0"/>
      <w:divBdr>
        <w:top w:val="none" w:sz="0" w:space="0" w:color="auto"/>
        <w:left w:val="none" w:sz="0" w:space="0" w:color="auto"/>
        <w:bottom w:val="none" w:sz="0" w:space="0" w:color="auto"/>
        <w:right w:val="none" w:sz="0" w:space="0" w:color="auto"/>
      </w:divBdr>
    </w:div>
    <w:div w:id="1487161476">
      <w:bodyDiv w:val="1"/>
      <w:marLeft w:val="0"/>
      <w:marRight w:val="0"/>
      <w:marTop w:val="0"/>
      <w:marBottom w:val="0"/>
      <w:divBdr>
        <w:top w:val="none" w:sz="0" w:space="0" w:color="auto"/>
        <w:left w:val="none" w:sz="0" w:space="0" w:color="auto"/>
        <w:bottom w:val="none" w:sz="0" w:space="0" w:color="auto"/>
        <w:right w:val="none" w:sz="0" w:space="0" w:color="auto"/>
      </w:divBdr>
      <w:divsChild>
        <w:div w:id="1231958589">
          <w:marLeft w:val="0"/>
          <w:marRight w:val="0"/>
          <w:marTop w:val="0"/>
          <w:marBottom w:val="0"/>
          <w:divBdr>
            <w:top w:val="none" w:sz="0" w:space="0" w:color="auto"/>
            <w:left w:val="none" w:sz="0" w:space="0" w:color="auto"/>
            <w:bottom w:val="none" w:sz="0" w:space="0" w:color="auto"/>
            <w:right w:val="none" w:sz="0" w:space="0" w:color="auto"/>
          </w:divBdr>
        </w:div>
        <w:div w:id="1606570726">
          <w:marLeft w:val="0"/>
          <w:marRight w:val="0"/>
          <w:marTop w:val="0"/>
          <w:marBottom w:val="0"/>
          <w:divBdr>
            <w:top w:val="none" w:sz="0" w:space="0" w:color="auto"/>
            <w:left w:val="none" w:sz="0" w:space="0" w:color="auto"/>
            <w:bottom w:val="none" w:sz="0" w:space="0" w:color="auto"/>
            <w:right w:val="none" w:sz="0" w:space="0" w:color="auto"/>
          </w:divBdr>
        </w:div>
      </w:divsChild>
    </w:div>
    <w:div w:id="1495301045">
      <w:bodyDiv w:val="1"/>
      <w:marLeft w:val="0"/>
      <w:marRight w:val="0"/>
      <w:marTop w:val="0"/>
      <w:marBottom w:val="0"/>
      <w:divBdr>
        <w:top w:val="none" w:sz="0" w:space="0" w:color="auto"/>
        <w:left w:val="none" w:sz="0" w:space="0" w:color="auto"/>
        <w:bottom w:val="none" w:sz="0" w:space="0" w:color="auto"/>
        <w:right w:val="none" w:sz="0" w:space="0" w:color="auto"/>
      </w:divBdr>
      <w:divsChild>
        <w:div w:id="970136727">
          <w:marLeft w:val="0"/>
          <w:marRight w:val="0"/>
          <w:marTop w:val="0"/>
          <w:marBottom w:val="0"/>
          <w:divBdr>
            <w:top w:val="none" w:sz="0" w:space="0" w:color="auto"/>
            <w:left w:val="none" w:sz="0" w:space="0" w:color="auto"/>
            <w:bottom w:val="none" w:sz="0" w:space="0" w:color="auto"/>
            <w:right w:val="none" w:sz="0" w:space="0" w:color="auto"/>
          </w:divBdr>
        </w:div>
      </w:divsChild>
    </w:div>
    <w:div w:id="1506357651">
      <w:bodyDiv w:val="1"/>
      <w:marLeft w:val="0"/>
      <w:marRight w:val="0"/>
      <w:marTop w:val="0"/>
      <w:marBottom w:val="0"/>
      <w:divBdr>
        <w:top w:val="none" w:sz="0" w:space="0" w:color="auto"/>
        <w:left w:val="none" w:sz="0" w:space="0" w:color="auto"/>
        <w:bottom w:val="none" w:sz="0" w:space="0" w:color="auto"/>
        <w:right w:val="none" w:sz="0" w:space="0" w:color="auto"/>
      </w:divBdr>
      <w:divsChild>
        <w:div w:id="214200253">
          <w:marLeft w:val="0"/>
          <w:marRight w:val="0"/>
          <w:marTop w:val="0"/>
          <w:marBottom w:val="0"/>
          <w:divBdr>
            <w:top w:val="none" w:sz="0" w:space="0" w:color="auto"/>
            <w:left w:val="none" w:sz="0" w:space="0" w:color="auto"/>
            <w:bottom w:val="none" w:sz="0" w:space="0" w:color="auto"/>
            <w:right w:val="none" w:sz="0" w:space="0" w:color="auto"/>
          </w:divBdr>
        </w:div>
      </w:divsChild>
    </w:div>
    <w:div w:id="1514952561">
      <w:bodyDiv w:val="1"/>
      <w:marLeft w:val="0"/>
      <w:marRight w:val="0"/>
      <w:marTop w:val="0"/>
      <w:marBottom w:val="0"/>
      <w:divBdr>
        <w:top w:val="none" w:sz="0" w:space="0" w:color="auto"/>
        <w:left w:val="none" w:sz="0" w:space="0" w:color="auto"/>
        <w:bottom w:val="none" w:sz="0" w:space="0" w:color="auto"/>
        <w:right w:val="none" w:sz="0" w:space="0" w:color="auto"/>
      </w:divBdr>
    </w:div>
    <w:div w:id="1593315914">
      <w:bodyDiv w:val="1"/>
      <w:marLeft w:val="0"/>
      <w:marRight w:val="0"/>
      <w:marTop w:val="0"/>
      <w:marBottom w:val="0"/>
      <w:divBdr>
        <w:top w:val="none" w:sz="0" w:space="0" w:color="auto"/>
        <w:left w:val="none" w:sz="0" w:space="0" w:color="auto"/>
        <w:bottom w:val="none" w:sz="0" w:space="0" w:color="auto"/>
        <w:right w:val="none" w:sz="0" w:space="0" w:color="auto"/>
      </w:divBdr>
    </w:div>
    <w:div w:id="1607807139">
      <w:bodyDiv w:val="1"/>
      <w:marLeft w:val="0"/>
      <w:marRight w:val="0"/>
      <w:marTop w:val="0"/>
      <w:marBottom w:val="0"/>
      <w:divBdr>
        <w:top w:val="none" w:sz="0" w:space="0" w:color="auto"/>
        <w:left w:val="none" w:sz="0" w:space="0" w:color="auto"/>
        <w:bottom w:val="none" w:sz="0" w:space="0" w:color="auto"/>
        <w:right w:val="none" w:sz="0" w:space="0" w:color="auto"/>
      </w:divBdr>
    </w:div>
    <w:div w:id="1609659812">
      <w:bodyDiv w:val="1"/>
      <w:marLeft w:val="0"/>
      <w:marRight w:val="0"/>
      <w:marTop w:val="0"/>
      <w:marBottom w:val="0"/>
      <w:divBdr>
        <w:top w:val="none" w:sz="0" w:space="0" w:color="auto"/>
        <w:left w:val="none" w:sz="0" w:space="0" w:color="auto"/>
        <w:bottom w:val="none" w:sz="0" w:space="0" w:color="auto"/>
        <w:right w:val="none" w:sz="0" w:space="0" w:color="auto"/>
      </w:divBdr>
    </w:div>
    <w:div w:id="1618365170">
      <w:bodyDiv w:val="1"/>
      <w:marLeft w:val="0"/>
      <w:marRight w:val="0"/>
      <w:marTop w:val="0"/>
      <w:marBottom w:val="0"/>
      <w:divBdr>
        <w:top w:val="none" w:sz="0" w:space="0" w:color="auto"/>
        <w:left w:val="none" w:sz="0" w:space="0" w:color="auto"/>
        <w:bottom w:val="none" w:sz="0" w:space="0" w:color="auto"/>
        <w:right w:val="none" w:sz="0" w:space="0" w:color="auto"/>
      </w:divBdr>
    </w:div>
    <w:div w:id="1683243951">
      <w:bodyDiv w:val="1"/>
      <w:marLeft w:val="0"/>
      <w:marRight w:val="0"/>
      <w:marTop w:val="0"/>
      <w:marBottom w:val="0"/>
      <w:divBdr>
        <w:top w:val="none" w:sz="0" w:space="0" w:color="auto"/>
        <w:left w:val="none" w:sz="0" w:space="0" w:color="auto"/>
        <w:bottom w:val="none" w:sz="0" w:space="0" w:color="auto"/>
        <w:right w:val="none" w:sz="0" w:space="0" w:color="auto"/>
      </w:divBdr>
    </w:div>
    <w:div w:id="1703818647">
      <w:bodyDiv w:val="1"/>
      <w:marLeft w:val="0"/>
      <w:marRight w:val="0"/>
      <w:marTop w:val="0"/>
      <w:marBottom w:val="0"/>
      <w:divBdr>
        <w:top w:val="none" w:sz="0" w:space="0" w:color="auto"/>
        <w:left w:val="none" w:sz="0" w:space="0" w:color="auto"/>
        <w:bottom w:val="none" w:sz="0" w:space="0" w:color="auto"/>
        <w:right w:val="none" w:sz="0" w:space="0" w:color="auto"/>
      </w:divBdr>
    </w:div>
    <w:div w:id="1763912749">
      <w:bodyDiv w:val="1"/>
      <w:marLeft w:val="0"/>
      <w:marRight w:val="0"/>
      <w:marTop w:val="0"/>
      <w:marBottom w:val="0"/>
      <w:divBdr>
        <w:top w:val="none" w:sz="0" w:space="0" w:color="auto"/>
        <w:left w:val="none" w:sz="0" w:space="0" w:color="auto"/>
        <w:bottom w:val="none" w:sz="0" w:space="0" w:color="auto"/>
        <w:right w:val="none" w:sz="0" w:space="0" w:color="auto"/>
      </w:divBdr>
    </w:div>
    <w:div w:id="1833988023">
      <w:bodyDiv w:val="1"/>
      <w:marLeft w:val="0"/>
      <w:marRight w:val="0"/>
      <w:marTop w:val="0"/>
      <w:marBottom w:val="0"/>
      <w:divBdr>
        <w:top w:val="none" w:sz="0" w:space="0" w:color="auto"/>
        <w:left w:val="none" w:sz="0" w:space="0" w:color="auto"/>
        <w:bottom w:val="none" w:sz="0" w:space="0" w:color="auto"/>
        <w:right w:val="none" w:sz="0" w:space="0" w:color="auto"/>
      </w:divBdr>
    </w:div>
    <w:div w:id="1901937889">
      <w:bodyDiv w:val="1"/>
      <w:marLeft w:val="0"/>
      <w:marRight w:val="0"/>
      <w:marTop w:val="0"/>
      <w:marBottom w:val="0"/>
      <w:divBdr>
        <w:top w:val="none" w:sz="0" w:space="0" w:color="auto"/>
        <w:left w:val="none" w:sz="0" w:space="0" w:color="auto"/>
        <w:bottom w:val="none" w:sz="0" w:space="0" w:color="auto"/>
        <w:right w:val="none" w:sz="0" w:space="0" w:color="auto"/>
      </w:divBdr>
    </w:div>
    <w:div w:id="1924558707">
      <w:bodyDiv w:val="1"/>
      <w:marLeft w:val="0"/>
      <w:marRight w:val="0"/>
      <w:marTop w:val="0"/>
      <w:marBottom w:val="0"/>
      <w:divBdr>
        <w:top w:val="none" w:sz="0" w:space="0" w:color="auto"/>
        <w:left w:val="none" w:sz="0" w:space="0" w:color="auto"/>
        <w:bottom w:val="none" w:sz="0" w:space="0" w:color="auto"/>
        <w:right w:val="none" w:sz="0" w:space="0" w:color="auto"/>
      </w:divBdr>
    </w:div>
    <w:div w:id="1939363229">
      <w:bodyDiv w:val="1"/>
      <w:marLeft w:val="0"/>
      <w:marRight w:val="0"/>
      <w:marTop w:val="0"/>
      <w:marBottom w:val="0"/>
      <w:divBdr>
        <w:top w:val="none" w:sz="0" w:space="0" w:color="auto"/>
        <w:left w:val="none" w:sz="0" w:space="0" w:color="auto"/>
        <w:bottom w:val="none" w:sz="0" w:space="0" w:color="auto"/>
        <w:right w:val="none" w:sz="0" w:space="0" w:color="auto"/>
      </w:divBdr>
    </w:div>
    <w:div w:id="1985314266">
      <w:bodyDiv w:val="1"/>
      <w:marLeft w:val="0"/>
      <w:marRight w:val="0"/>
      <w:marTop w:val="0"/>
      <w:marBottom w:val="0"/>
      <w:divBdr>
        <w:top w:val="none" w:sz="0" w:space="0" w:color="auto"/>
        <w:left w:val="none" w:sz="0" w:space="0" w:color="auto"/>
        <w:bottom w:val="none" w:sz="0" w:space="0" w:color="auto"/>
        <w:right w:val="none" w:sz="0" w:space="0" w:color="auto"/>
      </w:divBdr>
    </w:div>
    <w:div w:id="1988971085">
      <w:bodyDiv w:val="1"/>
      <w:marLeft w:val="0"/>
      <w:marRight w:val="0"/>
      <w:marTop w:val="0"/>
      <w:marBottom w:val="0"/>
      <w:divBdr>
        <w:top w:val="none" w:sz="0" w:space="0" w:color="auto"/>
        <w:left w:val="none" w:sz="0" w:space="0" w:color="auto"/>
        <w:bottom w:val="none" w:sz="0" w:space="0" w:color="auto"/>
        <w:right w:val="none" w:sz="0" w:space="0" w:color="auto"/>
      </w:divBdr>
      <w:divsChild>
        <w:div w:id="1977447664">
          <w:marLeft w:val="0"/>
          <w:marRight w:val="0"/>
          <w:marTop w:val="0"/>
          <w:marBottom w:val="0"/>
          <w:divBdr>
            <w:top w:val="none" w:sz="0" w:space="0" w:color="auto"/>
            <w:left w:val="none" w:sz="0" w:space="0" w:color="auto"/>
            <w:bottom w:val="none" w:sz="0" w:space="0" w:color="auto"/>
            <w:right w:val="none" w:sz="0" w:space="0" w:color="auto"/>
          </w:divBdr>
        </w:div>
      </w:divsChild>
    </w:div>
    <w:div w:id="2014069572">
      <w:bodyDiv w:val="1"/>
      <w:marLeft w:val="0"/>
      <w:marRight w:val="0"/>
      <w:marTop w:val="0"/>
      <w:marBottom w:val="0"/>
      <w:divBdr>
        <w:top w:val="none" w:sz="0" w:space="0" w:color="auto"/>
        <w:left w:val="none" w:sz="0" w:space="0" w:color="auto"/>
        <w:bottom w:val="none" w:sz="0" w:space="0" w:color="auto"/>
        <w:right w:val="none" w:sz="0" w:space="0" w:color="auto"/>
      </w:divBdr>
      <w:divsChild>
        <w:div w:id="420880410">
          <w:marLeft w:val="0"/>
          <w:marRight w:val="0"/>
          <w:marTop w:val="0"/>
          <w:marBottom w:val="0"/>
          <w:divBdr>
            <w:top w:val="none" w:sz="0" w:space="0" w:color="auto"/>
            <w:left w:val="none" w:sz="0" w:space="0" w:color="auto"/>
            <w:bottom w:val="none" w:sz="0" w:space="0" w:color="auto"/>
            <w:right w:val="none" w:sz="0" w:space="0" w:color="auto"/>
          </w:divBdr>
        </w:div>
      </w:divsChild>
    </w:div>
    <w:div w:id="2069457709">
      <w:bodyDiv w:val="1"/>
      <w:marLeft w:val="0"/>
      <w:marRight w:val="0"/>
      <w:marTop w:val="0"/>
      <w:marBottom w:val="0"/>
      <w:divBdr>
        <w:top w:val="none" w:sz="0" w:space="0" w:color="auto"/>
        <w:left w:val="none" w:sz="0" w:space="0" w:color="auto"/>
        <w:bottom w:val="none" w:sz="0" w:space="0" w:color="auto"/>
        <w:right w:val="none" w:sz="0" w:space="0" w:color="auto"/>
      </w:divBdr>
    </w:div>
    <w:div w:id="2078359180">
      <w:bodyDiv w:val="1"/>
      <w:marLeft w:val="0"/>
      <w:marRight w:val="0"/>
      <w:marTop w:val="0"/>
      <w:marBottom w:val="0"/>
      <w:divBdr>
        <w:top w:val="none" w:sz="0" w:space="0" w:color="auto"/>
        <w:left w:val="none" w:sz="0" w:space="0" w:color="auto"/>
        <w:bottom w:val="none" w:sz="0" w:space="0" w:color="auto"/>
        <w:right w:val="none" w:sz="0" w:space="0" w:color="auto"/>
      </w:divBdr>
    </w:div>
    <w:div w:id="2092116793">
      <w:bodyDiv w:val="1"/>
      <w:marLeft w:val="0"/>
      <w:marRight w:val="0"/>
      <w:marTop w:val="0"/>
      <w:marBottom w:val="0"/>
      <w:divBdr>
        <w:top w:val="none" w:sz="0" w:space="0" w:color="auto"/>
        <w:left w:val="none" w:sz="0" w:space="0" w:color="auto"/>
        <w:bottom w:val="none" w:sz="0" w:space="0" w:color="auto"/>
        <w:right w:val="none" w:sz="0" w:space="0" w:color="auto"/>
      </w:divBdr>
      <w:divsChild>
        <w:div w:id="1182163722">
          <w:marLeft w:val="0"/>
          <w:marRight w:val="0"/>
          <w:marTop w:val="0"/>
          <w:marBottom w:val="0"/>
          <w:divBdr>
            <w:top w:val="none" w:sz="0" w:space="0" w:color="auto"/>
            <w:left w:val="none" w:sz="0" w:space="0" w:color="auto"/>
            <w:bottom w:val="none" w:sz="0" w:space="0" w:color="auto"/>
            <w:right w:val="none" w:sz="0" w:space="0" w:color="auto"/>
          </w:divBdr>
        </w:div>
        <w:div w:id="928005164">
          <w:marLeft w:val="0"/>
          <w:marRight w:val="0"/>
          <w:marTop w:val="0"/>
          <w:marBottom w:val="0"/>
          <w:divBdr>
            <w:top w:val="none" w:sz="0" w:space="0" w:color="auto"/>
            <w:left w:val="none" w:sz="0" w:space="0" w:color="auto"/>
            <w:bottom w:val="none" w:sz="0" w:space="0" w:color="auto"/>
            <w:right w:val="none" w:sz="0" w:space="0" w:color="auto"/>
          </w:divBdr>
        </w:div>
      </w:divsChild>
    </w:div>
    <w:div w:id="209789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Value</c:v>
                </c:pt>
              </c:strCache>
            </c:strRef>
          </c:tx>
          <c:marker>
            <c:symbol val="none"/>
          </c:marker>
          <c:cat>
            <c:strRef>
              <c:f>Sheet1!$A$2:$A$20</c:f>
              <c:strCache>
                <c:ptCount val="19"/>
                <c:pt idx="0">
                  <c:v>June 30, 2024</c:v>
                </c:pt>
                <c:pt idx="1">
                  <c:v>September 30, 2023</c:v>
                </c:pt>
                <c:pt idx="2">
                  <c:v>July 31, 2023</c:v>
                </c:pt>
                <c:pt idx="3">
                  <c:v>May 31, 2023</c:v>
                </c:pt>
                <c:pt idx="4">
                  <c:v>March 31, 2023</c:v>
                </c:pt>
                <c:pt idx="5">
                  <c:v>January 31, 2023</c:v>
                </c:pt>
                <c:pt idx="6">
                  <c:v>December 31, 2022</c:v>
                </c:pt>
                <c:pt idx="7">
                  <c:v>October 31, 2022</c:v>
                </c:pt>
                <c:pt idx="8">
                  <c:v>September 30, 2022</c:v>
                </c:pt>
                <c:pt idx="9">
                  <c:v>August 31, 2022</c:v>
                </c:pt>
                <c:pt idx="10">
                  <c:v>July 31, 2022</c:v>
                </c:pt>
                <c:pt idx="11">
                  <c:v>May 31, 2022</c:v>
                </c:pt>
                <c:pt idx="12">
                  <c:v>February 28, 2022</c:v>
                </c:pt>
                <c:pt idx="13">
                  <c:v>December 31, 2021</c:v>
                </c:pt>
                <c:pt idx="14">
                  <c:v>September 30, 2021</c:v>
                </c:pt>
                <c:pt idx="15">
                  <c:v>July 31, 2021</c:v>
                </c:pt>
                <c:pt idx="16">
                  <c:v>June 30, 2021</c:v>
                </c:pt>
                <c:pt idx="17">
                  <c:v>May 31, 2021</c:v>
                </c:pt>
                <c:pt idx="18">
                  <c:v>April 30, 2021</c:v>
                </c:pt>
              </c:strCache>
            </c:strRef>
          </c:cat>
          <c:val>
            <c:numRef>
              <c:f>Sheet1!$B$2:$B$20</c:f>
              <c:numCache>
                <c:formatCode>0.00%</c:formatCode>
                <c:ptCount val="19"/>
                <c:pt idx="0">
                  <c:v>5.33E-2</c:v>
                </c:pt>
                <c:pt idx="1">
                  <c:v>5.33E-2</c:v>
                </c:pt>
                <c:pt idx="2">
                  <c:v>5.0799999999999998E-2</c:v>
                </c:pt>
                <c:pt idx="3">
                  <c:v>4.8300000000000003E-2</c:v>
                </c:pt>
                <c:pt idx="4">
                  <c:v>4.5699999999999998E-2</c:v>
                </c:pt>
                <c:pt idx="5">
                  <c:v>4.3299999999999998E-2</c:v>
                </c:pt>
                <c:pt idx="6">
                  <c:v>3.8300000000000001E-2</c:v>
                </c:pt>
                <c:pt idx="7">
                  <c:v>3.0800000000000001E-2</c:v>
                </c:pt>
                <c:pt idx="8">
                  <c:v>2.3300000000000001E-2</c:v>
                </c:pt>
                <c:pt idx="9">
                  <c:v>2.3199999999999998E-2</c:v>
                </c:pt>
                <c:pt idx="10">
                  <c:v>1.5800000000000002E-2</c:v>
                </c:pt>
                <c:pt idx="11">
                  <c:v>3.3E-3</c:v>
                </c:pt>
                <c:pt idx="12">
                  <c:v>8.0000000000000004E-4</c:v>
                </c:pt>
                <c:pt idx="13">
                  <c:v>6.9999999999999999E-4</c:v>
                </c:pt>
                <c:pt idx="14">
                  <c:v>5.9999999999999995E-4</c:v>
                </c:pt>
                <c:pt idx="15">
                  <c:v>8.0000000000000004E-4</c:v>
                </c:pt>
                <c:pt idx="16">
                  <c:v>5.0000000000000001E-4</c:v>
                </c:pt>
                <c:pt idx="17">
                  <c:v>5.9999999999999995E-4</c:v>
                </c:pt>
                <c:pt idx="18">
                  <c:v>6.9999999999999999E-4</c:v>
                </c:pt>
              </c:numCache>
            </c:numRef>
          </c:val>
          <c:smooth val="0"/>
        </c:ser>
        <c:dLbls>
          <c:showLegendKey val="0"/>
          <c:showVal val="0"/>
          <c:showCatName val="0"/>
          <c:showSerName val="0"/>
          <c:showPercent val="0"/>
          <c:showBubbleSize val="0"/>
        </c:dLbls>
        <c:marker val="1"/>
        <c:smooth val="0"/>
        <c:axId val="180120960"/>
        <c:axId val="270112256"/>
      </c:lineChart>
      <c:catAx>
        <c:axId val="180120960"/>
        <c:scaling>
          <c:orientation val="minMax"/>
        </c:scaling>
        <c:delete val="0"/>
        <c:axPos val="b"/>
        <c:title>
          <c:tx>
            <c:rich>
              <a:bodyPr/>
              <a:lstStyle/>
              <a:p>
                <a:pPr>
                  <a:defRPr/>
                </a:pPr>
                <a:r>
                  <a:rPr lang="en-US"/>
                  <a:t>Date</a:t>
                </a:r>
              </a:p>
            </c:rich>
          </c:tx>
          <c:overlay val="0"/>
        </c:title>
        <c:numFmt formatCode="General" sourceLinked="1"/>
        <c:majorTickMark val="none"/>
        <c:minorTickMark val="none"/>
        <c:tickLblPos val="nextTo"/>
        <c:crossAx val="270112256"/>
        <c:crosses val="autoZero"/>
        <c:auto val="1"/>
        <c:lblAlgn val="ctr"/>
        <c:lblOffset val="100"/>
        <c:noMultiLvlLbl val="0"/>
      </c:catAx>
      <c:valAx>
        <c:axId val="270112256"/>
        <c:scaling>
          <c:orientation val="minMax"/>
        </c:scaling>
        <c:delete val="0"/>
        <c:axPos val="l"/>
        <c:majorGridlines/>
        <c:title>
          <c:tx>
            <c:rich>
              <a:bodyPr/>
              <a:lstStyle/>
              <a:p>
                <a:pPr>
                  <a:defRPr/>
                </a:pPr>
                <a:r>
                  <a:rPr lang="en-US"/>
                  <a:t>Rate</a:t>
                </a:r>
              </a:p>
            </c:rich>
          </c:tx>
          <c:overlay val="0"/>
        </c:title>
        <c:numFmt formatCode="0.00%" sourceLinked="1"/>
        <c:majorTickMark val="none"/>
        <c:minorTickMark val="none"/>
        <c:tickLblPos val="nextTo"/>
        <c:crossAx val="1801209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DF4B0-77A6-4455-8C51-8A78DDD67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14</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2024-06-24T17:59:00Z</dcterms:created>
  <dcterms:modified xsi:type="dcterms:W3CDTF">2024-06-26T11:30:00Z</dcterms:modified>
</cp:coreProperties>
</file>