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6FE" w:rsidRDefault="00DF16FE" w:rsidP="00DF16FE">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r>
        <w:rPr>
          <w:noProof/>
        </w:rPr>
        <w:drawing>
          <wp:inline distT="0" distB="0" distL="0" distR="0" wp14:anchorId="1FEE5F19" wp14:editId="16C30093">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p>
    <w:p w:rsidR="00DF16FE" w:rsidRDefault="00DF16FE" w:rsidP="00DF16FE">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DF16FE" w:rsidRPr="00DF16FE" w:rsidRDefault="00DF16FE" w:rsidP="00DF16FE">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DF16FE" w:rsidRPr="00DF16FE" w:rsidRDefault="00FE2C51" w:rsidP="00DF16FE">
      <w:pPr>
        <w:jc w:val="center"/>
        <w:rPr>
          <w:b/>
          <w:sz w:val="28"/>
        </w:rPr>
      </w:pPr>
      <w:r w:rsidRPr="00DF16FE">
        <w:rPr>
          <w:b/>
          <w:sz w:val="28"/>
        </w:rPr>
        <w:t>HEALTH SAVINGS ACCOUNT AND PERSONAL LOANS</w:t>
      </w:r>
    </w:p>
    <w:p w:rsidR="00DF16FE" w:rsidRDefault="00DF16FE" w:rsidP="00DF16FE">
      <w:pPr>
        <w:jc w:val="center"/>
        <w:rPr>
          <w:b/>
          <w:sz w:val="28"/>
        </w:rPr>
      </w:pPr>
    </w:p>
    <w:p w:rsidR="00DF16FE" w:rsidRPr="00DF16FE" w:rsidRDefault="00DF16FE" w:rsidP="00DF16FE">
      <w:pPr>
        <w:jc w:val="center"/>
        <w:rPr>
          <w:b/>
          <w:sz w:val="28"/>
        </w:rPr>
      </w:pPr>
      <w:bookmarkStart w:id="14" w:name="_GoBack"/>
      <w:bookmarkEnd w:id="14"/>
    </w:p>
    <w:p w:rsidR="00DF16FE" w:rsidRPr="00DF16FE" w:rsidRDefault="00DF16FE" w:rsidP="00DF16FE">
      <w:pPr>
        <w:jc w:val="center"/>
        <w:rPr>
          <w:b/>
          <w:sz w:val="28"/>
        </w:rPr>
      </w:pPr>
      <w:bookmarkStart w:id="15" w:name="_Toc168493929"/>
      <w:bookmarkStart w:id="16" w:name="_Toc168494040"/>
      <w:bookmarkStart w:id="17" w:name="_Toc168681398"/>
      <w:bookmarkStart w:id="18" w:name="_Toc169018613"/>
      <w:bookmarkStart w:id="19" w:name="_Toc169099751"/>
      <w:bookmarkStart w:id="20" w:name="_Toc169194470"/>
      <w:bookmarkStart w:id="21" w:name="_Toc169526158"/>
      <w:bookmarkStart w:id="22" w:name="_Toc169624173"/>
      <w:r w:rsidRPr="00DF16FE">
        <w:rPr>
          <w:b/>
          <w:sz w:val="28"/>
        </w:rPr>
        <w:t>Under Supervision of:</w:t>
      </w:r>
      <w:bookmarkEnd w:id="15"/>
      <w:bookmarkEnd w:id="16"/>
      <w:bookmarkEnd w:id="17"/>
      <w:bookmarkEnd w:id="18"/>
      <w:bookmarkEnd w:id="19"/>
      <w:bookmarkEnd w:id="20"/>
      <w:bookmarkEnd w:id="21"/>
      <w:bookmarkEnd w:id="22"/>
    </w:p>
    <w:p w:rsidR="00DF16FE" w:rsidRPr="00DF16FE" w:rsidRDefault="00DF16FE" w:rsidP="00DF16FE">
      <w:pPr>
        <w:jc w:val="center"/>
        <w:rPr>
          <w:b/>
          <w:sz w:val="28"/>
        </w:rPr>
      </w:pPr>
      <w:bookmarkStart w:id="23" w:name="_Toc168493930"/>
      <w:bookmarkStart w:id="24" w:name="_Toc168494041"/>
      <w:bookmarkStart w:id="25" w:name="_Toc168681399"/>
      <w:bookmarkStart w:id="26" w:name="_Toc169018614"/>
      <w:bookmarkStart w:id="27" w:name="_Toc169099752"/>
      <w:bookmarkStart w:id="28" w:name="_Toc169194471"/>
      <w:bookmarkStart w:id="29" w:name="_Toc169526159"/>
      <w:bookmarkStart w:id="30" w:name="_Toc169624174"/>
      <w:r w:rsidRPr="00DF16FE">
        <w:rPr>
          <w:b/>
          <w:sz w:val="28"/>
        </w:rPr>
        <w:t xml:space="preserve">Mr. Mohammad </w:t>
      </w:r>
      <w:proofErr w:type="spellStart"/>
      <w:r w:rsidRPr="00DF16FE">
        <w:rPr>
          <w:b/>
          <w:sz w:val="28"/>
        </w:rPr>
        <w:t>Mozammil</w:t>
      </w:r>
      <w:bookmarkEnd w:id="23"/>
      <w:bookmarkEnd w:id="24"/>
      <w:bookmarkEnd w:id="25"/>
      <w:bookmarkEnd w:id="26"/>
      <w:bookmarkEnd w:id="27"/>
      <w:bookmarkEnd w:id="28"/>
      <w:bookmarkEnd w:id="29"/>
      <w:bookmarkEnd w:id="30"/>
      <w:proofErr w:type="spellEnd"/>
    </w:p>
    <w:p w:rsidR="00DF16FE" w:rsidRDefault="00DF16FE" w:rsidP="00DF16FE">
      <w:pPr>
        <w:jc w:val="center"/>
        <w:rPr>
          <w:b/>
          <w:sz w:val="28"/>
        </w:rPr>
      </w:pPr>
      <w:bookmarkStart w:id="31" w:name="_Toc168493931"/>
      <w:bookmarkStart w:id="32" w:name="_Toc168494042"/>
      <w:bookmarkStart w:id="33" w:name="_Toc168681400"/>
      <w:bookmarkStart w:id="34" w:name="_Toc169018615"/>
      <w:bookmarkStart w:id="35" w:name="_Toc169099753"/>
      <w:bookmarkStart w:id="36" w:name="_Toc169194472"/>
      <w:bookmarkStart w:id="37" w:name="_Toc169526160"/>
      <w:bookmarkStart w:id="38" w:name="_Toc169624175"/>
    </w:p>
    <w:p w:rsidR="00DF16FE" w:rsidRPr="00DF16FE" w:rsidRDefault="00DF16FE" w:rsidP="00DF16FE">
      <w:pPr>
        <w:jc w:val="center"/>
        <w:rPr>
          <w:b/>
          <w:sz w:val="28"/>
        </w:rPr>
      </w:pPr>
    </w:p>
    <w:p w:rsidR="00DF16FE" w:rsidRPr="00DF16FE" w:rsidRDefault="00DF16FE" w:rsidP="00DF16FE">
      <w:pPr>
        <w:jc w:val="center"/>
        <w:rPr>
          <w:b/>
          <w:sz w:val="28"/>
        </w:rPr>
      </w:pPr>
      <w:r w:rsidRPr="00DF16FE">
        <w:rPr>
          <w:b/>
          <w:sz w:val="28"/>
        </w:rPr>
        <w:t>Submitted On:</w:t>
      </w:r>
    </w:p>
    <w:p w:rsidR="00DF16FE" w:rsidRPr="00DF16FE" w:rsidRDefault="00DF16FE" w:rsidP="00DF16FE">
      <w:pPr>
        <w:jc w:val="center"/>
        <w:rPr>
          <w:b/>
          <w:sz w:val="28"/>
        </w:rPr>
      </w:pPr>
      <w:r w:rsidRPr="00DF16FE">
        <w:rPr>
          <w:b/>
          <w:sz w:val="28"/>
        </w:rPr>
        <w:t>2</w:t>
      </w:r>
      <w:r w:rsidRPr="00DF16FE">
        <w:rPr>
          <w:b/>
          <w:sz w:val="28"/>
        </w:rPr>
        <w:t>6</w:t>
      </w:r>
      <w:r w:rsidRPr="00DF16FE">
        <w:rPr>
          <w:b/>
          <w:sz w:val="28"/>
          <w:vertAlign w:val="superscript"/>
        </w:rPr>
        <w:t xml:space="preserve">th </w:t>
      </w:r>
      <w:r w:rsidRPr="00DF16FE">
        <w:rPr>
          <w:b/>
          <w:sz w:val="28"/>
        </w:rPr>
        <w:t>June, 2024</w:t>
      </w:r>
    </w:p>
    <w:p w:rsidR="00DF16FE" w:rsidRPr="00DF16FE" w:rsidRDefault="00DF16FE" w:rsidP="00DF16FE">
      <w:pPr>
        <w:jc w:val="center"/>
        <w:rPr>
          <w:b/>
          <w:sz w:val="28"/>
        </w:rPr>
      </w:pPr>
    </w:p>
    <w:p w:rsidR="00DF16FE" w:rsidRPr="00DF16FE" w:rsidRDefault="00DF16FE" w:rsidP="00DF16FE">
      <w:pPr>
        <w:jc w:val="center"/>
        <w:rPr>
          <w:b/>
          <w:sz w:val="28"/>
        </w:rPr>
      </w:pPr>
    </w:p>
    <w:p w:rsidR="00DF16FE" w:rsidRPr="00DF16FE" w:rsidRDefault="00DF16FE" w:rsidP="00DF16FE">
      <w:pPr>
        <w:jc w:val="center"/>
        <w:rPr>
          <w:b/>
          <w:sz w:val="28"/>
        </w:rPr>
      </w:pPr>
      <w:r w:rsidRPr="00DF16FE">
        <w:rPr>
          <w:b/>
          <w:sz w:val="28"/>
        </w:rPr>
        <w:t>Submitted By:</w:t>
      </w:r>
      <w:bookmarkEnd w:id="31"/>
      <w:bookmarkEnd w:id="32"/>
      <w:bookmarkEnd w:id="33"/>
      <w:bookmarkEnd w:id="34"/>
      <w:bookmarkEnd w:id="35"/>
      <w:bookmarkEnd w:id="36"/>
      <w:bookmarkEnd w:id="37"/>
      <w:bookmarkEnd w:id="38"/>
    </w:p>
    <w:p w:rsidR="00DF16FE" w:rsidRPr="00DF16FE" w:rsidRDefault="00DF16FE" w:rsidP="00DF16FE">
      <w:pPr>
        <w:jc w:val="center"/>
        <w:rPr>
          <w:b/>
          <w:sz w:val="28"/>
        </w:rPr>
      </w:pPr>
      <w:bookmarkStart w:id="39" w:name="_Toc168493932"/>
      <w:bookmarkStart w:id="40" w:name="_Toc168494043"/>
      <w:bookmarkStart w:id="41" w:name="_Toc168681401"/>
      <w:bookmarkStart w:id="42" w:name="_Toc169018616"/>
      <w:bookmarkStart w:id="43" w:name="_Toc169099754"/>
      <w:bookmarkStart w:id="44" w:name="_Toc169194473"/>
      <w:bookmarkStart w:id="45" w:name="_Toc169526161"/>
      <w:bookmarkStart w:id="46" w:name="_Toc169624176"/>
      <w:proofErr w:type="spellStart"/>
      <w:r w:rsidRPr="00DF16FE">
        <w:rPr>
          <w:b/>
          <w:sz w:val="28"/>
        </w:rPr>
        <w:t>Archita</w:t>
      </w:r>
      <w:proofErr w:type="spellEnd"/>
      <w:r w:rsidRPr="00DF16FE">
        <w:rPr>
          <w:b/>
          <w:sz w:val="28"/>
        </w:rPr>
        <w:t xml:space="preserve"> Gupta</w:t>
      </w:r>
      <w:bookmarkEnd w:id="39"/>
      <w:bookmarkEnd w:id="40"/>
      <w:bookmarkEnd w:id="41"/>
      <w:bookmarkEnd w:id="42"/>
      <w:bookmarkEnd w:id="43"/>
      <w:bookmarkEnd w:id="44"/>
      <w:bookmarkEnd w:id="45"/>
      <w:bookmarkEnd w:id="46"/>
    </w:p>
    <w:p w:rsidR="00E87B06" w:rsidRDefault="00E87B06"/>
    <w:sdt>
      <w:sdtPr>
        <w:id w:val="127798364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F16FE" w:rsidRDefault="00DF16FE">
          <w:pPr>
            <w:pStyle w:val="TOCHeading"/>
          </w:pPr>
          <w:r>
            <w:t>Table of Contents</w:t>
          </w:r>
        </w:p>
        <w:p w:rsidR="00DF16FE" w:rsidRDefault="00DF16FE">
          <w:pPr>
            <w:pStyle w:val="TOC1"/>
            <w:tabs>
              <w:tab w:val="right" w:leader="dot" w:pos="9350"/>
            </w:tabs>
            <w:rPr>
              <w:noProof/>
            </w:rPr>
          </w:pPr>
          <w:r>
            <w:fldChar w:fldCharType="begin"/>
          </w:r>
          <w:r>
            <w:instrText xml:space="preserve"> TOC \o "1-3" \h \z \u </w:instrText>
          </w:r>
          <w:r>
            <w:fldChar w:fldCharType="separate"/>
          </w:r>
          <w:hyperlink w:anchor="_Toc170313194" w:history="1">
            <w:r w:rsidRPr="00644292">
              <w:rPr>
                <w:rStyle w:val="Hyperlink"/>
                <w:noProof/>
              </w:rPr>
              <w:t>Health Savings Accounts</w:t>
            </w:r>
            <w:r>
              <w:rPr>
                <w:noProof/>
                <w:webHidden/>
              </w:rPr>
              <w:tab/>
            </w:r>
            <w:r>
              <w:rPr>
                <w:noProof/>
                <w:webHidden/>
              </w:rPr>
              <w:fldChar w:fldCharType="begin"/>
            </w:r>
            <w:r>
              <w:rPr>
                <w:noProof/>
                <w:webHidden/>
              </w:rPr>
              <w:instrText xml:space="preserve"> PAGEREF _Toc170313194 \h </w:instrText>
            </w:r>
            <w:r>
              <w:rPr>
                <w:noProof/>
                <w:webHidden/>
              </w:rPr>
            </w:r>
            <w:r>
              <w:rPr>
                <w:noProof/>
                <w:webHidden/>
              </w:rPr>
              <w:fldChar w:fldCharType="separate"/>
            </w:r>
            <w:r>
              <w:rPr>
                <w:noProof/>
                <w:webHidden/>
              </w:rPr>
              <w:t>3</w:t>
            </w:r>
            <w:r>
              <w:rPr>
                <w:noProof/>
                <w:webHidden/>
              </w:rPr>
              <w:fldChar w:fldCharType="end"/>
            </w:r>
          </w:hyperlink>
        </w:p>
        <w:p w:rsidR="00DF16FE" w:rsidRDefault="00DF16FE">
          <w:pPr>
            <w:pStyle w:val="TOC1"/>
            <w:tabs>
              <w:tab w:val="right" w:leader="dot" w:pos="9350"/>
            </w:tabs>
            <w:rPr>
              <w:noProof/>
            </w:rPr>
          </w:pPr>
          <w:hyperlink w:anchor="_Toc170313195" w:history="1">
            <w:r w:rsidRPr="00644292">
              <w:rPr>
                <w:rStyle w:val="Hyperlink"/>
                <w:noProof/>
              </w:rPr>
              <w:t>Personal Loans</w:t>
            </w:r>
            <w:r>
              <w:rPr>
                <w:noProof/>
                <w:webHidden/>
              </w:rPr>
              <w:tab/>
            </w:r>
            <w:r>
              <w:rPr>
                <w:noProof/>
                <w:webHidden/>
              </w:rPr>
              <w:fldChar w:fldCharType="begin"/>
            </w:r>
            <w:r>
              <w:rPr>
                <w:noProof/>
                <w:webHidden/>
              </w:rPr>
              <w:instrText xml:space="preserve"> PAGEREF _Toc170313195 \h </w:instrText>
            </w:r>
            <w:r>
              <w:rPr>
                <w:noProof/>
                <w:webHidden/>
              </w:rPr>
            </w:r>
            <w:r>
              <w:rPr>
                <w:noProof/>
                <w:webHidden/>
              </w:rPr>
              <w:fldChar w:fldCharType="separate"/>
            </w:r>
            <w:r>
              <w:rPr>
                <w:noProof/>
                <w:webHidden/>
              </w:rPr>
              <w:t>6</w:t>
            </w:r>
            <w:r>
              <w:rPr>
                <w:noProof/>
                <w:webHidden/>
              </w:rPr>
              <w:fldChar w:fldCharType="end"/>
            </w:r>
          </w:hyperlink>
        </w:p>
        <w:p w:rsidR="00DF16FE" w:rsidRDefault="00DF16FE">
          <w:r>
            <w:rPr>
              <w:b/>
              <w:bCs/>
              <w:noProof/>
            </w:rPr>
            <w:fldChar w:fldCharType="end"/>
          </w:r>
        </w:p>
      </w:sdtContent>
    </w:sdt>
    <w:p w:rsidR="00E87B06" w:rsidRDefault="00E87B06"/>
    <w:p w:rsidR="00E87B06" w:rsidRDefault="00E87B06">
      <w:r>
        <w:br w:type="page"/>
      </w:r>
    </w:p>
    <w:p w:rsidR="00D926A6" w:rsidRDefault="00E87B06" w:rsidP="00E87B06">
      <w:pPr>
        <w:pStyle w:val="Heading1"/>
        <w:jc w:val="center"/>
      </w:pPr>
      <w:bookmarkStart w:id="47" w:name="_Toc170313194"/>
      <w:r>
        <w:lastRenderedPageBreak/>
        <w:t>Health Savings Accounts</w:t>
      </w:r>
      <w:bookmarkEnd w:id="47"/>
    </w:p>
    <w:p w:rsidR="00E87B06" w:rsidRDefault="00E87B06" w:rsidP="00E87B06"/>
    <w:p w:rsidR="00E87B06" w:rsidRDefault="00E87B06" w:rsidP="00E87B06">
      <w:r w:rsidRPr="00E87B06">
        <w:t>A health savings account (HSA) is a tax-advantaged medical savings account available to taxpayers in the United States who are enrolled in a High-Deductible Health Plan (HDHP).</w:t>
      </w:r>
      <w:r>
        <w:t xml:space="preserve"> </w:t>
      </w:r>
      <w:r w:rsidR="00A1493F">
        <w:t xml:space="preserve"> </w:t>
      </w:r>
      <w:r w:rsidR="00A1493F" w:rsidRPr="00A1493F">
        <w:t> It features what’s called the “triple tax advantage”: tax-deductible contributions and tax-free growth and withdrawals. </w:t>
      </w:r>
    </w:p>
    <w:p w:rsidR="00E87B06" w:rsidRDefault="00E87B06" w:rsidP="00E87B06">
      <w:r>
        <w:t xml:space="preserve">A </w:t>
      </w:r>
      <w:r w:rsidRPr="00E87B06">
        <w:t>HDHP is a health insurance plan with lower premiums and higher deductibles than a traditional health plan. It is intended to incentivize consumer-driven healthcare.</w:t>
      </w:r>
    </w:p>
    <w:p w:rsidR="00E87B06" w:rsidRPr="00491D71" w:rsidRDefault="00491D71" w:rsidP="000F46A0">
      <w:pPr>
        <w:rPr>
          <w:rFonts w:cstheme="minorHAnsi"/>
          <w:color w:val="202122"/>
          <w:shd w:val="clear" w:color="auto" w:fill="FFFFFF"/>
        </w:rPr>
      </w:pPr>
      <w:r w:rsidRPr="00491D71">
        <w:rPr>
          <w:rFonts w:cstheme="minorHAnsi"/>
          <w:color w:val="202122"/>
          <w:shd w:val="clear" w:color="auto" w:fill="FFFFFF"/>
        </w:rPr>
        <w:t>Contributions are made into the account by the individual or their employer and are limited to a maximum amount each year.</w:t>
      </w:r>
      <w:r>
        <w:rPr>
          <w:rFonts w:cstheme="minorHAnsi"/>
          <w:color w:val="202122"/>
          <w:shd w:val="clear" w:color="auto" w:fill="FFFFFF"/>
        </w:rPr>
        <w:t xml:space="preserve"> </w:t>
      </w:r>
      <w:r w:rsidRPr="00491D71">
        <w:rPr>
          <w:rFonts w:cstheme="minorHAnsi"/>
          <w:color w:val="202122"/>
          <w:shd w:val="clear" w:color="auto" w:fill="FFFFFF"/>
        </w:rPr>
        <w:t>The</w:t>
      </w:r>
      <w:r>
        <w:rPr>
          <w:rFonts w:cstheme="minorHAnsi"/>
          <w:color w:val="202122"/>
          <w:shd w:val="clear" w:color="auto" w:fill="FFFFFF"/>
        </w:rPr>
        <w:t>se</w:t>
      </w:r>
      <w:r w:rsidRPr="00491D71">
        <w:rPr>
          <w:rFonts w:cstheme="minorHAnsi"/>
          <w:color w:val="202122"/>
          <w:shd w:val="clear" w:color="auto" w:fill="FFFFFF"/>
        </w:rPr>
        <w:t xml:space="preserve"> contributions are invested over time and can be used to pay for qualified medical expenses, such as medical, dental, and vision care and prescription drugs.</w:t>
      </w:r>
      <w:r>
        <w:rPr>
          <w:rFonts w:cstheme="minorHAnsi"/>
          <w:color w:val="202122"/>
          <w:shd w:val="clear" w:color="auto" w:fill="FFFFFF"/>
        </w:rPr>
        <w:t xml:space="preserve"> </w:t>
      </w:r>
      <w:r w:rsidRPr="00491D71">
        <w:rPr>
          <w:rFonts w:cstheme="minorHAnsi"/>
        </w:rPr>
        <w:t xml:space="preserve">The funds contributed to a HSA account are not subject to federal income tax at the time of deposit and also </w:t>
      </w:r>
      <w:r w:rsidRPr="00491D71">
        <w:rPr>
          <w:rFonts w:cstheme="minorHAnsi"/>
          <w:color w:val="202122"/>
          <w:shd w:val="clear" w:color="auto" w:fill="FFFFFF"/>
        </w:rPr>
        <w:t>funds roll over and accumulate year to year if they are not spent.</w:t>
      </w:r>
    </w:p>
    <w:p w:rsidR="000F46A0" w:rsidRDefault="00E87B06" w:rsidP="00E87B06">
      <w:r w:rsidRPr="00E87B06">
        <w:t>HSAs were established as part of the Medicare Prescription Drug, Improvement, and Modernization Act, which included the enactment of Internal Revenue Code section 223,</w:t>
      </w:r>
      <w:r>
        <w:t xml:space="preserve"> </w:t>
      </w:r>
      <w:r w:rsidRPr="00E87B06">
        <w:t>effective for tax years beginning after December 31, 2003, signed into law by President George W. Bush on December 8, 2003. They were developed to replace the medical savings account system.</w:t>
      </w:r>
    </w:p>
    <w:p w:rsidR="000F46A0" w:rsidRPr="000F46A0" w:rsidRDefault="000F46A0" w:rsidP="000F46A0">
      <w:pPr>
        <w:pStyle w:val="ListParagraph"/>
        <w:numPr>
          <w:ilvl w:val="0"/>
          <w:numId w:val="4"/>
        </w:numPr>
      </w:pPr>
      <w:r w:rsidRPr="000F46A0">
        <w:rPr>
          <w:b/>
          <w:bCs/>
        </w:rPr>
        <w:t>Eligibility</w:t>
      </w:r>
      <w:r w:rsidRPr="000F46A0">
        <w:t>:</w:t>
      </w:r>
    </w:p>
    <w:p w:rsidR="000F46A0" w:rsidRPr="000F46A0" w:rsidRDefault="000F46A0" w:rsidP="000F46A0">
      <w:pPr>
        <w:numPr>
          <w:ilvl w:val="0"/>
          <w:numId w:val="1"/>
        </w:numPr>
        <w:tabs>
          <w:tab w:val="num" w:pos="720"/>
        </w:tabs>
      </w:pPr>
      <w:r w:rsidRPr="000F46A0">
        <w:t>Must be enrolled in a High Deductible Health Plan (HDHP).</w:t>
      </w:r>
    </w:p>
    <w:p w:rsidR="000F46A0" w:rsidRPr="000F46A0" w:rsidRDefault="000F46A0" w:rsidP="000F46A0">
      <w:pPr>
        <w:numPr>
          <w:ilvl w:val="0"/>
          <w:numId w:val="1"/>
        </w:numPr>
        <w:tabs>
          <w:tab w:val="num" w:pos="720"/>
        </w:tabs>
      </w:pPr>
      <w:r w:rsidRPr="000F46A0">
        <w:t>Cannot be enrolled in Medicare.</w:t>
      </w:r>
    </w:p>
    <w:p w:rsidR="000F46A0" w:rsidRPr="000F46A0" w:rsidRDefault="000F46A0" w:rsidP="000F46A0">
      <w:pPr>
        <w:numPr>
          <w:ilvl w:val="0"/>
          <w:numId w:val="1"/>
        </w:numPr>
        <w:tabs>
          <w:tab w:val="num" w:pos="720"/>
        </w:tabs>
      </w:pPr>
      <w:r w:rsidRPr="000F46A0">
        <w:t>Cannot be claimed as a dependent on someone else’s tax return.</w:t>
      </w:r>
    </w:p>
    <w:p w:rsidR="000F46A0" w:rsidRPr="000F46A0" w:rsidRDefault="000F46A0" w:rsidP="000F46A0">
      <w:pPr>
        <w:numPr>
          <w:ilvl w:val="0"/>
          <w:numId w:val="1"/>
        </w:numPr>
        <w:tabs>
          <w:tab w:val="num" w:pos="720"/>
        </w:tabs>
      </w:pPr>
      <w:r w:rsidRPr="000F46A0">
        <w:t>Cannot have any other health coverage, with some exceptions like dental, vision, disability, and long-term care insurance.</w:t>
      </w:r>
    </w:p>
    <w:tbl>
      <w:tblPr>
        <w:tblStyle w:val="TableGrid"/>
        <w:tblpPr w:leftFromText="180" w:rightFromText="180" w:vertAnchor="text" w:horzAnchor="margin" w:tblpY="243"/>
        <w:tblW w:w="0" w:type="auto"/>
        <w:tblLook w:val="04A0" w:firstRow="1" w:lastRow="0" w:firstColumn="1" w:lastColumn="0" w:noHBand="0" w:noVBand="1"/>
      </w:tblPr>
      <w:tblGrid>
        <w:gridCol w:w="1368"/>
        <w:gridCol w:w="1368"/>
        <w:gridCol w:w="1368"/>
        <w:gridCol w:w="1368"/>
        <w:gridCol w:w="1368"/>
        <w:gridCol w:w="1368"/>
        <w:gridCol w:w="1368"/>
      </w:tblGrid>
      <w:tr w:rsidR="005B2C15" w:rsidTr="005B2C15">
        <w:tc>
          <w:tcPr>
            <w:tcW w:w="1368" w:type="dxa"/>
            <w:vAlign w:val="center"/>
          </w:tcPr>
          <w:p w:rsidR="005B2C15" w:rsidRDefault="005B2C15" w:rsidP="005B2C15">
            <w:pPr>
              <w:jc w:val="center"/>
            </w:pPr>
          </w:p>
        </w:tc>
        <w:tc>
          <w:tcPr>
            <w:tcW w:w="2736" w:type="dxa"/>
            <w:gridSpan w:val="2"/>
            <w:vAlign w:val="center"/>
          </w:tcPr>
          <w:p w:rsidR="005B2C15" w:rsidRDefault="005B2C15" w:rsidP="005B2C15">
            <w:pPr>
              <w:jc w:val="center"/>
            </w:pPr>
            <w:r w:rsidRPr="000F46A0">
              <w:rPr>
                <w:b/>
                <w:bCs/>
              </w:rPr>
              <w:t>Contribution Limits</w:t>
            </w:r>
          </w:p>
        </w:tc>
        <w:tc>
          <w:tcPr>
            <w:tcW w:w="2736" w:type="dxa"/>
            <w:gridSpan w:val="2"/>
            <w:vAlign w:val="center"/>
          </w:tcPr>
          <w:p w:rsidR="005B2C15" w:rsidRDefault="005B2C15" w:rsidP="005B2C15">
            <w:pPr>
              <w:jc w:val="center"/>
            </w:pPr>
            <w:r w:rsidRPr="00A73D39">
              <w:rPr>
                <w:b/>
              </w:rPr>
              <w:t>Minimum Deductible</w:t>
            </w:r>
          </w:p>
        </w:tc>
        <w:tc>
          <w:tcPr>
            <w:tcW w:w="2736" w:type="dxa"/>
            <w:gridSpan w:val="2"/>
            <w:vAlign w:val="center"/>
          </w:tcPr>
          <w:p w:rsidR="005B2C15" w:rsidRDefault="005B2C15" w:rsidP="005B2C15">
            <w:pPr>
              <w:jc w:val="center"/>
            </w:pPr>
            <w:r>
              <w:rPr>
                <w:b/>
              </w:rPr>
              <w:t>Out of Pocket Maximum</w:t>
            </w:r>
          </w:p>
        </w:tc>
      </w:tr>
      <w:tr w:rsidR="005B2C15" w:rsidTr="005B2C15">
        <w:tc>
          <w:tcPr>
            <w:tcW w:w="1368" w:type="dxa"/>
            <w:vAlign w:val="center"/>
          </w:tcPr>
          <w:p w:rsidR="005B2C15" w:rsidRDefault="005B2C15" w:rsidP="005B2C15">
            <w:pPr>
              <w:jc w:val="center"/>
            </w:pPr>
          </w:p>
        </w:tc>
        <w:tc>
          <w:tcPr>
            <w:tcW w:w="1368" w:type="dxa"/>
            <w:vAlign w:val="center"/>
          </w:tcPr>
          <w:p w:rsidR="005B2C15" w:rsidRDefault="005B2C15" w:rsidP="005B2C15">
            <w:pPr>
              <w:jc w:val="center"/>
            </w:pPr>
            <w:r>
              <w:t>I</w:t>
            </w:r>
            <w:r w:rsidRPr="000F46A0">
              <w:t>ndividual</w:t>
            </w:r>
          </w:p>
        </w:tc>
        <w:tc>
          <w:tcPr>
            <w:tcW w:w="1368" w:type="dxa"/>
            <w:vAlign w:val="center"/>
          </w:tcPr>
          <w:p w:rsidR="005B2C15" w:rsidRDefault="005B2C15" w:rsidP="005B2C15">
            <w:pPr>
              <w:jc w:val="center"/>
            </w:pPr>
            <w:r w:rsidRPr="000F46A0">
              <w:t>Family</w:t>
            </w:r>
          </w:p>
        </w:tc>
        <w:tc>
          <w:tcPr>
            <w:tcW w:w="1368" w:type="dxa"/>
            <w:vAlign w:val="center"/>
          </w:tcPr>
          <w:p w:rsidR="005B2C15" w:rsidRDefault="005B2C15" w:rsidP="005B2C15">
            <w:pPr>
              <w:jc w:val="center"/>
            </w:pPr>
            <w:r>
              <w:t>I</w:t>
            </w:r>
            <w:r w:rsidRPr="000F46A0">
              <w:t>ndividual</w:t>
            </w:r>
          </w:p>
        </w:tc>
        <w:tc>
          <w:tcPr>
            <w:tcW w:w="1368" w:type="dxa"/>
            <w:vAlign w:val="center"/>
          </w:tcPr>
          <w:p w:rsidR="005B2C15" w:rsidRDefault="005B2C15" w:rsidP="005B2C15">
            <w:pPr>
              <w:jc w:val="center"/>
            </w:pPr>
            <w:r w:rsidRPr="000F46A0">
              <w:t>Family</w:t>
            </w:r>
          </w:p>
        </w:tc>
        <w:tc>
          <w:tcPr>
            <w:tcW w:w="1368" w:type="dxa"/>
            <w:vAlign w:val="center"/>
          </w:tcPr>
          <w:p w:rsidR="005B2C15" w:rsidRDefault="005B2C15" w:rsidP="005B2C15">
            <w:pPr>
              <w:jc w:val="center"/>
            </w:pPr>
            <w:r>
              <w:t>I</w:t>
            </w:r>
            <w:r w:rsidRPr="000F46A0">
              <w:t>ndividual</w:t>
            </w:r>
          </w:p>
        </w:tc>
        <w:tc>
          <w:tcPr>
            <w:tcW w:w="1368" w:type="dxa"/>
            <w:vAlign w:val="center"/>
          </w:tcPr>
          <w:p w:rsidR="005B2C15" w:rsidRDefault="005B2C15" w:rsidP="005B2C15">
            <w:pPr>
              <w:jc w:val="center"/>
            </w:pPr>
            <w:r w:rsidRPr="000F46A0">
              <w:t>Family</w:t>
            </w:r>
          </w:p>
        </w:tc>
      </w:tr>
      <w:tr w:rsidR="005B2C15" w:rsidTr="005B2C15">
        <w:tc>
          <w:tcPr>
            <w:tcW w:w="1368" w:type="dxa"/>
            <w:vAlign w:val="center"/>
          </w:tcPr>
          <w:p w:rsidR="005B2C15" w:rsidRDefault="005B2C15" w:rsidP="005B2C15">
            <w:pPr>
              <w:jc w:val="center"/>
            </w:pPr>
            <w:r>
              <w:t>2023</w:t>
            </w:r>
          </w:p>
        </w:tc>
        <w:tc>
          <w:tcPr>
            <w:tcW w:w="1368" w:type="dxa"/>
            <w:vAlign w:val="center"/>
          </w:tcPr>
          <w:p w:rsidR="005B2C15" w:rsidRDefault="005B2C15" w:rsidP="005B2C15">
            <w:pPr>
              <w:jc w:val="center"/>
            </w:pPr>
            <w:r>
              <w:t>3850</w:t>
            </w:r>
          </w:p>
        </w:tc>
        <w:tc>
          <w:tcPr>
            <w:tcW w:w="1368" w:type="dxa"/>
            <w:vAlign w:val="center"/>
          </w:tcPr>
          <w:p w:rsidR="005B2C15" w:rsidRDefault="005B2C15" w:rsidP="005B2C15">
            <w:pPr>
              <w:jc w:val="center"/>
            </w:pPr>
            <w:r>
              <w:t>7750</w:t>
            </w:r>
          </w:p>
        </w:tc>
        <w:tc>
          <w:tcPr>
            <w:tcW w:w="1368" w:type="dxa"/>
            <w:vAlign w:val="center"/>
          </w:tcPr>
          <w:p w:rsidR="005B2C15" w:rsidRDefault="005B2C15" w:rsidP="005B2C15">
            <w:pPr>
              <w:jc w:val="center"/>
            </w:pPr>
            <w:r>
              <w:t>1500</w:t>
            </w:r>
          </w:p>
        </w:tc>
        <w:tc>
          <w:tcPr>
            <w:tcW w:w="1368" w:type="dxa"/>
            <w:vAlign w:val="center"/>
          </w:tcPr>
          <w:p w:rsidR="005B2C15" w:rsidRDefault="005B2C15" w:rsidP="005B2C15">
            <w:pPr>
              <w:jc w:val="center"/>
            </w:pPr>
            <w:r>
              <w:t>3000</w:t>
            </w:r>
          </w:p>
        </w:tc>
        <w:tc>
          <w:tcPr>
            <w:tcW w:w="1368" w:type="dxa"/>
            <w:vAlign w:val="center"/>
          </w:tcPr>
          <w:p w:rsidR="005B2C15" w:rsidRDefault="005B2C15" w:rsidP="005B2C15">
            <w:pPr>
              <w:jc w:val="center"/>
            </w:pPr>
            <w:r>
              <w:t>7500</w:t>
            </w:r>
          </w:p>
        </w:tc>
        <w:tc>
          <w:tcPr>
            <w:tcW w:w="1368" w:type="dxa"/>
            <w:vAlign w:val="center"/>
          </w:tcPr>
          <w:p w:rsidR="005B2C15" w:rsidRDefault="005B2C15" w:rsidP="005B2C15">
            <w:pPr>
              <w:jc w:val="center"/>
            </w:pPr>
            <w:r>
              <w:t>15000</w:t>
            </w:r>
          </w:p>
        </w:tc>
      </w:tr>
      <w:tr w:rsidR="005B2C15" w:rsidTr="005B2C15">
        <w:tc>
          <w:tcPr>
            <w:tcW w:w="1368" w:type="dxa"/>
            <w:vAlign w:val="center"/>
          </w:tcPr>
          <w:p w:rsidR="005B2C15" w:rsidRDefault="005B2C15" w:rsidP="005B2C15">
            <w:pPr>
              <w:jc w:val="center"/>
            </w:pPr>
            <w:r>
              <w:t>2024</w:t>
            </w:r>
          </w:p>
        </w:tc>
        <w:tc>
          <w:tcPr>
            <w:tcW w:w="1368" w:type="dxa"/>
            <w:vAlign w:val="center"/>
          </w:tcPr>
          <w:p w:rsidR="005B2C15" w:rsidRDefault="005B2C15" w:rsidP="005B2C15">
            <w:pPr>
              <w:jc w:val="center"/>
            </w:pPr>
            <w:r>
              <w:t>4150</w:t>
            </w:r>
          </w:p>
        </w:tc>
        <w:tc>
          <w:tcPr>
            <w:tcW w:w="1368" w:type="dxa"/>
            <w:vAlign w:val="center"/>
          </w:tcPr>
          <w:p w:rsidR="005B2C15" w:rsidRDefault="005B2C15" w:rsidP="005B2C15">
            <w:pPr>
              <w:jc w:val="center"/>
            </w:pPr>
            <w:r>
              <w:t>8300</w:t>
            </w:r>
          </w:p>
        </w:tc>
        <w:tc>
          <w:tcPr>
            <w:tcW w:w="1368" w:type="dxa"/>
            <w:vAlign w:val="center"/>
          </w:tcPr>
          <w:p w:rsidR="005B2C15" w:rsidRDefault="005B2C15" w:rsidP="005B2C15">
            <w:pPr>
              <w:jc w:val="center"/>
            </w:pPr>
            <w:r>
              <w:t>1600</w:t>
            </w:r>
          </w:p>
        </w:tc>
        <w:tc>
          <w:tcPr>
            <w:tcW w:w="1368" w:type="dxa"/>
            <w:vAlign w:val="center"/>
          </w:tcPr>
          <w:p w:rsidR="005B2C15" w:rsidRDefault="005B2C15" w:rsidP="005B2C15">
            <w:pPr>
              <w:jc w:val="center"/>
            </w:pPr>
            <w:r>
              <w:t>3200</w:t>
            </w:r>
          </w:p>
        </w:tc>
        <w:tc>
          <w:tcPr>
            <w:tcW w:w="1368" w:type="dxa"/>
            <w:vAlign w:val="center"/>
          </w:tcPr>
          <w:p w:rsidR="005B2C15" w:rsidRDefault="005B2C15" w:rsidP="005B2C15">
            <w:pPr>
              <w:jc w:val="center"/>
            </w:pPr>
            <w:r>
              <w:t>8050</w:t>
            </w:r>
          </w:p>
        </w:tc>
        <w:tc>
          <w:tcPr>
            <w:tcW w:w="1368" w:type="dxa"/>
            <w:vAlign w:val="center"/>
          </w:tcPr>
          <w:p w:rsidR="005B2C15" w:rsidRDefault="005B2C15" w:rsidP="005B2C15">
            <w:pPr>
              <w:jc w:val="center"/>
            </w:pPr>
            <w:r>
              <w:t>16100</w:t>
            </w:r>
          </w:p>
        </w:tc>
      </w:tr>
    </w:tbl>
    <w:p w:rsidR="005B2C15" w:rsidRPr="005B2C15" w:rsidRDefault="005B2C15" w:rsidP="005B2C15">
      <w:pPr>
        <w:pStyle w:val="ListParagraph"/>
      </w:pPr>
    </w:p>
    <w:p w:rsidR="000F46A0" w:rsidRPr="000F46A0" w:rsidRDefault="000F46A0" w:rsidP="000F46A0">
      <w:pPr>
        <w:pStyle w:val="ListParagraph"/>
        <w:numPr>
          <w:ilvl w:val="0"/>
          <w:numId w:val="2"/>
        </w:numPr>
      </w:pPr>
      <w:r w:rsidRPr="000F46A0">
        <w:rPr>
          <w:b/>
          <w:bCs/>
        </w:rPr>
        <w:t>Contribution Limits (</w:t>
      </w:r>
      <w:r w:rsidR="00491D71">
        <w:rPr>
          <w:b/>
          <w:bCs/>
        </w:rPr>
        <w:t>2024</w:t>
      </w:r>
      <w:r w:rsidRPr="000F46A0">
        <w:rPr>
          <w:b/>
          <w:bCs/>
        </w:rPr>
        <w:t>)</w:t>
      </w:r>
      <w:r w:rsidRPr="000F46A0">
        <w:t>:</w:t>
      </w:r>
      <w:r w:rsidR="00667899">
        <w:t xml:space="preserve"> </w:t>
      </w:r>
    </w:p>
    <w:p w:rsidR="000F46A0" w:rsidRDefault="000F46A0" w:rsidP="000F46A0">
      <w:pPr>
        <w:numPr>
          <w:ilvl w:val="0"/>
          <w:numId w:val="5"/>
        </w:numPr>
      </w:pPr>
      <w:r w:rsidRPr="000F46A0">
        <w:t>Additional catch-up contribution for those aged 55 and older: $1,000.</w:t>
      </w:r>
    </w:p>
    <w:p w:rsidR="000F46A0" w:rsidRPr="005B2C15" w:rsidRDefault="00491D71" w:rsidP="000F46A0">
      <w:r w:rsidRPr="005B2C15">
        <w:t>The annual limits on contributions apply to the total amounts contributed by both the employer and the employee.</w:t>
      </w:r>
      <w:r w:rsidR="005B2C15" w:rsidRPr="005B2C15">
        <w:t xml:space="preserve"> Contributions can only be made in cash, while employer-sponsored plans can be funded by the employee and their employer.</w:t>
      </w:r>
    </w:p>
    <w:p w:rsidR="005B2C15" w:rsidRPr="005B2C15" w:rsidRDefault="00A73D39" w:rsidP="005B2C15">
      <w:pPr>
        <w:pStyle w:val="ListParagraph"/>
        <w:numPr>
          <w:ilvl w:val="0"/>
          <w:numId w:val="4"/>
        </w:numPr>
        <w:rPr>
          <w:b/>
        </w:rPr>
      </w:pPr>
      <w:r w:rsidRPr="00A73D39">
        <w:rPr>
          <w:b/>
        </w:rPr>
        <w:lastRenderedPageBreak/>
        <w:t xml:space="preserve">Minimum </w:t>
      </w:r>
      <w:r w:rsidR="005B2C15" w:rsidRPr="00A73D39">
        <w:rPr>
          <w:b/>
        </w:rPr>
        <w:t>Deductible (</w:t>
      </w:r>
      <w:r w:rsidRPr="00A73D39">
        <w:rPr>
          <w:b/>
        </w:rPr>
        <w:t xml:space="preserve">2024): </w:t>
      </w:r>
      <w:r w:rsidR="00667899">
        <w:t>The minimum amount an HDHP must require before insurance coverage kicks in</w:t>
      </w:r>
      <w:r w:rsidR="00667899">
        <w:t>.</w:t>
      </w:r>
      <w:r w:rsidR="005B2C15">
        <w:rPr>
          <w:b/>
        </w:rPr>
        <w:t xml:space="preserve"> </w:t>
      </w:r>
      <w:r w:rsidR="005B2C15" w:rsidRPr="005B2C15">
        <w:t>HDHPs have higher annual deductibles (the plan pays nothing until you reach these amounts in out-of-pocket expenses) but lower premiums than other health plans.</w:t>
      </w:r>
    </w:p>
    <w:p w:rsidR="00A73D39" w:rsidRPr="005B2C15" w:rsidRDefault="00A73D39" w:rsidP="005B2C15">
      <w:pPr>
        <w:pStyle w:val="ListParagraph"/>
        <w:numPr>
          <w:ilvl w:val="0"/>
          <w:numId w:val="4"/>
        </w:numPr>
        <w:rPr>
          <w:b/>
        </w:rPr>
      </w:pPr>
      <w:r>
        <w:rPr>
          <w:b/>
        </w:rPr>
        <w:t xml:space="preserve">Out of Pocket </w:t>
      </w:r>
      <w:r w:rsidR="005B2C15">
        <w:rPr>
          <w:b/>
        </w:rPr>
        <w:t>Maximum</w:t>
      </w:r>
      <w:r w:rsidR="005B2C15" w:rsidRPr="00A73D39">
        <w:rPr>
          <w:b/>
        </w:rPr>
        <w:t xml:space="preserve"> (</w:t>
      </w:r>
      <w:r w:rsidRPr="00A73D39">
        <w:rPr>
          <w:b/>
        </w:rPr>
        <w:t xml:space="preserve">2024): </w:t>
      </w:r>
      <w:r w:rsidR="005B2C15">
        <w:rPr>
          <w:b/>
        </w:rPr>
        <w:t xml:space="preserve"> </w:t>
      </w:r>
      <w:r w:rsidR="005B2C15" w:rsidRPr="005B2C15">
        <w:t>An out-of-pocket maximum is the most you have to pay per year for covered healthcare services.</w:t>
      </w:r>
      <w:r w:rsidR="005B2C15">
        <w:t xml:space="preserve"> </w:t>
      </w:r>
      <w:r w:rsidR="005B2C15" w:rsidRPr="005B2C15">
        <w:t>An out-of-pocket maximum helps you to control the cost of your healthcare because you know the maximum you will ever have to pay in a year.</w:t>
      </w:r>
    </w:p>
    <w:p w:rsidR="00667899" w:rsidRPr="00667899" w:rsidRDefault="00667899" w:rsidP="00667899">
      <w:pPr>
        <w:spacing w:line="240" w:lineRule="auto"/>
        <w:rPr>
          <w:b/>
        </w:rPr>
      </w:pPr>
      <w:r w:rsidRPr="00667899">
        <w:rPr>
          <w:b/>
        </w:rPr>
        <w:t>Usage</w:t>
      </w:r>
      <w:r>
        <w:rPr>
          <w:b/>
        </w:rPr>
        <w:t>:</w:t>
      </w:r>
    </w:p>
    <w:p w:rsidR="00667899" w:rsidRPr="00667899" w:rsidRDefault="00667899" w:rsidP="00667899">
      <w:pPr>
        <w:pStyle w:val="ListParagraph"/>
        <w:numPr>
          <w:ilvl w:val="0"/>
          <w:numId w:val="12"/>
        </w:numPr>
        <w:spacing w:before="100" w:beforeAutospacing="1" w:after="100" w:afterAutospacing="1" w:line="240" w:lineRule="auto"/>
        <w:rPr>
          <w:rFonts w:cstheme="minorHAnsi"/>
        </w:rPr>
      </w:pPr>
      <w:r w:rsidRPr="00667899">
        <w:rPr>
          <w:rFonts w:cstheme="minorHAnsi"/>
        </w:rPr>
        <w:t xml:space="preserve">Medical expenses: </w:t>
      </w:r>
    </w:p>
    <w:p w:rsidR="00667899" w:rsidRPr="00667899" w:rsidRDefault="00667899" w:rsidP="00667899">
      <w:pPr>
        <w:pStyle w:val="ListParagraph"/>
        <w:numPr>
          <w:ilvl w:val="0"/>
          <w:numId w:val="13"/>
        </w:numPr>
        <w:spacing w:before="100" w:beforeAutospacing="1" w:after="100" w:afterAutospacing="1" w:line="240" w:lineRule="auto"/>
        <w:rPr>
          <w:rFonts w:cstheme="minorHAnsi"/>
        </w:rPr>
      </w:pPr>
      <w:r w:rsidRPr="00667899">
        <w:rPr>
          <w:rFonts w:cstheme="minorHAnsi"/>
        </w:rPr>
        <w:t>Pay for current medical expenses</w:t>
      </w:r>
    </w:p>
    <w:p w:rsidR="00667899" w:rsidRPr="00667899" w:rsidRDefault="00667899" w:rsidP="00667899">
      <w:pPr>
        <w:pStyle w:val="ListParagraph"/>
        <w:numPr>
          <w:ilvl w:val="0"/>
          <w:numId w:val="13"/>
        </w:numPr>
        <w:spacing w:before="100" w:beforeAutospacing="1" w:after="100" w:afterAutospacing="1" w:line="240" w:lineRule="auto"/>
        <w:rPr>
          <w:rFonts w:cstheme="minorHAnsi"/>
        </w:rPr>
      </w:pPr>
      <w:r w:rsidRPr="00667899">
        <w:rPr>
          <w:rFonts w:cstheme="minorHAnsi"/>
        </w:rPr>
        <w:t>Save for future healthcare costs</w:t>
      </w:r>
    </w:p>
    <w:p w:rsidR="00667899" w:rsidRPr="00667899" w:rsidRDefault="00667899" w:rsidP="00667899">
      <w:pPr>
        <w:pStyle w:val="ListParagraph"/>
        <w:numPr>
          <w:ilvl w:val="0"/>
          <w:numId w:val="12"/>
        </w:numPr>
        <w:spacing w:before="100" w:beforeAutospacing="1" w:after="100" w:afterAutospacing="1" w:line="240" w:lineRule="auto"/>
        <w:rPr>
          <w:rFonts w:cstheme="minorHAnsi"/>
        </w:rPr>
      </w:pPr>
      <w:r w:rsidRPr="00667899">
        <w:rPr>
          <w:rFonts w:cstheme="minorHAnsi"/>
        </w:rPr>
        <w:t xml:space="preserve">Retirement planning: </w:t>
      </w:r>
    </w:p>
    <w:p w:rsidR="00667899" w:rsidRPr="00667899" w:rsidRDefault="00667899" w:rsidP="00667899">
      <w:pPr>
        <w:pStyle w:val="ListParagraph"/>
        <w:numPr>
          <w:ilvl w:val="0"/>
          <w:numId w:val="15"/>
        </w:numPr>
        <w:spacing w:before="100" w:beforeAutospacing="1" w:after="100" w:afterAutospacing="1" w:line="240" w:lineRule="auto"/>
        <w:rPr>
          <w:rFonts w:cstheme="minorHAnsi"/>
        </w:rPr>
      </w:pPr>
      <w:r w:rsidRPr="00667899">
        <w:rPr>
          <w:rFonts w:cstheme="minorHAnsi"/>
        </w:rPr>
        <w:t>Use as a supplemental retirement account</w:t>
      </w:r>
    </w:p>
    <w:p w:rsidR="00667899" w:rsidRPr="00667899" w:rsidRDefault="00667899" w:rsidP="00667899">
      <w:pPr>
        <w:pStyle w:val="ListParagraph"/>
        <w:numPr>
          <w:ilvl w:val="0"/>
          <w:numId w:val="15"/>
        </w:numPr>
        <w:spacing w:before="100" w:beforeAutospacing="1" w:after="100" w:afterAutospacing="1" w:line="240" w:lineRule="auto"/>
        <w:rPr>
          <w:rFonts w:cstheme="minorHAnsi"/>
        </w:rPr>
      </w:pPr>
      <w:r w:rsidRPr="00667899">
        <w:rPr>
          <w:rFonts w:cstheme="minorHAnsi"/>
        </w:rPr>
        <w:t>Pay for healthcare costs in retirement</w:t>
      </w:r>
    </w:p>
    <w:p w:rsidR="00667899" w:rsidRPr="00667899" w:rsidRDefault="00667899" w:rsidP="00667899">
      <w:pPr>
        <w:pStyle w:val="ListParagraph"/>
        <w:numPr>
          <w:ilvl w:val="0"/>
          <w:numId w:val="12"/>
        </w:numPr>
        <w:spacing w:before="100" w:beforeAutospacing="1" w:after="100" w:afterAutospacing="1" w:line="240" w:lineRule="auto"/>
        <w:rPr>
          <w:rFonts w:cstheme="minorHAnsi"/>
        </w:rPr>
      </w:pPr>
      <w:r w:rsidRPr="00667899">
        <w:rPr>
          <w:rFonts w:cstheme="minorHAnsi"/>
        </w:rPr>
        <w:t xml:space="preserve">Investment strategy: </w:t>
      </w:r>
    </w:p>
    <w:p w:rsidR="00667899" w:rsidRPr="00667899" w:rsidRDefault="00667899" w:rsidP="00667899">
      <w:pPr>
        <w:pStyle w:val="ListParagraph"/>
        <w:numPr>
          <w:ilvl w:val="0"/>
          <w:numId w:val="17"/>
        </w:numPr>
        <w:spacing w:before="100" w:beforeAutospacing="1" w:after="100" w:afterAutospacing="1" w:line="240" w:lineRule="auto"/>
        <w:rPr>
          <w:rFonts w:cstheme="minorHAnsi"/>
        </w:rPr>
      </w:pPr>
      <w:r w:rsidRPr="00667899">
        <w:rPr>
          <w:rFonts w:cstheme="minorHAnsi"/>
        </w:rPr>
        <w:t>Short-term: Keep funds liquid for immediate medical needs</w:t>
      </w:r>
    </w:p>
    <w:p w:rsidR="00667899" w:rsidRPr="00667899" w:rsidRDefault="00667899" w:rsidP="00667899">
      <w:pPr>
        <w:pStyle w:val="ListParagraph"/>
        <w:numPr>
          <w:ilvl w:val="0"/>
          <w:numId w:val="17"/>
        </w:numPr>
        <w:spacing w:before="100" w:beforeAutospacing="1" w:after="100" w:afterAutospacing="1" w:line="240" w:lineRule="auto"/>
        <w:rPr>
          <w:rFonts w:cstheme="minorHAnsi"/>
        </w:rPr>
      </w:pPr>
      <w:r w:rsidRPr="00667899">
        <w:rPr>
          <w:rFonts w:cstheme="minorHAnsi"/>
        </w:rPr>
        <w:t>Long-term: Invest for potential growth</w:t>
      </w:r>
    </w:p>
    <w:p w:rsidR="0068543F" w:rsidRPr="000A552C" w:rsidRDefault="005B2C15" w:rsidP="0068543F">
      <w:pPr>
        <w:rPr>
          <w:b/>
        </w:rPr>
      </w:pPr>
      <w:r>
        <w:rPr>
          <w:b/>
        </w:rPr>
        <w:t>Advantages and Disadvantages of HSA:</w:t>
      </w:r>
    </w:p>
    <w:tbl>
      <w:tblPr>
        <w:tblStyle w:val="TableGrid"/>
        <w:tblW w:w="9390" w:type="dxa"/>
        <w:tblLook w:val="04A0" w:firstRow="1" w:lastRow="0" w:firstColumn="1" w:lastColumn="0" w:noHBand="0" w:noVBand="1"/>
      </w:tblPr>
      <w:tblGrid>
        <w:gridCol w:w="4091"/>
        <w:gridCol w:w="5299"/>
      </w:tblGrid>
      <w:tr w:rsidR="0068543F" w:rsidRPr="00B76AAF" w:rsidTr="00B030A8">
        <w:trPr>
          <w:trHeight w:val="432"/>
        </w:trPr>
        <w:tc>
          <w:tcPr>
            <w:tcW w:w="4091" w:type="dxa"/>
            <w:noWrap/>
            <w:vAlign w:val="center"/>
            <w:hideMark/>
          </w:tcPr>
          <w:p w:rsidR="0068543F" w:rsidRPr="0068543F" w:rsidRDefault="0068543F" w:rsidP="0068543F">
            <w:pPr>
              <w:jc w:val="center"/>
              <w:rPr>
                <w:b/>
              </w:rPr>
            </w:pPr>
            <w:r w:rsidRPr="0068543F">
              <w:rPr>
                <w:b/>
              </w:rPr>
              <w:t>Pros</w:t>
            </w:r>
          </w:p>
        </w:tc>
        <w:tc>
          <w:tcPr>
            <w:tcW w:w="5299" w:type="dxa"/>
            <w:noWrap/>
            <w:vAlign w:val="center"/>
            <w:hideMark/>
          </w:tcPr>
          <w:p w:rsidR="0068543F" w:rsidRPr="0068543F" w:rsidRDefault="0068543F" w:rsidP="0068543F">
            <w:pPr>
              <w:jc w:val="center"/>
              <w:rPr>
                <w:b/>
              </w:rPr>
            </w:pPr>
            <w:r w:rsidRPr="0068543F">
              <w:rPr>
                <w:b/>
              </w:rPr>
              <w:t>Cons</w:t>
            </w:r>
          </w:p>
        </w:tc>
      </w:tr>
      <w:tr w:rsidR="0068543F" w:rsidRPr="00B76AAF" w:rsidTr="00B030A8">
        <w:trPr>
          <w:trHeight w:val="300"/>
        </w:trPr>
        <w:tc>
          <w:tcPr>
            <w:tcW w:w="4091" w:type="dxa"/>
            <w:noWrap/>
          </w:tcPr>
          <w:p w:rsidR="0068543F" w:rsidRPr="0068543F" w:rsidRDefault="0068543F" w:rsidP="0068543F">
            <w:pPr>
              <w:pStyle w:val="NormalWeb"/>
              <w:numPr>
                <w:ilvl w:val="0"/>
                <w:numId w:val="8"/>
              </w:numPr>
              <w:shd w:val="clear" w:color="auto" w:fill="FFFFFF"/>
              <w:spacing w:before="0" w:beforeAutospacing="0"/>
              <w:rPr>
                <w:rFonts w:asciiTheme="minorHAnsi" w:hAnsiTheme="minorHAnsi" w:cstheme="minorHAnsi"/>
                <w:color w:val="111111"/>
                <w:spacing w:val="1"/>
                <w:sz w:val="22"/>
                <w:szCs w:val="22"/>
              </w:rPr>
            </w:pPr>
            <w:r w:rsidRPr="0068543F">
              <w:rPr>
                <w:rFonts w:asciiTheme="minorHAnsi" w:hAnsiTheme="minorHAnsi" w:cstheme="minorHAnsi"/>
                <w:color w:val="111111"/>
                <w:spacing w:val="1"/>
                <w:sz w:val="22"/>
                <w:szCs w:val="22"/>
              </w:rPr>
              <w:t>Contribution tax advantages</w:t>
            </w:r>
          </w:p>
          <w:p w:rsidR="0068543F" w:rsidRPr="0068543F" w:rsidRDefault="0068543F" w:rsidP="0068543F">
            <w:pPr>
              <w:pStyle w:val="NormalWeb"/>
              <w:numPr>
                <w:ilvl w:val="0"/>
                <w:numId w:val="8"/>
              </w:numPr>
              <w:shd w:val="clear" w:color="auto" w:fill="FFFFFF"/>
              <w:spacing w:before="0" w:beforeAutospacing="0"/>
              <w:rPr>
                <w:rFonts w:asciiTheme="minorHAnsi" w:hAnsiTheme="minorHAnsi" w:cstheme="minorHAnsi"/>
                <w:color w:val="111111"/>
                <w:spacing w:val="1"/>
                <w:sz w:val="22"/>
                <w:szCs w:val="22"/>
              </w:rPr>
            </w:pPr>
            <w:r w:rsidRPr="0068543F">
              <w:rPr>
                <w:rFonts w:asciiTheme="minorHAnsi" w:hAnsiTheme="minorHAnsi" w:cstheme="minorHAnsi"/>
                <w:color w:val="111111"/>
                <w:spacing w:val="1"/>
                <w:sz w:val="22"/>
                <w:szCs w:val="22"/>
              </w:rPr>
              <w:t>Distribution tax advantages</w:t>
            </w:r>
          </w:p>
          <w:p w:rsidR="0068543F" w:rsidRPr="0068543F" w:rsidRDefault="0068543F" w:rsidP="0068543F">
            <w:pPr>
              <w:pStyle w:val="NormalWeb"/>
              <w:numPr>
                <w:ilvl w:val="0"/>
                <w:numId w:val="8"/>
              </w:numPr>
              <w:shd w:val="clear" w:color="auto" w:fill="FFFFFF"/>
              <w:spacing w:before="0" w:beforeAutospacing="0"/>
              <w:rPr>
                <w:rFonts w:asciiTheme="minorHAnsi" w:hAnsiTheme="minorHAnsi" w:cstheme="minorHAnsi"/>
                <w:color w:val="111111"/>
                <w:spacing w:val="1"/>
                <w:sz w:val="22"/>
                <w:szCs w:val="22"/>
              </w:rPr>
            </w:pPr>
            <w:r w:rsidRPr="0068543F">
              <w:rPr>
                <w:rFonts w:asciiTheme="minorHAnsi" w:hAnsiTheme="minorHAnsi" w:cstheme="minorHAnsi"/>
                <w:color w:val="111111"/>
                <w:spacing w:val="1"/>
                <w:sz w:val="22"/>
                <w:szCs w:val="22"/>
              </w:rPr>
              <w:t>Investment options</w:t>
            </w:r>
          </w:p>
        </w:tc>
        <w:tc>
          <w:tcPr>
            <w:tcW w:w="5299" w:type="dxa"/>
            <w:noWrap/>
          </w:tcPr>
          <w:p w:rsidR="0068543F" w:rsidRPr="0068543F" w:rsidRDefault="0068543F" w:rsidP="0068543F">
            <w:pPr>
              <w:pStyle w:val="NormalWeb"/>
              <w:numPr>
                <w:ilvl w:val="0"/>
                <w:numId w:val="9"/>
              </w:numPr>
              <w:shd w:val="clear" w:color="auto" w:fill="FFFFFF"/>
              <w:spacing w:before="0" w:beforeAutospacing="0"/>
              <w:rPr>
                <w:rFonts w:asciiTheme="minorHAnsi" w:hAnsiTheme="minorHAnsi" w:cstheme="minorHAnsi"/>
                <w:color w:val="111111"/>
                <w:spacing w:val="1"/>
                <w:sz w:val="22"/>
                <w:szCs w:val="22"/>
              </w:rPr>
            </w:pPr>
            <w:r w:rsidRPr="0068543F">
              <w:rPr>
                <w:rFonts w:asciiTheme="minorHAnsi" w:hAnsiTheme="minorHAnsi" w:cstheme="minorHAnsi"/>
                <w:color w:val="111111"/>
                <w:spacing w:val="1"/>
                <w:sz w:val="22"/>
                <w:szCs w:val="22"/>
              </w:rPr>
              <w:t>Deductible requirements</w:t>
            </w:r>
          </w:p>
          <w:p w:rsidR="0068543F" w:rsidRPr="0068543F" w:rsidRDefault="0068543F" w:rsidP="0068543F">
            <w:pPr>
              <w:pStyle w:val="NormalWeb"/>
              <w:numPr>
                <w:ilvl w:val="0"/>
                <w:numId w:val="9"/>
              </w:numPr>
              <w:shd w:val="clear" w:color="auto" w:fill="FFFFFF"/>
              <w:spacing w:before="0" w:beforeAutospacing="0"/>
              <w:rPr>
                <w:rFonts w:asciiTheme="minorHAnsi" w:hAnsiTheme="minorHAnsi" w:cstheme="minorHAnsi"/>
                <w:color w:val="111111"/>
                <w:spacing w:val="1"/>
                <w:sz w:val="22"/>
                <w:szCs w:val="22"/>
              </w:rPr>
            </w:pPr>
            <w:r w:rsidRPr="0068543F">
              <w:rPr>
                <w:rFonts w:asciiTheme="minorHAnsi" w:hAnsiTheme="minorHAnsi" w:cstheme="minorHAnsi"/>
                <w:color w:val="111111"/>
                <w:spacing w:val="1"/>
                <w:sz w:val="22"/>
                <w:szCs w:val="22"/>
              </w:rPr>
              <w:t>Requires extra cash</w:t>
            </w:r>
          </w:p>
          <w:p w:rsidR="0068543F" w:rsidRPr="0068543F" w:rsidRDefault="0068543F" w:rsidP="00B030A8">
            <w:pPr>
              <w:pStyle w:val="NormalWeb"/>
              <w:numPr>
                <w:ilvl w:val="0"/>
                <w:numId w:val="9"/>
              </w:numPr>
              <w:shd w:val="clear" w:color="auto" w:fill="FFFFFF"/>
              <w:spacing w:before="0" w:beforeAutospacing="0"/>
              <w:rPr>
                <w:rFonts w:asciiTheme="minorHAnsi" w:hAnsiTheme="minorHAnsi" w:cstheme="minorHAnsi"/>
                <w:color w:val="111111"/>
                <w:spacing w:val="1"/>
                <w:sz w:val="22"/>
                <w:szCs w:val="22"/>
              </w:rPr>
            </w:pPr>
            <w:r w:rsidRPr="0068543F">
              <w:rPr>
                <w:rFonts w:asciiTheme="minorHAnsi" w:hAnsiTheme="minorHAnsi" w:cstheme="minorHAnsi"/>
                <w:color w:val="111111"/>
                <w:spacing w:val="1"/>
                <w:sz w:val="22"/>
                <w:szCs w:val="22"/>
              </w:rPr>
              <w:t>Filing requirements</w:t>
            </w:r>
          </w:p>
        </w:tc>
      </w:tr>
    </w:tbl>
    <w:p w:rsidR="00A80812" w:rsidRDefault="00A80812" w:rsidP="000F46A0">
      <w:pPr>
        <w:tabs>
          <w:tab w:val="left" w:pos="7998"/>
        </w:tabs>
      </w:pPr>
    </w:p>
    <w:p w:rsidR="006C1F7B" w:rsidRPr="006C1F7B" w:rsidRDefault="006C1F7B" w:rsidP="006C1F7B">
      <w:pPr>
        <w:tabs>
          <w:tab w:val="left" w:pos="7998"/>
        </w:tabs>
      </w:pPr>
      <w:r w:rsidRPr="006C1F7B">
        <w:rPr>
          <w:b/>
        </w:rPr>
        <w:t>HSA vs. Flexible Spending Account</w:t>
      </w:r>
      <w:r>
        <w:rPr>
          <w:b/>
        </w:rPr>
        <w:t>:</w:t>
      </w:r>
    </w:p>
    <w:p w:rsidR="006C1F7B" w:rsidRDefault="006C1F7B" w:rsidP="006C1F7B">
      <w:pPr>
        <w:tabs>
          <w:tab w:val="left" w:pos="7998"/>
        </w:tabs>
      </w:pPr>
      <w:r>
        <w:t>The HSA is often compared with the Flexible Spending Account (FSA). While both accounts can be used for medical expenses, some key</w:t>
      </w:r>
      <w:r>
        <w:t xml:space="preserve"> differences exist between them are:</w:t>
      </w:r>
    </w:p>
    <w:p w:rsidR="006C1F7B" w:rsidRDefault="006C1F7B" w:rsidP="006C1F7B">
      <w:pPr>
        <w:pStyle w:val="ListParagraph"/>
        <w:numPr>
          <w:ilvl w:val="0"/>
          <w:numId w:val="10"/>
        </w:numPr>
        <w:tabs>
          <w:tab w:val="left" w:pos="7998"/>
        </w:tabs>
      </w:pPr>
      <w:r>
        <w:t>FSAs are employer-sponsored plans.</w:t>
      </w:r>
    </w:p>
    <w:p w:rsidR="006C1F7B" w:rsidRDefault="006C1F7B" w:rsidP="006C1F7B">
      <w:pPr>
        <w:pStyle w:val="ListParagraph"/>
        <w:numPr>
          <w:ilvl w:val="0"/>
          <w:numId w:val="10"/>
        </w:numPr>
        <w:tabs>
          <w:tab w:val="left" w:pos="7998"/>
        </w:tabs>
      </w:pPr>
      <w:r>
        <w:t>Only employed individuals can sign up for FSAs.</w:t>
      </w:r>
    </w:p>
    <w:p w:rsidR="006C1F7B" w:rsidRDefault="006C1F7B" w:rsidP="006C1F7B">
      <w:pPr>
        <w:pStyle w:val="ListParagraph"/>
        <w:numPr>
          <w:ilvl w:val="0"/>
          <w:numId w:val="10"/>
        </w:numPr>
        <w:tabs>
          <w:tab w:val="left" w:pos="7998"/>
        </w:tabs>
      </w:pPr>
      <w:r>
        <w:t>Unused funds in the FSA during a given tax year can’t be rolled over and are forfeited once the year ends.</w:t>
      </w:r>
    </w:p>
    <w:p w:rsidR="006C1F7B" w:rsidRDefault="006C1F7B" w:rsidP="006C1F7B">
      <w:pPr>
        <w:pStyle w:val="ListParagraph"/>
        <w:numPr>
          <w:ilvl w:val="0"/>
          <w:numId w:val="10"/>
        </w:numPr>
        <w:tabs>
          <w:tab w:val="left" w:pos="7998"/>
        </w:tabs>
      </w:pPr>
      <w:r>
        <w:t>E</w:t>
      </w:r>
      <w:r>
        <w:t>lected contribution amount for an FSA is fixed, unlike HSA contributions</w:t>
      </w:r>
    </w:p>
    <w:p w:rsidR="00E87B06" w:rsidRDefault="006C1F7B" w:rsidP="006C1F7B">
      <w:pPr>
        <w:tabs>
          <w:tab w:val="left" w:pos="7998"/>
        </w:tabs>
      </w:pPr>
      <w:r>
        <w:t>The maximum contribution for an FSA for the 2024 tax y</w:t>
      </w:r>
      <w:r>
        <w:t xml:space="preserve">ear is $3,200. </w:t>
      </w:r>
    </w:p>
    <w:p w:rsidR="008418B4" w:rsidRPr="008418B4" w:rsidRDefault="008418B4" w:rsidP="008418B4">
      <w:pPr>
        <w:tabs>
          <w:tab w:val="left" w:pos="7998"/>
        </w:tabs>
        <w:rPr>
          <w:b/>
          <w:bCs/>
        </w:rPr>
      </w:pPr>
      <w:r w:rsidRPr="008418B4">
        <w:rPr>
          <w:b/>
          <w:bCs/>
        </w:rPr>
        <w:t>Recent Developments</w:t>
      </w:r>
      <w:r>
        <w:rPr>
          <w:b/>
          <w:bCs/>
        </w:rPr>
        <w:t>:</w:t>
      </w:r>
    </w:p>
    <w:p w:rsidR="008418B4" w:rsidRPr="008418B4" w:rsidRDefault="008418B4" w:rsidP="008418B4">
      <w:pPr>
        <w:numPr>
          <w:ilvl w:val="0"/>
          <w:numId w:val="18"/>
        </w:numPr>
        <w:tabs>
          <w:tab w:val="left" w:pos="7998"/>
        </w:tabs>
      </w:pPr>
      <w:r w:rsidRPr="008418B4">
        <w:rPr>
          <w:b/>
          <w:bCs/>
        </w:rPr>
        <w:t>Growing Popularity</w:t>
      </w:r>
      <w:r w:rsidRPr="008418B4">
        <w:t xml:space="preserve">: According to </w:t>
      </w:r>
      <w:proofErr w:type="spellStart"/>
      <w:r w:rsidRPr="008418B4">
        <w:t>Devenir</w:t>
      </w:r>
      <w:proofErr w:type="spellEnd"/>
      <w:r w:rsidRPr="008418B4">
        <w:t xml:space="preserve"> Research, HSA assets reached $98.8 billion across 32.5 million accounts as of June 30, 2022, a year-over-year increase of 17%.</w:t>
      </w:r>
    </w:p>
    <w:p w:rsidR="008418B4" w:rsidRPr="008418B4" w:rsidRDefault="008418B4" w:rsidP="008418B4">
      <w:pPr>
        <w:numPr>
          <w:ilvl w:val="0"/>
          <w:numId w:val="18"/>
        </w:numPr>
        <w:tabs>
          <w:tab w:val="left" w:pos="7998"/>
        </w:tabs>
      </w:pPr>
      <w:r w:rsidRPr="008418B4">
        <w:rPr>
          <w:b/>
          <w:bCs/>
        </w:rPr>
        <w:lastRenderedPageBreak/>
        <w:t>Investment Options</w:t>
      </w:r>
      <w:r w:rsidRPr="008418B4">
        <w:t xml:space="preserve">: More HSA providers are offering investment options beyond low-yield savings accounts. </w:t>
      </w:r>
      <w:proofErr w:type="spellStart"/>
      <w:r w:rsidRPr="008418B4">
        <w:t>Devenir</w:t>
      </w:r>
      <w:proofErr w:type="spellEnd"/>
      <w:r w:rsidRPr="008418B4">
        <w:t xml:space="preserve"> reports that HSA investment assets reached $34.4 billion as of June 30, 2022, a 19% year-over-year increase.</w:t>
      </w:r>
    </w:p>
    <w:p w:rsidR="008418B4" w:rsidRPr="008418B4" w:rsidRDefault="008418B4" w:rsidP="008418B4">
      <w:pPr>
        <w:numPr>
          <w:ilvl w:val="0"/>
          <w:numId w:val="18"/>
        </w:numPr>
        <w:tabs>
          <w:tab w:val="left" w:pos="7998"/>
        </w:tabs>
      </w:pPr>
      <w:r w:rsidRPr="008418B4">
        <w:rPr>
          <w:b/>
          <w:bCs/>
        </w:rPr>
        <w:t>Tech Integration</w:t>
      </w:r>
      <w:r w:rsidRPr="008418B4">
        <w:t>: HSA providers are increasingly offering mobile apps and digital platforms for easier account management and spending.</w:t>
      </w:r>
    </w:p>
    <w:p w:rsidR="008418B4" w:rsidRPr="008418B4" w:rsidRDefault="008418B4" w:rsidP="008418B4">
      <w:pPr>
        <w:numPr>
          <w:ilvl w:val="0"/>
          <w:numId w:val="18"/>
        </w:numPr>
        <w:tabs>
          <w:tab w:val="left" w:pos="7998"/>
        </w:tabs>
      </w:pPr>
      <w:r w:rsidRPr="008418B4">
        <w:rPr>
          <w:b/>
          <w:bCs/>
        </w:rPr>
        <w:t>Expanded Use Cases</w:t>
      </w:r>
      <w:r w:rsidRPr="008418B4">
        <w:t>: The CARES Act of 2020 permanently expanded HSA-eligible expenses to include over-the-counter medications and menstrual care products.</w:t>
      </w:r>
    </w:p>
    <w:p w:rsidR="008418B4" w:rsidRPr="008418B4" w:rsidRDefault="008418B4" w:rsidP="008418B4">
      <w:pPr>
        <w:numPr>
          <w:ilvl w:val="0"/>
          <w:numId w:val="18"/>
        </w:numPr>
        <w:tabs>
          <w:tab w:val="left" w:pos="7998"/>
        </w:tabs>
      </w:pPr>
      <w:r w:rsidRPr="008418B4">
        <w:rPr>
          <w:b/>
          <w:bCs/>
        </w:rPr>
        <w:t>HSA as a Retirement Tool</w:t>
      </w:r>
      <w:r w:rsidRPr="008418B4">
        <w:t>: There's a growing trend of using HSAs as a complement to traditional retirement accounts, given their unique tax advantages.</w:t>
      </w:r>
    </w:p>
    <w:p w:rsidR="008418B4" w:rsidRPr="008418B4" w:rsidRDefault="008418B4" w:rsidP="008418B4">
      <w:pPr>
        <w:numPr>
          <w:ilvl w:val="0"/>
          <w:numId w:val="18"/>
        </w:numPr>
        <w:tabs>
          <w:tab w:val="left" w:pos="7998"/>
        </w:tabs>
      </w:pPr>
      <w:r w:rsidRPr="008418B4">
        <w:rPr>
          <w:b/>
          <w:bCs/>
        </w:rPr>
        <w:t>Legislative Proposals</w:t>
      </w:r>
      <w:r w:rsidRPr="008418B4">
        <w:t>: Various bills have been introduced in Congress to expand HSA eligibility and increase contribution limits, though none have become law as of 2024.</w:t>
      </w:r>
    </w:p>
    <w:p w:rsidR="008418B4" w:rsidRPr="008418B4" w:rsidRDefault="008418B4" w:rsidP="008418B4">
      <w:pPr>
        <w:numPr>
          <w:ilvl w:val="0"/>
          <w:numId w:val="18"/>
        </w:numPr>
        <w:tabs>
          <w:tab w:val="left" w:pos="7998"/>
        </w:tabs>
      </w:pPr>
      <w:r w:rsidRPr="008418B4">
        <w:rPr>
          <w:b/>
          <w:bCs/>
        </w:rPr>
        <w:t>Employer Strategies</w:t>
      </w:r>
      <w:r w:rsidRPr="008418B4">
        <w:t>: More employers are offering HSA-eligible health plans and contributing to employees' HSAs as a way to manage healthcare costs and enhance benefits packages.</w:t>
      </w:r>
    </w:p>
    <w:p w:rsidR="00A1493F" w:rsidRPr="00A1493F" w:rsidRDefault="00A1493F" w:rsidP="006C1F7B">
      <w:pPr>
        <w:tabs>
          <w:tab w:val="left" w:pos="7998"/>
        </w:tabs>
        <w:rPr>
          <w:b/>
          <w:bCs/>
        </w:rPr>
      </w:pPr>
      <w:r w:rsidRPr="00A1493F">
        <w:rPr>
          <w:b/>
          <w:bCs/>
        </w:rPr>
        <w:t>Best health savings accounts (HSAs)</w:t>
      </w:r>
      <w:r>
        <w:rPr>
          <w:b/>
          <w:bCs/>
        </w:rPr>
        <w:t>:</w:t>
      </w:r>
    </w:p>
    <w:tbl>
      <w:tblPr>
        <w:tblStyle w:val="TableGrid"/>
        <w:tblpPr w:leftFromText="180" w:rightFromText="180" w:vertAnchor="text" w:horzAnchor="margin" w:tblpXSpec="center" w:tblpY="43"/>
        <w:tblW w:w="11265" w:type="dxa"/>
        <w:tblLook w:val="04A0" w:firstRow="1" w:lastRow="0" w:firstColumn="1" w:lastColumn="0" w:noHBand="0" w:noVBand="1"/>
      </w:tblPr>
      <w:tblGrid>
        <w:gridCol w:w="1448"/>
        <w:gridCol w:w="1452"/>
        <w:gridCol w:w="987"/>
        <w:gridCol w:w="1292"/>
        <w:gridCol w:w="1474"/>
        <w:gridCol w:w="4612"/>
      </w:tblGrid>
      <w:tr w:rsidR="00A1493F" w:rsidRPr="00A1493F" w:rsidTr="00A1493F">
        <w:trPr>
          <w:trHeight w:val="890"/>
        </w:trPr>
        <w:tc>
          <w:tcPr>
            <w:tcW w:w="0" w:type="auto"/>
            <w:vAlign w:val="center"/>
            <w:hideMark/>
          </w:tcPr>
          <w:p w:rsidR="00A1493F" w:rsidRPr="00A1493F" w:rsidRDefault="00A1493F" w:rsidP="00A1493F">
            <w:pPr>
              <w:jc w:val="center"/>
              <w:rPr>
                <w:b/>
              </w:rPr>
            </w:pPr>
            <w:r w:rsidRPr="00A1493F">
              <w:rPr>
                <w:b/>
              </w:rPr>
              <w:t>HSA</w:t>
            </w:r>
          </w:p>
        </w:tc>
        <w:tc>
          <w:tcPr>
            <w:tcW w:w="0" w:type="auto"/>
            <w:vAlign w:val="center"/>
            <w:hideMark/>
          </w:tcPr>
          <w:p w:rsidR="00A1493F" w:rsidRPr="00A1493F" w:rsidRDefault="00A1493F" w:rsidP="00A1493F">
            <w:pPr>
              <w:jc w:val="center"/>
              <w:rPr>
                <w:b/>
              </w:rPr>
            </w:pPr>
            <w:r w:rsidRPr="00A1493F">
              <w:rPr>
                <w:b/>
              </w:rPr>
              <w:t>Best for</w:t>
            </w:r>
          </w:p>
        </w:tc>
        <w:tc>
          <w:tcPr>
            <w:tcW w:w="0" w:type="auto"/>
            <w:vAlign w:val="center"/>
            <w:hideMark/>
          </w:tcPr>
          <w:p w:rsidR="00A1493F" w:rsidRPr="00A1493F" w:rsidRDefault="00A1493F" w:rsidP="00A1493F">
            <w:pPr>
              <w:jc w:val="center"/>
              <w:rPr>
                <w:b/>
              </w:rPr>
            </w:pPr>
            <w:r w:rsidRPr="00A1493F">
              <w:rPr>
                <w:b/>
              </w:rPr>
              <w:t>Cash APY*</w:t>
            </w:r>
          </w:p>
        </w:tc>
        <w:tc>
          <w:tcPr>
            <w:tcW w:w="0" w:type="auto"/>
            <w:vAlign w:val="center"/>
            <w:hideMark/>
          </w:tcPr>
          <w:p w:rsidR="00A1493F" w:rsidRPr="00A1493F" w:rsidRDefault="00A1493F" w:rsidP="00A1493F">
            <w:pPr>
              <w:jc w:val="center"/>
              <w:rPr>
                <w:b/>
              </w:rPr>
            </w:pPr>
            <w:r w:rsidRPr="00A1493F">
              <w:rPr>
                <w:b/>
              </w:rPr>
              <w:t>Minimum opening deposit</w:t>
            </w:r>
          </w:p>
        </w:tc>
        <w:tc>
          <w:tcPr>
            <w:tcW w:w="0" w:type="auto"/>
            <w:vAlign w:val="center"/>
            <w:hideMark/>
          </w:tcPr>
          <w:p w:rsidR="00A1493F" w:rsidRPr="00A1493F" w:rsidRDefault="00A1493F" w:rsidP="00A1493F">
            <w:pPr>
              <w:jc w:val="center"/>
              <w:rPr>
                <w:b/>
              </w:rPr>
            </w:pPr>
            <w:r w:rsidRPr="00A1493F">
              <w:rPr>
                <w:b/>
              </w:rPr>
              <w:t>Minimum investment threshold</w:t>
            </w:r>
          </w:p>
        </w:tc>
        <w:tc>
          <w:tcPr>
            <w:tcW w:w="4612" w:type="dxa"/>
            <w:vAlign w:val="center"/>
            <w:hideMark/>
          </w:tcPr>
          <w:p w:rsidR="00A1493F" w:rsidRPr="00A1493F" w:rsidRDefault="00A1493F" w:rsidP="00A1493F">
            <w:pPr>
              <w:jc w:val="center"/>
              <w:rPr>
                <w:b/>
              </w:rPr>
            </w:pPr>
            <w:r w:rsidRPr="00A1493F">
              <w:rPr>
                <w:b/>
              </w:rPr>
              <w:t>Monthly fees</w:t>
            </w:r>
          </w:p>
        </w:tc>
      </w:tr>
      <w:tr w:rsidR="00A1493F" w:rsidRPr="00A1493F" w:rsidTr="00A1493F">
        <w:tc>
          <w:tcPr>
            <w:tcW w:w="0" w:type="auto"/>
            <w:vAlign w:val="center"/>
            <w:hideMark/>
          </w:tcPr>
          <w:p w:rsidR="00A1493F" w:rsidRPr="00A1493F" w:rsidRDefault="00A1493F" w:rsidP="00A1493F">
            <w:pPr>
              <w:tabs>
                <w:tab w:val="left" w:pos="7998"/>
              </w:tabs>
              <w:spacing w:after="200" w:line="276" w:lineRule="auto"/>
              <w:jc w:val="center"/>
            </w:pPr>
            <w:r w:rsidRPr="00A1493F">
              <w:t>Fidelity Investments</w:t>
            </w:r>
          </w:p>
        </w:tc>
        <w:tc>
          <w:tcPr>
            <w:tcW w:w="0" w:type="auto"/>
            <w:vAlign w:val="center"/>
            <w:hideMark/>
          </w:tcPr>
          <w:p w:rsidR="00A1493F" w:rsidRPr="00A1493F" w:rsidRDefault="00A1493F" w:rsidP="00A1493F">
            <w:pPr>
              <w:tabs>
                <w:tab w:val="left" w:pos="7998"/>
              </w:tabs>
              <w:spacing w:after="200" w:line="276" w:lineRule="auto"/>
              <w:jc w:val="center"/>
            </w:pPr>
            <w:r w:rsidRPr="00A1493F">
              <w:t>Investors</w:t>
            </w:r>
          </w:p>
        </w:tc>
        <w:tc>
          <w:tcPr>
            <w:tcW w:w="0" w:type="auto"/>
            <w:vAlign w:val="center"/>
            <w:hideMark/>
          </w:tcPr>
          <w:p w:rsidR="00A1493F" w:rsidRPr="00A1493F" w:rsidRDefault="00A1493F" w:rsidP="00A1493F">
            <w:pPr>
              <w:tabs>
                <w:tab w:val="left" w:pos="7998"/>
              </w:tabs>
              <w:spacing w:after="200" w:line="276" w:lineRule="auto"/>
              <w:jc w:val="center"/>
            </w:pPr>
            <w:r w:rsidRPr="00A1493F">
              <w:t>4.98%</w:t>
            </w:r>
          </w:p>
        </w:tc>
        <w:tc>
          <w:tcPr>
            <w:tcW w:w="0" w:type="auto"/>
            <w:vAlign w:val="center"/>
            <w:hideMark/>
          </w:tcPr>
          <w:p w:rsidR="00A1493F" w:rsidRPr="00A1493F" w:rsidRDefault="00A1493F" w:rsidP="00A1493F">
            <w:pPr>
              <w:tabs>
                <w:tab w:val="left" w:pos="7998"/>
              </w:tabs>
              <w:spacing w:after="200" w:line="276" w:lineRule="auto"/>
              <w:jc w:val="center"/>
            </w:pPr>
            <w:r w:rsidRPr="00A1493F">
              <w:t>None</w:t>
            </w:r>
          </w:p>
        </w:tc>
        <w:tc>
          <w:tcPr>
            <w:tcW w:w="0" w:type="auto"/>
            <w:vAlign w:val="center"/>
            <w:hideMark/>
          </w:tcPr>
          <w:p w:rsidR="00A1493F" w:rsidRPr="00A1493F" w:rsidRDefault="00A1493F" w:rsidP="00A1493F">
            <w:pPr>
              <w:tabs>
                <w:tab w:val="left" w:pos="7998"/>
              </w:tabs>
              <w:spacing w:after="200" w:line="276" w:lineRule="auto"/>
              <w:jc w:val="center"/>
            </w:pPr>
            <w:r w:rsidRPr="00A1493F">
              <w:t>None</w:t>
            </w:r>
          </w:p>
        </w:tc>
        <w:tc>
          <w:tcPr>
            <w:tcW w:w="4612" w:type="dxa"/>
            <w:vAlign w:val="center"/>
            <w:hideMark/>
          </w:tcPr>
          <w:p w:rsidR="00A1493F" w:rsidRPr="00A1493F" w:rsidRDefault="00A1493F" w:rsidP="00A1493F">
            <w:pPr>
              <w:tabs>
                <w:tab w:val="left" w:pos="7998"/>
              </w:tabs>
              <w:spacing w:after="200" w:line="276" w:lineRule="auto"/>
              <w:jc w:val="center"/>
            </w:pPr>
            <w:r w:rsidRPr="00A1493F">
              <w:t>Account fee: None; Investing fee: None</w:t>
            </w:r>
          </w:p>
        </w:tc>
      </w:tr>
      <w:tr w:rsidR="00A1493F" w:rsidRPr="00A1493F" w:rsidTr="00A1493F">
        <w:tc>
          <w:tcPr>
            <w:tcW w:w="0" w:type="auto"/>
            <w:vAlign w:val="center"/>
            <w:hideMark/>
          </w:tcPr>
          <w:p w:rsidR="00A1493F" w:rsidRPr="00A1493F" w:rsidRDefault="00A1493F" w:rsidP="00A1493F">
            <w:pPr>
              <w:tabs>
                <w:tab w:val="left" w:pos="7998"/>
              </w:tabs>
              <w:spacing w:after="200" w:line="276" w:lineRule="auto"/>
              <w:jc w:val="center"/>
            </w:pPr>
            <w:r w:rsidRPr="00A1493F">
              <w:t>Bank of America</w:t>
            </w:r>
          </w:p>
        </w:tc>
        <w:tc>
          <w:tcPr>
            <w:tcW w:w="0" w:type="auto"/>
            <w:vAlign w:val="center"/>
            <w:hideMark/>
          </w:tcPr>
          <w:p w:rsidR="00A1493F" w:rsidRPr="00A1493F" w:rsidRDefault="00A1493F" w:rsidP="00A1493F">
            <w:pPr>
              <w:tabs>
                <w:tab w:val="left" w:pos="7998"/>
              </w:tabs>
              <w:spacing w:after="200" w:line="276" w:lineRule="auto"/>
              <w:jc w:val="center"/>
            </w:pPr>
            <w:r w:rsidRPr="00A1493F">
              <w:t>Traditional bank</w:t>
            </w:r>
          </w:p>
        </w:tc>
        <w:tc>
          <w:tcPr>
            <w:tcW w:w="0" w:type="auto"/>
            <w:vAlign w:val="center"/>
            <w:hideMark/>
          </w:tcPr>
          <w:p w:rsidR="00A1493F" w:rsidRPr="00A1493F" w:rsidRDefault="00A1493F" w:rsidP="00A1493F">
            <w:pPr>
              <w:tabs>
                <w:tab w:val="left" w:pos="7998"/>
              </w:tabs>
              <w:spacing w:after="200" w:line="276" w:lineRule="auto"/>
              <w:jc w:val="center"/>
            </w:pPr>
            <w:r w:rsidRPr="00A1493F">
              <w:t>0.10% to 0.70%</w:t>
            </w:r>
          </w:p>
        </w:tc>
        <w:tc>
          <w:tcPr>
            <w:tcW w:w="0" w:type="auto"/>
            <w:vAlign w:val="center"/>
            <w:hideMark/>
          </w:tcPr>
          <w:p w:rsidR="00A1493F" w:rsidRPr="00A1493F" w:rsidRDefault="00A1493F" w:rsidP="00A1493F">
            <w:pPr>
              <w:tabs>
                <w:tab w:val="left" w:pos="7998"/>
              </w:tabs>
              <w:spacing w:after="200" w:line="276" w:lineRule="auto"/>
              <w:jc w:val="center"/>
            </w:pPr>
            <w:r w:rsidRPr="00A1493F">
              <w:t>None</w:t>
            </w:r>
          </w:p>
        </w:tc>
        <w:tc>
          <w:tcPr>
            <w:tcW w:w="0" w:type="auto"/>
            <w:vAlign w:val="center"/>
            <w:hideMark/>
          </w:tcPr>
          <w:p w:rsidR="00A1493F" w:rsidRPr="00A1493F" w:rsidRDefault="00A1493F" w:rsidP="00A1493F">
            <w:pPr>
              <w:tabs>
                <w:tab w:val="left" w:pos="7998"/>
              </w:tabs>
              <w:spacing w:after="200" w:line="276" w:lineRule="auto"/>
              <w:jc w:val="center"/>
            </w:pPr>
            <w:r w:rsidRPr="00A1493F">
              <w:t>$1,000</w:t>
            </w:r>
          </w:p>
        </w:tc>
        <w:tc>
          <w:tcPr>
            <w:tcW w:w="4612" w:type="dxa"/>
            <w:vAlign w:val="center"/>
            <w:hideMark/>
          </w:tcPr>
          <w:p w:rsidR="00A1493F" w:rsidRPr="00A1493F" w:rsidRDefault="00A1493F" w:rsidP="00A1493F">
            <w:pPr>
              <w:tabs>
                <w:tab w:val="left" w:pos="7998"/>
              </w:tabs>
              <w:spacing w:after="200" w:line="276" w:lineRule="auto"/>
              <w:jc w:val="center"/>
            </w:pPr>
            <w:r w:rsidRPr="00A1493F">
              <w:t>Maintenance fee: $2.50; Investing fee: None</w:t>
            </w:r>
          </w:p>
        </w:tc>
      </w:tr>
      <w:tr w:rsidR="00A1493F" w:rsidRPr="00A1493F" w:rsidTr="00A1493F">
        <w:tc>
          <w:tcPr>
            <w:tcW w:w="0" w:type="auto"/>
            <w:vAlign w:val="center"/>
            <w:hideMark/>
          </w:tcPr>
          <w:p w:rsidR="00A1493F" w:rsidRPr="00A1493F" w:rsidRDefault="00A1493F" w:rsidP="00A1493F">
            <w:pPr>
              <w:tabs>
                <w:tab w:val="left" w:pos="7998"/>
              </w:tabs>
              <w:spacing w:after="200" w:line="276" w:lineRule="auto"/>
              <w:jc w:val="center"/>
            </w:pPr>
            <w:r w:rsidRPr="00A1493F">
              <w:t>Lively</w:t>
            </w:r>
          </w:p>
        </w:tc>
        <w:tc>
          <w:tcPr>
            <w:tcW w:w="0" w:type="auto"/>
            <w:vAlign w:val="center"/>
            <w:hideMark/>
          </w:tcPr>
          <w:p w:rsidR="00A1493F" w:rsidRPr="00A1493F" w:rsidRDefault="00A1493F" w:rsidP="00A1493F">
            <w:pPr>
              <w:tabs>
                <w:tab w:val="left" w:pos="7998"/>
              </w:tabs>
              <w:spacing w:after="200" w:line="276" w:lineRule="auto"/>
              <w:jc w:val="center"/>
            </w:pPr>
            <w:r w:rsidRPr="00A1493F">
              <w:t>Transparency</w:t>
            </w:r>
          </w:p>
        </w:tc>
        <w:tc>
          <w:tcPr>
            <w:tcW w:w="0" w:type="auto"/>
            <w:vAlign w:val="center"/>
            <w:hideMark/>
          </w:tcPr>
          <w:p w:rsidR="00A1493F" w:rsidRPr="00A1493F" w:rsidRDefault="00A1493F" w:rsidP="00A1493F">
            <w:pPr>
              <w:tabs>
                <w:tab w:val="left" w:pos="7998"/>
              </w:tabs>
              <w:spacing w:after="200" w:line="276" w:lineRule="auto"/>
              <w:jc w:val="center"/>
            </w:pPr>
            <w:r w:rsidRPr="00A1493F">
              <w:t>0.020% to 0.525%</w:t>
            </w:r>
          </w:p>
        </w:tc>
        <w:tc>
          <w:tcPr>
            <w:tcW w:w="0" w:type="auto"/>
            <w:vAlign w:val="center"/>
            <w:hideMark/>
          </w:tcPr>
          <w:p w:rsidR="00A1493F" w:rsidRPr="00A1493F" w:rsidRDefault="00A1493F" w:rsidP="00A1493F">
            <w:pPr>
              <w:tabs>
                <w:tab w:val="left" w:pos="7998"/>
              </w:tabs>
              <w:spacing w:after="200" w:line="276" w:lineRule="auto"/>
              <w:jc w:val="center"/>
            </w:pPr>
            <w:r w:rsidRPr="00A1493F">
              <w:t>None</w:t>
            </w:r>
          </w:p>
        </w:tc>
        <w:tc>
          <w:tcPr>
            <w:tcW w:w="0" w:type="auto"/>
            <w:vAlign w:val="center"/>
            <w:hideMark/>
          </w:tcPr>
          <w:p w:rsidR="00A1493F" w:rsidRPr="00A1493F" w:rsidRDefault="00A1493F" w:rsidP="00A1493F">
            <w:pPr>
              <w:tabs>
                <w:tab w:val="left" w:pos="7998"/>
              </w:tabs>
              <w:spacing w:after="200" w:line="276" w:lineRule="auto"/>
              <w:jc w:val="center"/>
            </w:pPr>
            <w:r w:rsidRPr="00A1493F">
              <w:t>None</w:t>
            </w:r>
          </w:p>
        </w:tc>
        <w:tc>
          <w:tcPr>
            <w:tcW w:w="4612" w:type="dxa"/>
            <w:vAlign w:val="center"/>
            <w:hideMark/>
          </w:tcPr>
          <w:p w:rsidR="00A1493F" w:rsidRPr="00A1493F" w:rsidRDefault="00A1493F" w:rsidP="00A1493F">
            <w:pPr>
              <w:tabs>
                <w:tab w:val="left" w:pos="7998"/>
              </w:tabs>
              <w:spacing w:after="200" w:line="276" w:lineRule="auto"/>
              <w:jc w:val="center"/>
            </w:pPr>
            <w:r w:rsidRPr="00A1493F">
              <w:t>Schwab HSBA investing fee: $24 per year or $3,000 minimum balance; HSA Guided Portfolio investing fee: 0.50% of invested assets</w:t>
            </w:r>
          </w:p>
        </w:tc>
      </w:tr>
      <w:tr w:rsidR="00A1493F" w:rsidRPr="00A1493F" w:rsidTr="00A1493F">
        <w:tc>
          <w:tcPr>
            <w:tcW w:w="0" w:type="auto"/>
            <w:hideMark/>
          </w:tcPr>
          <w:p w:rsidR="00A1493F" w:rsidRPr="00A1493F" w:rsidRDefault="00A1493F" w:rsidP="00A1493F">
            <w:pPr>
              <w:tabs>
                <w:tab w:val="left" w:pos="7998"/>
              </w:tabs>
              <w:spacing w:after="200" w:line="276" w:lineRule="auto"/>
            </w:pPr>
            <w:proofErr w:type="spellStart"/>
            <w:r w:rsidRPr="00A1493F">
              <w:t>Optum</w:t>
            </w:r>
            <w:proofErr w:type="spellEnd"/>
            <w:r w:rsidRPr="00A1493F">
              <w:t xml:space="preserve"> Bank</w:t>
            </w:r>
          </w:p>
        </w:tc>
        <w:tc>
          <w:tcPr>
            <w:tcW w:w="0" w:type="auto"/>
            <w:hideMark/>
          </w:tcPr>
          <w:p w:rsidR="00A1493F" w:rsidRPr="00A1493F" w:rsidRDefault="00A1493F" w:rsidP="00A1493F">
            <w:pPr>
              <w:tabs>
                <w:tab w:val="left" w:pos="7998"/>
              </w:tabs>
              <w:spacing w:after="200" w:line="276" w:lineRule="auto"/>
            </w:pPr>
            <w:r w:rsidRPr="00A1493F">
              <w:t>Large accounts</w:t>
            </w:r>
          </w:p>
        </w:tc>
        <w:tc>
          <w:tcPr>
            <w:tcW w:w="0" w:type="auto"/>
            <w:hideMark/>
          </w:tcPr>
          <w:p w:rsidR="00A1493F" w:rsidRPr="00A1493F" w:rsidRDefault="00A1493F" w:rsidP="00A1493F">
            <w:pPr>
              <w:tabs>
                <w:tab w:val="left" w:pos="7998"/>
              </w:tabs>
              <w:spacing w:after="200" w:line="276" w:lineRule="auto"/>
            </w:pPr>
            <w:r w:rsidRPr="00A1493F">
              <w:t>N/A</w:t>
            </w:r>
          </w:p>
        </w:tc>
        <w:tc>
          <w:tcPr>
            <w:tcW w:w="0" w:type="auto"/>
            <w:hideMark/>
          </w:tcPr>
          <w:p w:rsidR="00A1493F" w:rsidRPr="00A1493F" w:rsidRDefault="00A1493F" w:rsidP="00A1493F">
            <w:pPr>
              <w:tabs>
                <w:tab w:val="left" w:pos="7998"/>
              </w:tabs>
              <w:spacing w:after="200" w:line="276" w:lineRule="auto"/>
            </w:pPr>
            <w:r w:rsidRPr="00A1493F">
              <w:t>None</w:t>
            </w:r>
          </w:p>
        </w:tc>
        <w:tc>
          <w:tcPr>
            <w:tcW w:w="0" w:type="auto"/>
            <w:hideMark/>
          </w:tcPr>
          <w:p w:rsidR="00A1493F" w:rsidRPr="00A1493F" w:rsidRDefault="00A1493F" w:rsidP="00A1493F">
            <w:pPr>
              <w:tabs>
                <w:tab w:val="left" w:pos="7998"/>
              </w:tabs>
              <w:spacing w:after="200" w:line="276" w:lineRule="auto"/>
            </w:pPr>
            <w:r w:rsidRPr="00A1493F">
              <w:t>$2,000</w:t>
            </w:r>
          </w:p>
        </w:tc>
        <w:tc>
          <w:tcPr>
            <w:tcW w:w="4612" w:type="dxa"/>
            <w:hideMark/>
          </w:tcPr>
          <w:p w:rsidR="00A1493F" w:rsidRPr="00A1493F" w:rsidRDefault="00A1493F" w:rsidP="00A1493F">
            <w:pPr>
              <w:tabs>
                <w:tab w:val="left" w:pos="7998"/>
              </w:tabs>
              <w:spacing w:after="200" w:line="276" w:lineRule="auto"/>
            </w:pPr>
            <w:r w:rsidRPr="00A1493F">
              <w:t>Account fee: $3.75 per month, waived for balances over $5,000</w:t>
            </w:r>
          </w:p>
        </w:tc>
      </w:tr>
      <w:tr w:rsidR="00A1493F" w:rsidRPr="00A1493F" w:rsidTr="00A1493F">
        <w:tc>
          <w:tcPr>
            <w:tcW w:w="0" w:type="auto"/>
            <w:hideMark/>
          </w:tcPr>
          <w:p w:rsidR="00A1493F" w:rsidRPr="00A1493F" w:rsidRDefault="00A1493F" w:rsidP="00A1493F">
            <w:pPr>
              <w:tabs>
                <w:tab w:val="left" w:pos="7998"/>
              </w:tabs>
              <w:spacing w:after="200" w:line="276" w:lineRule="auto"/>
            </w:pPr>
            <w:proofErr w:type="spellStart"/>
            <w:r w:rsidRPr="00A1493F">
              <w:t>HealthEquity</w:t>
            </w:r>
            <w:proofErr w:type="spellEnd"/>
          </w:p>
        </w:tc>
        <w:tc>
          <w:tcPr>
            <w:tcW w:w="0" w:type="auto"/>
            <w:hideMark/>
          </w:tcPr>
          <w:p w:rsidR="00A1493F" w:rsidRPr="00A1493F" w:rsidRDefault="00A1493F" w:rsidP="00A1493F">
            <w:pPr>
              <w:tabs>
                <w:tab w:val="left" w:pos="7998"/>
              </w:tabs>
              <w:spacing w:after="200" w:line="276" w:lineRule="auto"/>
            </w:pPr>
            <w:proofErr w:type="spellStart"/>
            <w:r w:rsidRPr="00A1493F">
              <w:t>Robo</w:t>
            </w:r>
            <w:proofErr w:type="spellEnd"/>
            <w:r w:rsidRPr="00A1493F">
              <w:t>-advisors</w:t>
            </w:r>
          </w:p>
        </w:tc>
        <w:tc>
          <w:tcPr>
            <w:tcW w:w="0" w:type="auto"/>
            <w:hideMark/>
          </w:tcPr>
          <w:p w:rsidR="00A1493F" w:rsidRPr="00A1493F" w:rsidRDefault="00A1493F" w:rsidP="00A1493F">
            <w:pPr>
              <w:tabs>
                <w:tab w:val="left" w:pos="7998"/>
              </w:tabs>
              <w:spacing w:after="200" w:line="276" w:lineRule="auto"/>
            </w:pPr>
            <w:r w:rsidRPr="00A1493F">
              <w:t>N/A</w:t>
            </w:r>
          </w:p>
        </w:tc>
        <w:tc>
          <w:tcPr>
            <w:tcW w:w="0" w:type="auto"/>
            <w:hideMark/>
          </w:tcPr>
          <w:p w:rsidR="00A1493F" w:rsidRPr="00A1493F" w:rsidRDefault="00A1493F" w:rsidP="00A1493F">
            <w:pPr>
              <w:tabs>
                <w:tab w:val="left" w:pos="7998"/>
              </w:tabs>
              <w:spacing w:after="200" w:line="276" w:lineRule="auto"/>
            </w:pPr>
            <w:r w:rsidRPr="00A1493F">
              <w:t>None</w:t>
            </w:r>
          </w:p>
        </w:tc>
        <w:tc>
          <w:tcPr>
            <w:tcW w:w="0" w:type="auto"/>
            <w:hideMark/>
          </w:tcPr>
          <w:p w:rsidR="00A1493F" w:rsidRPr="00A1493F" w:rsidRDefault="00A1493F" w:rsidP="00A1493F">
            <w:pPr>
              <w:tabs>
                <w:tab w:val="left" w:pos="7998"/>
              </w:tabs>
              <w:spacing w:after="200" w:line="276" w:lineRule="auto"/>
            </w:pPr>
            <w:r w:rsidRPr="00A1493F">
              <w:t>$1,000</w:t>
            </w:r>
          </w:p>
        </w:tc>
        <w:tc>
          <w:tcPr>
            <w:tcW w:w="4612" w:type="dxa"/>
            <w:hideMark/>
          </w:tcPr>
          <w:p w:rsidR="00A1493F" w:rsidRPr="00A1493F" w:rsidRDefault="00A1493F" w:rsidP="00A1493F">
            <w:pPr>
              <w:tabs>
                <w:tab w:val="left" w:pos="7998"/>
              </w:tabs>
              <w:spacing w:after="200" w:line="276" w:lineRule="auto"/>
            </w:pPr>
            <w:r w:rsidRPr="00A1493F">
              <w:t xml:space="preserve">Investing fee: 0.03% monthly fee of 0.03% of investment account balance, capped at $10; </w:t>
            </w:r>
            <w:proofErr w:type="spellStart"/>
            <w:r w:rsidRPr="00A1493F">
              <w:t>AutoPilot</w:t>
            </w:r>
            <w:proofErr w:type="spellEnd"/>
            <w:r w:rsidRPr="00A1493F">
              <w:t xml:space="preserve"> and GPS fees: 0.05% monthly fee of account balance, capped at $15</w:t>
            </w:r>
          </w:p>
        </w:tc>
      </w:tr>
    </w:tbl>
    <w:p w:rsidR="00667899" w:rsidRDefault="00667899" w:rsidP="006C1F7B">
      <w:pPr>
        <w:tabs>
          <w:tab w:val="left" w:pos="7998"/>
        </w:tabs>
      </w:pPr>
    </w:p>
    <w:p w:rsidR="00667899" w:rsidRDefault="00667899">
      <w:r>
        <w:br w:type="page"/>
      </w:r>
    </w:p>
    <w:p w:rsidR="006C1F7B" w:rsidRDefault="00667899" w:rsidP="00667899">
      <w:pPr>
        <w:pStyle w:val="Heading1"/>
        <w:jc w:val="center"/>
      </w:pPr>
      <w:bookmarkStart w:id="48" w:name="_Toc170313195"/>
      <w:r>
        <w:lastRenderedPageBreak/>
        <w:t>Personal Loans</w:t>
      </w:r>
      <w:bookmarkEnd w:id="48"/>
    </w:p>
    <w:p w:rsidR="00667899" w:rsidRDefault="00667899" w:rsidP="00667899"/>
    <w:p w:rsidR="0089198B" w:rsidRDefault="0089198B" w:rsidP="00667899">
      <w:r>
        <w:t>Personal loans are a type of installment loan that individuals can use for a variety of purposes, such as consolidating debt, financing home improvements, covering unexpected expenses, or funding large purchases.</w:t>
      </w:r>
      <w:r>
        <w:t xml:space="preserve"> </w:t>
      </w:r>
    </w:p>
    <w:p w:rsidR="0089198B" w:rsidRDefault="0089198B" w:rsidP="0089198B">
      <w:r w:rsidRPr="0089198B">
        <w:t xml:space="preserve">Personal loans can be offered by banks, credit unions, or online lenders. </w:t>
      </w:r>
      <w:r>
        <w:t>It</w:t>
      </w:r>
      <w:r>
        <w:t xml:space="preserve"> loan allows you to borrow a lump sum of money to pay for a variety of expenses and then repay those funds in regular payments, or installments, over time. For example, a personal loan </w:t>
      </w:r>
      <w:r>
        <w:t xml:space="preserve">can be used </w:t>
      </w:r>
      <w:r>
        <w:t>to cover:</w:t>
      </w:r>
    </w:p>
    <w:p w:rsidR="0089198B" w:rsidRDefault="0089198B" w:rsidP="0089198B">
      <w:pPr>
        <w:pStyle w:val="ListParagraph"/>
        <w:numPr>
          <w:ilvl w:val="0"/>
          <w:numId w:val="24"/>
        </w:numPr>
      </w:pPr>
      <w:r>
        <w:t>Moving expenses</w:t>
      </w:r>
    </w:p>
    <w:p w:rsidR="0089198B" w:rsidRDefault="0089198B" w:rsidP="0089198B">
      <w:pPr>
        <w:pStyle w:val="ListParagraph"/>
        <w:numPr>
          <w:ilvl w:val="0"/>
          <w:numId w:val="24"/>
        </w:numPr>
      </w:pPr>
      <w:r>
        <w:t>Debt consolidation</w:t>
      </w:r>
    </w:p>
    <w:p w:rsidR="0089198B" w:rsidRDefault="0089198B" w:rsidP="0089198B">
      <w:pPr>
        <w:pStyle w:val="ListParagraph"/>
        <w:numPr>
          <w:ilvl w:val="0"/>
          <w:numId w:val="24"/>
        </w:numPr>
      </w:pPr>
      <w:r>
        <w:t>Medical bills</w:t>
      </w:r>
    </w:p>
    <w:p w:rsidR="0089198B" w:rsidRDefault="0089198B" w:rsidP="0089198B">
      <w:pPr>
        <w:pStyle w:val="ListParagraph"/>
        <w:numPr>
          <w:ilvl w:val="0"/>
          <w:numId w:val="24"/>
        </w:numPr>
      </w:pPr>
      <w:r>
        <w:t>Wedding expenses</w:t>
      </w:r>
    </w:p>
    <w:p w:rsidR="0089198B" w:rsidRDefault="0089198B" w:rsidP="0089198B">
      <w:pPr>
        <w:pStyle w:val="ListParagraph"/>
        <w:numPr>
          <w:ilvl w:val="0"/>
          <w:numId w:val="24"/>
        </w:numPr>
      </w:pPr>
      <w:r>
        <w:t>Home renovations or repairs</w:t>
      </w:r>
    </w:p>
    <w:p w:rsidR="0089198B" w:rsidRDefault="0089198B" w:rsidP="0089198B">
      <w:pPr>
        <w:pStyle w:val="ListParagraph"/>
        <w:numPr>
          <w:ilvl w:val="0"/>
          <w:numId w:val="24"/>
        </w:numPr>
      </w:pPr>
      <w:r>
        <w:t>Funeral costs</w:t>
      </w:r>
    </w:p>
    <w:p w:rsidR="0089198B" w:rsidRDefault="0089198B" w:rsidP="0089198B">
      <w:pPr>
        <w:pStyle w:val="ListParagraph"/>
        <w:numPr>
          <w:ilvl w:val="0"/>
          <w:numId w:val="24"/>
        </w:numPr>
      </w:pPr>
      <w:r>
        <w:t>Vacation costs</w:t>
      </w:r>
    </w:p>
    <w:p w:rsidR="0089198B" w:rsidRDefault="0089198B" w:rsidP="0089198B">
      <w:pPr>
        <w:pStyle w:val="ListParagraph"/>
        <w:numPr>
          <w:ilvl w:val="0"/>
          <w:numId w:val="24"/>
        </w:numPr>
      </w:pPr>
      <w:r>
        <w:t>Unexpected expenses</w:t>
      </w:r>
    </w:p>
    <w:p w:rsidR="0089198B" w:rsidRDefault="0089198B" w:rsidP="0089198B">
      <w:r>
        <w:t>Personal loans are different from other installment loans—such as student loans, car loans, and mortgage loans—that are used to fund specific expenses like education, vehicles, or homes.</w:t>
      </w:r>
    </w:p>
    <w:p w:rsidR="0089198B" w:rsidRPr="0089198B" w:rsidRDefault="0089198B" w:rsidP="0089198B">
      <w:pPr>
        <w:rPr>
          <w:b/>
          <w:bCs/>
        </w:rPr>
      </w:pPr>
      <w:r>
        <w:rPr>
          <w:b/>
          <w:bCs/>
        </w:rPr>
        <w:t>Key Features:</w:t>
      </w:r>
    </w:p>
    <w:p w:rsidR="0089198B" w:rsidRPr="0089198B" w:rsidRDefault="0089198B" w:rsidP="0089198B">
      <w:pPr>
        <w:numPr>
          <w:ilvl w:val="0"/>
          <w:numId w:val="19"/>
        </w:numPr>
      </w:pPr>
      <w:r w:rsidRPr="0089198B">
        <w:rPr>
          <w:b/>
          <w:bCs/>
        </w:rPr>
        <w:t>Loan Amount</w:t>
      </w:r>
      <w:r w:rsidRPr="0089198B">
        <w:t>:</w:t>
      </w:r>
      <w:r>
        <w:t xml:space="preserve"> </w:t>
      </w:r>
      <w:r w:rsidRPr="0089198B">
        <w:t>Personal loans typically range from a few hundred dollars to $100,000, depending on the lender and the borrower's creditworthiness.</w:t>
      </w:r>
    </w:p>
    <w:p w:rsidR="0089198B" w:rsidRPr="0089198B" w:rsidRDefault="0089198B" w:rsidP="0089198B">
      <w:pPr>
        <w:numPr>
          <w:ilvl w:val="0"/>
          <w:numId w:val="19"/>
        </w:numPr>
      </w:pPr>
      <w:r w:rsidRPr="0089198B">
        <w:rPr>
          <w:b/>
          <w:bCs/>
        </w:rPr>
        <w:t>Term Length</w:t>
      </w:r>
      <w:r w:rsidRPr="0089198B">
        <w:t>:</w:t>
      </w:r>
      <w:r>
        <w:t xml:space="preserve"> </w:t>
      </w:r>
      <w:r w:rsidRPr="0089198B">
        <w:t>Repayment terms generally range from 1 to 7 years. Shorter terms usually mean higher monthly payments but lower total interest costs, while longer terms have lower monthly payments but higher total interest costs.</w:t>
      </w:r>
    </w:p>
    <w:p w:rsidR="0089198B" w:rsidRPr="0089198B" w:rsidRDefault="0089198B" w:rsidP="0089198B">
      <w:pPr>
        <w:numPr>
          <w:ilvl w:val="0"/>
          <w:numId w:val="19"/>
        </w:numPr>
      </w:pPr>
      <w:r w:rsidRPr="0089198B">
        <w:rPr>
          <w:b/>
          <w:bCs/>
        </w:rPr>
        <w:t>Interest Rates</w:t>
      </w:r>
      <w:r w:rsidRPr="0089198B">
        <w:t>:</w:t>
      </w:r>
      <w:r>
        <w:t xml:space="preserve"> </w:t>
      </w:r>
      <w:r w:rsidRPr="0089198B">
        <w:t>Interest rates can be fixed or variable. Fixed rates remain constant over the life of the loan, while variable rates can change periodically based on market conditions.</w:t>
      </w:r>
    </w:p>
    <w:p w:rsidR="0089198B" w:rsidRPr="0089198B" w:rsidRDefault="0089198B" w:rsidP="0089198B">
      <w:pPr>
        <w:numPr>
          <w:ilvl w:val="1"/>
          <w:numId w:val="19"/>
        </w:numPr>
      </w:pPr>
      <w:r w:rsidRPr="0089198B">
        <w:t>Rates vary widely based on credit score, income, and other financial factors. As of 2023, average interest rates range from 6% to 36%.</w:t>
      </w:r>
    </w:p>
    <w:p w:rsidR="0089198B" w:rsidRPr="0089198B" w:rsidRDefault="0089198B" w:rsidP="0089198B">
      <w:pPr>
        <w:numPr>
          <w:ilvl w:val="0"/>
          <w:numId w:val="19"/>
        </w:numPr>
      </w:pPr>
      <w:r w:rsidRPr="0089198B">
        <w:rPr>
          <w:b/>
          <w:bCs/>
        </w:rPr>
        <w:t>Credit Score Impact</w:t>
      </w:r>
      <w:r w:rsidRPr="0089198B">
        <w:t>:</w:t>
      </w:r>
      <w:r>
        <w:t xml:space="preserve"> </w:t>
      </w:r>
      <w:r w:rsidRPr="0089198B">
        <w:t>Lenders evaluate credit scores to determine eligibility and interest rates. Higher credit scores typically result in lower interest rates.</w:t>
      </w:r>
    </w:p>
    <w:p w:rsidR="0089198B" w:rsidRPr="0089198B" w:rsidRDefault="0089198B" w:rsidP="0089198B">
      <w:pPr>
        <w:numPr>
          <w:ilvl w:val="1"/>
          <w:numId w:val="19"/>
        </w:numPr>
      </w:pPr>
      <w:r w:rsidRPr="0089198B">
        <w:t>Applying for a personal loan can temporarily affect your credit score due to the hard inquiry made during the application process.</w:t>
      </w:r>
    </w:p>
    <w:p w:rsidR="0089198B" w:rsidRPr="0089198B" w:rsidRDefault="0089198B" w:rsidP="0089198B">
      <w:pPr>
        <w:numPr>
          <w:ilvl w:val="0"/>
          <w:numId w:val="19"/>
        </w:numPr>
      </w:pPr>
      <w:r w:rsidRPr="0089198B">
        <w:rPr>
          <w:b/>
          <w:bCs/>
        </w:rPr>
        <w:t>Secured vs. Unsecured</w:t>
      </w:r>
      <w:r w:rsidRPr="0089198B">
        <w:t>:</w:t>
      </w:r>
    </w:p>
    <w:p w:rsidR="0089198B" w:rsidRPr="0089198B" w:rsidRDefault="0089198B" w:rsidP="0089198B">
      <w:pPr>
        <w:numPr>
          <w:ilvl w:val="1"/>
          <w:numId w:val="19"/>
        </w:numPr>
      </w:pPr>
      <w:r w:rsidRPr="0089198B">
        <w:rPr>
          <w:b/>
          <w:bCs/>
        </w:rPr>
        <w:lastRenderedPageBreak/>
        <w:t>Unsecured Loans</w:t>
      </w:r>
      <w:r w:rsidRPr="0089198B">
        <w:t>: Do not require collateral. Approval is based on creditworthiness and financial history. These are more common for personal loans.</w:t>
      </w:r>
    </w:p>
    <w:p w:rsidR="0089198B" w:rsidRPr="0089198B" w:rsidRDefault="0089198B" w:rsidP="0089198B">
      <w:pPr>
        <w:numPr>
          <w:ilvl w:val="1"/>
          <w:numId w:val="19"/>
        </w:numPr>
      </w:pPr>
      <w:r w:rsidRPr="0089198B">
        <w:rPr>
          <w:b/>
          <w:bCs/>
        </w:rPr>
        <w:t>Secured Loans</w:t>
      </w:r>
      <w:r w:rsidRPr="0089198B">
        <w:t>: Require collateral, such as a car, savings account, or other assets. These might have lower interest rates due to reduced risk for the lender.</w:t>
      </w:r>
    </w:p>
    <w:p w:rsidR="0089198B" w:rsidRPr="0089198B" w:rsidRDefault="0089198B" w:rsidP="0089198B">
      <w:pPr>
        <w:numPr>
          <w:ilvl w:val="0"/>
          <w:numId w:val="19"/>
        </w:numPr>
      </w:pPr>
      <w:r w:rsidRPr="0089198B">
        <w:rPr>
          <w:b/>
          <w:bCs/>
        </w:rPr>
        <w:t>Fees</w:t>
      </w:r>
      <w:r w:rsidRPr="0089198B">
        <w:t>:</w:t>
      </w:r>
      <w:r>
        <w:t xml:space="preserve"> </w:t>
      </w:r>
      <w:r w:rsidRPr="0089198B">
        <w:t>Common fees include origination fees (1%-8% of the loan amount), late payment fees, and prepayment penalties (though many lenders do not charge prepayment fees).</w:t>
      </w:r>
    </w:p>
    <w:p w:rsidR="0089198B" w:rsidRPr="0089198B" w:rsidRDefault="0089198B" w:rsidP="0089198B">
      <w:pPr>
        <w:rPr>
          <w:b/>
          <w:bCs/>
        </w:rPr>
      </w:pPr>
      <w:r w:rsidRPr="0089198B">
        <w:rPr>
          <w:b/>
          <w:bCs/>
        </w:rPr>
        <w:t>Considerations</w:t>
      </w:r>
    </w:p>
    <w:p w:rsidR="0089198B" w:rsidRPr="0089198B" w:rsidRDefault="0089198B" w:rsidP="0089198B">
      <w:pPr>
        <w:numPr>
          <w:ilvl w:val="0"/>
          <w:numId w:val="21"/>
        </w:numPr>
      </w:pPr>
      <w:r w:rsidRPr="0089198B">
        <w:rPr>
          <w:b/>
          <w:bCs/>
        </w:rPr>
        <w:t>Interest Costs</w:t>
      </w:r>
      <w:r w:rsidRPr="0089198B">
        <w:t>:</w:t>
      </w:r>
      <w:r>
        <w:t xml:space="preserve"> </w:t>
      </w:r>
      <w:r w:rsidRPr="0089198B">
        <w:t>Interest rates can be high, especially for borrowers with lower credit scores. It’s important to compare rates and terms from multiple lenders.</w:t>
      </w:r>
    </w:p>
    <w:p w:rsidR="0089198B" w:rsidRPr="0089198B" w:rsidRDefault="0089198B" w:rsidP="0089198B">
      <w:pPr>
        <w:numPr>
          <w:ilvl w:val="0"/>
          <w:numId w:val="21"/>
        </w:numPr>
      </w:pPr>
      <w:r w:rsidRPr="0089198B">
        <w:rPr>
          <w:b/>
          <w:bCs/>
        </w:rPr>
        <w:t>Impact on Credit</w:t>
      </w:r>
      <w:r w:rsidRPr="0089198B">
        <w:t>:</w:t>
      </w:r>
      <w:r>
        <w:t xml:space="preserve"> </w:t>
      </w:r>
      <w:r w:rsidRPr="0089198B">
        <w:t>Missed or late payments can negatively affect your credit score. Responsible borrowing and timely payments are crucial.</w:t>
      </w:r>
    </w:p>
    <w:p w:rsidR="0089198B" w:rsidRPr="0089198B" w:rsidRDefault="0089198B" w:rsidP="0089198B">
      <w:pPr>
        <w:numPr>
          <w:ilvl w:val="0"/>
          <w:numId w:val="21"/>
        </w:numPr>
      </w:pPr>
      <w:r w:rsidRPr="0089198B">
        <w:rPr>
          <w:b/>
          <w:bCs/>
        </w:rPr>
        <w:t>Fees and Penalties</w:t>
      </w:r>
      <w:r w:rsidRPr="0089198B">
        <w:t>:</w:t>
      </w:r>
      <w:r>
        <w:t xml:space="preserve"> </w:t>
      </w:r>
      <w:r w:rsidRPr="0089198B">
        <w:t>Be aware of any fees associated with the loan, including origination fees, late payment fees, and potential prepayment penalties.</w:t>
      </w:r>
    </w:p>
    <w:p w:rsidR="0089198B" w:rsidRDefault="0089198B" w:rsidP="0089198B">
      <w:pPr>
        <w:numPr>
          <w:ilvl w:val="0"/>
          <w:numId w:val="21"/>
        </w:numPr>
      </w:pPr>
      <w:r w:rsidRPr="0089198B">
        <w:rPr>
          <w:b/>
          <w:bCs/>
        </w:rPr>
        <w:t>Repayment Obligation</w:t>
      </w:r>
      <w:r w:rsidRPr="0089198B">
        <w:t>:</w:t>
      </w:r>
      <w:r>
        <w:t xml:space="preserve"> </w:t>
      </w:r>
      <w:r w:rsidRPr="0089198B">
        <w:t>Borrowers must be confident in their ability to repay the loan, as defaulting can lead to serious financial and legal consequences.</w:t>
      </w:r>
    </w:p>
    <w:p w:rsidR="006611F4" w:rsidRDefault="006611F4" w:rsidP="006611F4">
      <w:pPr>
        <w:rPr>
          <w:b/>
        </w:rPr>
      </w:pPr>
      <w:r w:rsidRPr="006611F4">
        <w:rPr>
          <w:b/>
        </w:rPr>
        <w:t>Market Trends</w:t>
      </w:r>
      <w:r w:rsidRPr="006611F4">
        <w:rPr>
          <w:b/>
        </w:rPr>
        <w:t xml:space="preserve"> (2024):</w:t>
      </w:r>
    </w:p>
    <w:p w:rsidR="006611F4" w:rsidRDefault="006611F4" w:rsidP="006611F4">
      <w:pPr>
        <w:pStyle w:val="ListParagraph"/>
        <w:numPr>
          <w:ilvl w:val="0"/>
          <w:numId w:val="26"/>
        </w:numPr>
      </w:pPr>
      <w:r>
        <w:t xml:space="preserve">Americans owe $245 billion in personal loan debt as of the </w:t>
      </w:r>
      <w:r>
        <w:t>Q1,</w:t>
      </w:r>
      <w:r>
        <w:t xml:space="preserve"> 2024, unchanged from the previous quarter but up $20 billion from a year earlier ($225 billion). That’s an 8.9% jump from the previous year.</w:t>
      </w:r>
    </w:p>
    <w:p w:rsidR="006611F4" w:rsidRDefault="006611F4" w:rsidP="006611F4">
      <w:pPr>
        <w:pStyle w:val="ListParagraph"/>
        <w:numPr>
          <w:ilvl w:val="0"/>
          <w:numId w:val="26"/>
        </w:numPr>
      </w:pPr>
      <w:r>
        <w:t xml:space="preserve">23.5 million Americans have a personal loan as of </w:t>
      </w:r>
      <w:r>
        <w:t>Q1</w:t>
      </w:r>
      <w:proofErr w:type="gramStart"/>
      <w:r>
        <w:t>,</w:t>
      </w:r>
      <w:r>
        <w:t>2024</w:t>
      </w:r>
      <w:proofErr w:type="gramEnd"/>
      <w:r>
        <w:t xml:space="preserve">, up from 22.4 </w:t>
      </w:r>
      <w:r>
        <w:t>million a year earlier ,i.e.,</w:t>
      </w:r>
      <w:r>
        <w:t xml:space="preserve"> 4.9% year-over-year increase.</w:t>
      </w:r>
    </w:p>
    <w:p w:rsidR="006611F4" w:rsidRDefault="006611F4" w:rsidP="006611F4">
      <w:pPr>
        <w:pStyle w:val="ListParagraph"/>
        <w:numPr>
          <w:ilvl w:val="0"/>
          <w:numId w:val="26"/>
        </w:numPr>
      </w:pPr>
      <w:r>
        <w:t xml:space="preserve">Personal loan debt makes </w:t>
      </w:r>
      <w:r>
        <w:t>up 1.4% of outstanding consumer debt</w:t>
      </w:r>
      <w:r>
        <w:t>. It accounts for 5.0% of non</w:t>
      </w:r>
      <w:r>
        <w:t xml:space="preserve"> </w:t>
      </w:r>
      <w:r>
        <w:t xml:space="preserve">housing consumer debt. </w:t>
      </w:r>
    </w:p>
    <w:p w:rsidR="006611F4" w:rsidRDefault="006611F4" w:rsidP="006611F4">
      <w:pPr>
        <w:pStyle w:val="ListParagraph"/>
        <w:numPr>
          <w:ilvl w:val="0"/>
          <w:numId w:val="26"/>
        </w:numPr>
      </w:pPr>
      <w:r>
        <w:t xml:space="preserve">The delinquency rate (60 days or more past due) for personal loans is 3.75% as of </w:t>
      </w:r>
      <w:r>
        <w:t>2024, de</w:t>
      </w:r>
      <w:r>
        <w:t xml:space="preserve">crease from 3.91% </w:t>
      </w:r>
      <w:r w:rsidR="000644E1">
        <w:t>previous</w:t>
      </w:r>
      <w:r>
        <w:t xml:space="preserve"> year</w:t>
      </w:r>
      <w:r>
        <w:t>.</w:t>
      </w:r>
    </w:p>
    <w:p w:rsidR="006611F4" w:rsidRDefault="006611F4" w:rsidP="006611F4">
      <w:pPr>
        <w:pStyle w:val="ListParagraph"/>
        <w:numPr>
          <w:ilvl w:val="0"/>
          <w:numId w:val="26"/>
        </w:numPr>
      </w:pPr>
      <w:r>
        <w:t xml:space="preserve">The average personal loan debt per borrower is $11,829 </w:t>
      </w:r>
      <w:r w:rsidR="000644E1">
        <w:t>for 2024 and</w:t>
      </w:r>
      <w:r>
        <w:t xml:space="preserve"> was $11,281</w:t>
      </w:r>
      <w:r w:rsidR="000644E1">
        <w:t xml:space="preserve"> for 2023.</w:t>
      </w:r>
    </w:p>
    <w:p w:rsidR="006611F4" w:rsidRDefault="006611F4" w:rsidP="006611F4">
      <w:pPr>
        <w:pStyle w:val="ListParagraph"/>
        <w:numPr>
          <w:ilvl w:val="0"/>
          <w:numId w:val="26"/>
        </w:numPr>
      </w:pPr>
      <w:r>
        <w:t>Most borrowers (55.1%) take out a personal loan to consolidate debt or refinance credit cards. The next-closest reason is for everyday bills (7.0%).</w:t>
      </w:r>
    </w:p>
    <w:p w:rsidR="00A154F3" w:rsidRDefault="00A154F3" w:rsidP="006611F4">
      <w:pPr>
        <w:pStyle w:val="ListParagraph"/>
        <w:numPr>
          <w:ilvl w:val="0"/>
          <w:numId w:val="26"/>
        </w:numPr>
      </w:pPr>
      <w:r w:rsidRPr="00A154F3">
        <w:t>Credit score requirements: The average minimum credit score for personal loans decreased to 620 in 2024, down from 640 in 2023, as lenders expand their risk tolerance.</w:t>
      </w:r>
    </w:p>
    <w:p w:rsidR="000644E1" w:rsidRDefault="000644E1" w:rsidP="0089198B">
      <w:pPr>
        <w:rPr>
          <w:b/>
          <w:bCs/>
          <w:noProof/>
        </w:rPr>
      </w:pPr>
    </w:p>
    <w:p w:rsidR="000644E1" w:rsidRDefault="000644E1" w:rsidP="0089198B">
      <w:pPr>
        <w:rPr>
          <w:b/>
          <w:bCs/>
        </w:rPr>
      </w:pPr>
      <w:r>
        <w:rPr>
          <w:b/>
          <w:bCs/>
          <w:noProof/>
        </w:rPr>
        <w:lastRenderedPageBreak/>
        <w:drawing>
          <wp:inline distT="0" distB="0" distL="0" distR="0">
            <wp:extent cx="5996763" cy="4205277"/>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6).png"/>
                    <pic:cNvPicPr/>
                  </pic:nvPicPr>
                  <pic:blipFill rotWithShape="1">
                    <a:blip r:embed="rId8">
                      <a:extLst>
                        <a:ext uri="{28A0092B-C50C-407E-A947-70E740481C1C}">
                          <a14:useLocalDpi xmlns:a14="http://schemas.microsoft.com/office/drawing/2010/main" val="0"/>
                        </a:ext>
                      </a:extLst>
                    </a:blip>
                    <a:srcRect l="10206" t="22293" r="32861" b="6689"/>
                    <a:stretch/>
                  </pic:blipFill>
                  <pic:spPr bwMode="auto">
                    <a:xfrm>
                      <a:off x="0" y="0"/>
                      <a:ext cx="6001697" cy="4208737"/>
                    </a:xfrm>
                    <a:prstGeom prst="rect">
                      <a:avLst/>
                    </a:prstGeom>
                    <a:ln>
                      <a:noFill/>
                    </a:ln>
                    <a:extLst>
                      <a:ext uri="{53640926-AAD7-44D8-BBD7-CCE9431645EC}">
                        <a14:shadowObscured xmlns:a14="http://schemas.microsoft.com/office/drawing/2010/main"/>
                      </a:ext>
                    </a:extLst>
                  </pic:spPr>
                </pic:pic>
              </a:graphicData>
            </a:graphic>
          </wp:inline>
        </w:drawing>
      </w:r>
    </w:p>
    <w:p w:rsidR="00A154F3" w:rsidRPr="00A154F3" w:rsidRDefault="00A154F3" w:rsidP="00A154F3">
      <w:pPr>
        <w:rPr>
          <w:noProof/>
        </w:rPr>
      </w:pPr>
      <w:r w:rsidRPr="00A154F3">
        <w:rPr>
          <w:noProof/>
        </w:rPr>
        <w:t>Th</w:t>
      </w:r>
      <w:r>
        <w:rPr>
          <w:noProof/>
        </w:rPr>
        <w:t>e</w:t>
      </w:r>
      <w:r w:rsidRPr="00A154F3">
        <w:rPr>
          <w:noProof/>
        </w:rPr>
        <w:t xml:space="preserve"> chart depicts the outstanding personal loan balances in the United States from 2006 to 2024, measured in billions of dollars. </w:t>
      </w:r>
      <w:r>
        <w:rPr>
          <w:noProof/>
        </w:rPr>
        <w:t>Key analysis</w:t>
      </w:r>
      <w:r w:rsidRPr="00A154F3">
        <w:rPr>
          <w:noProof/>
        </w:rPr>
        <w:t>:</w:t>
      </w:r>
    </w:p>
    <w:p w:rsidR="00A154F3" w:rsidRPr="00A154F3" w:rsidRDefault="00A154F3" w:rsidP="00A154F3">
      <w:pPr>
        <w:pStyle w:val="ListParagraph"/>
        <w:numPr>
          <w:ilvl w:val="0"/>
          <w:numId w:val="29"/>
        </w:numPr>
        <w:rPr>
          <w:noProof/>
        </w:rPr>
      </w:pPr>
      <w:r w:rsidRPr="00A154F3">
        <w:rPr>
          <w:noProof/>
        </w:rPr>
        <w:t>Overall Growth Trend: There's a clear long-term upward trend in outstanding personal loan balances, especially from 2010 onwards.</w:t>
      </w:r>
    </w:p>
    <w:p w:rsidR="00A154F3" w:rsidRPr="00A154F3" w:rsidRDefault="00A154F3" w:rsidP="00A154F3">
      <w:pPr>
        <w:pStyle w:val="ListParagraph"/>
        <w:numPr>
          <w:ilvl w:val="0"/>
          <w:numId w:val="29"/>
        </w:numPr>
        <w:rPr>
          <w:noProof/>
        </w:rPr>
      </w:pPr>
      <w:r w:rsidRPr="00A154F3">
        <w:rPr>
          <w:noProof/>
        </w:rPr>
        <w:t>Pre-2010 Period: From 2006 to 2010, the balances remained relatively stable, fluctuating between $64.5 billion and $71.9 billion.</w:t>
      </w:r>
    </w:p>
    <w:p w:rsidR="00A154F3" w:rsidRPr="00A154F3" w:rsidRDefault="00A154F3" w:rsidP="00A154F3">
      <w:pPr>
        <w:pStyle w:val="ListParagraph"/>
        <w:numPr>
          <w:ilvl w:val="0"/>
          <w:numId w:val="29"/>
        </w:numPr>
        <w:rPr>
          <w:noProof/>
        </w:rPr>
      </w:pPr>
      <w:r w:rsidRPr="00A154F3">
        <w:rPr>
          <w:noProof/>
        </w:rPr>
        <w:t>Post-2010 Growth: Starting in 2011, there's a consistent and significant year-over-year increase, with a few exceptions.</w:t>
      </w:r>
    </w:p>
    <w:p w:rsidR="00A154F3" w:rsidRPr="00A154F3" w:rsidRDefault="00A154F3" w:rsidP="00A154F3">
      <w:pPr>
        <w:pStyle w:val="ListParagraph"/>
        <w:numPr>
          <w:ilvl w:val="0"/>
          <w:numId w:val="29"/>
        </w:numPr>
        <w:rPr>
          <w:noProof/>
        </w:rPr>
      </w:pPr>
      <w:r w:rsidRPr="00A154F3">
        <w:rPr>
          <w:noProof/>
        </w:rPr>
        <w:t>Rapid Expansion: The most dramatic growth occurred between 2015 and 2019, where balances more than doubled from $88.0 billion to $167.0 billion.</w:t>
      </w:r>
    </w:p>
    <w:p w:rsidR="00A154F3" w:rsidRPr="00A154F3" w:rsidRDefault="00A154F3" w:rsidP="00A154F3">
      <w:pPr>
        <w:pStyle w:val="ListParagraph"/>
        <w:numPr>
          <w:ilvl w:val="0"/>
          <w:numId w:val="29"/>
        </w:numPr>
        <w:rPr>
          <w:noProof/>
        </w:rPr>
      </w:pPr>
      <w:r w:rsidRPr="00A154F3">
        <w:rPr>
          <w:noProof/>
        </w:rPr>
        <w:t>COVID-19 Impact: There's a noticeable dip in 2020 to $145.0 billion, likely due to the economic effects of the COVID-19 pandemic.</w:t>
      </w:r>
    </w:p>
    <w:p w:rsidR="00A154F3" w:rsidRPr="00A154F3" w:rsidRDefault="00A154F3" w:rsidP="00A154F3">
      <w:pPr>
        <w:pStyle w:val="ListParagraph"/>
        <w:numPr>
          <w:ilvl w:val="0"/>
          <w:numId w:val="29"/>
        </w:numPr>
        <w:rPr>
          <w:noProof/>
        </w:rPr>
      </w:pPr>
      <w:r w:rsidRPr="00A154F3">
        <w:rPr>
          <w:noProof/>
        </w:rPr>
        <w:t>Post-Pandemic Recovery: From 2021 onwards, there's a sharp rebound and continued growth, reaching $245.0 billion by 2024 (Q1).</w:t>
      </w:r>
    </w:p>
    <w:p w:rsidR="00A154F3" w:rsidRPr="00A154F3" w:rsidRDefault="00A154F3" w:rsidP="00A154F3">
      <w:pPr>
        <w:rPr>
          <w:noProof/>
        </w:rPr>
      </w:pPr>
      <w:r w:rsidRPr="00A154F3">
        <w:rPr>
          <w:noProof/>
        </w:rPr>
        <w:t>The personal loan market has grown by nearly 280% from its lowest point in 2010 ($49.0 billion) to its pea</w:t>
      </w:r>
      <w:r w:rsidR="001F0603">
        <w:rPr>
          <w:noProof/>
        </w:rPr>
        <w:t xml:space="preserve">k in 2023-2024 ($245.0 billion) </w:t>
      </w:r>
      <w:r w:rsidRPr="00A154F3">
        <w:rPr>
          <w:noProof/>
        </w:rPr>
        <w:t xml:space="preserve"> suggest</w:t>
      </w:r>
      <w:r w:rsidR="001F0603">
        <w:rPr>
          <w:noProof/>
        </w:rPr>
        <w:t>ing</w:t>
      </w:r>
      <w:r w:rsidRPr="00A154F3">
        <w:rPr>
          <w:noProof/>
        </w:rPr>
        <w:t xml:space="preserve"> a significant shift in consumer borrowing habits over the past decade, with personal loans becoming an increasingly popular financial product. </w:t>
      </w:r>
    </w:p>
    <w:p w:rsidR="00566EF0" w:rsidRPr="00A154F3" w:rsidRDefault="001F0603" w:rsidP="000644E1">
      <w:pPr>
        <w:rPr>
          <w:noProof/>
        </w:rPr>
      </w:pPr>
      <w:r>
        <w:rPr>
          <w:b/>
          <w:noProof/>
        </w:rPr>
        <w:lastRenderedPageBreak/>
        <w:drawing>
          <wp:inline distT="0" distB="0" distL="0" distR="0" wp14:anchorId="55502166" wp14:editId="7E1E3B8A">
            <wp:extent cx="5932967" cy="3451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7).png"/>
                    <pic:cNvPicPr/>
                  </pic:nvPicPr>
                  <pic:blipFill rotWithShape="1">
                    <a:blip r:embed="rId9">
                      <a:extLst>
                        <a:ext uri="{28A0092B-C50C-407E-A947-70E740481C1C}">
                          <a14:useLocalDpi xmlns:a14="http://schemas.microsoft.com/office/drawing/2010/main" val="0"/>
                        </a:ext>
                      </a:extLst>
                    </a:blip>
                    <a:srcRect l="10205" t="22612" r="30175" b="4140"/>
                    <a:stretch/>
                  </pic:blipFill>
                  <pic:spPr bwMode="auto">
                    <a:xfrm>
                      <a:off x="0" y="0"/>
                      <a:ext cx="5932967" cy="3451589"/>
                    </a:xfrm>
                    <a:prstGeom prst="rect">
                      <a:avLst/>
                    </a:prstGeom>
                    <a:ln>
                      <a:noFill/>
                    </a:ln>
                    <a:extLst>
                      <a:ext uri="{53640926-AAD7-44D8-BBD7-CCE9431645EC}">
                        <a14:shadowObscured xmlns:a14="http://schemas.microsoft.com/office/drawing/2010/main"/>
                      </a:ext>
                    </a:extLst>
                  </pic:spPr>
                </pic:pic>
              </a:graphicData>
            </a:graphic>
          </wp:inline>
        </w:drawing>
      </w:r>
    </w:p>
    <w:p w:rsidR="001F0603" w:rsidRPr="001F0603" w:rsidRDefault="001F0603" w:rsidP="001F0603">
      <w:r w:rsidRPr="001F0603">
        <w:t>Th</w:t>
      </w:r>
      <w:r>
        <w:t>e</w:t>
      </w:r>
      <w:r w:rsidRPr="001F0603">
        <w:t xml:space="preserve"> chart illustrates the year-over-year percentage change in personal loan balances from 2007 to 2024. </w:t>
      </w:r>
      <w:r>
        <w:t>Key points</w:t>
      </w:r>
      <w:r w:rsidRPr="001F0603">
        <w:t>:</w:t>
      </w:r>
    </w:p>
    <w:p w:rsidR="001F0603" w:rsidRPr="001F0603" w:rsidRDefault="001F0603" w:rsidP="001F0603">
      <w:pPr>
        <w:numPr>
          <w:ilvl w:val="0"/>
          <w:numId w:val="30"/>
        </w:numPr>
      </w:pPr>
      <w:r w:rsidRPr="001F0603">
        <w:t>Volatility in Early Years: From 2007 to 2011, there was significant volatility, with both positive and negative growth rates. 2009 saw</w:t>
      </w:r>
      <w:r>
        <w:t xml:space="preserve"> the steepest decline at -19.4%  likely due to t</w:t>
      </w:r>
      <w:r w:rsidRPr="001F0603">
        <w:t>ightened lending standards due to the financial crisis</w:t>
      </w:r>
      <w:r>
        <w:t>, r</w:t>
      </w:r>
      <w:r w:rsidRPr="001F0603">
        <w:t>educed consumer confidence and spending</w:t>
      </w:r>
      <w:r>
        <w:t>, h</w:t>
      </w:r>
      <w:r w:rsidRPr="001F0603">
        <w:t>igher unemployment rates leading to decreased loan demand</w:t>
      </w:r>
      <w:r>
        <w:t xml:space="preserve"> and b</w:t>
      </w:r>
      <w:r w:rsidRPr="001F0603">
        <w:t>anks focusing on reducing risk in their loan portfolios</w:t>
      </w:r>
      <w:r>
        <w:t>.</w:t>
      </w:r>
    </w:p>
    <w:p w:rsidR="001F0603" w:rsidRPr="001F0603" w:rsidRDefault="001F0603" w:rsidP="001F0603">
      <w:pPr>
        <w:pStyle w:val="ListParagraph"/>
        <w:numPr>
          <w:ilvl w:val="0"/>
          <w:numId w:val="30"/>
        </w:numPr>
      </w:pPr>
      <w:r w:rsidRPr="001F0603">
        <w:t xml:space="preserve">Recovery and Growth Phase: Starting in 2012, there's a consistent positive growth trend, indicating </w:t>
      </w:r>
      <w:r>
        <w:t>economic recovery post-recession, increased consumer confidence, l</w:t>
      </w:r>
      <w:r w:rsidRPr="001F0603">
        <w:t>oosening of credit standa</w:t>
      </w:r>
      <w:r>
        <w:t>rds as banks regained stability and r</w:t>
      </w:r>
      <w:r w:rsidRPr="001F0603">
        <w:t xml:space="preserve">ise of </w:t>
      </w:r>
      <w:proofErr w:type="spellStart"/>
      <w:r w:rsidRPr="001F0603">
        <w:t>fintech</w:t>
      </w:r>
      <w:proofErr w:type="spellEnd"/>
      <w:r w:rsidRPr="001F0603">
        <w:t xml:space="preserve"> companies making personal loans more accessible.</w:t>
      </w:r>
    </w:p>
    <w:p w:rsidR="00357403" w:rsidRDefault="001F0603" w:rsidP="00357403">
      <w:pPr>
        <w:numPr>
          <w:ilvl w:val="0"/>
          <w:numId w:val="30"/>
        </w:numPr>
      </w:pPr>
      <w:r w:rsidRPr="001F0603">
        <w:t>Peak Growth Period: The highest growth rates were observed between 2013 and 2015, with 2014 showing the maximum year-over-year increase of 25.3%.</w:t>
      </w:r>
      <w:r w:rsidR="00357403">
        <w:t xml:space="preserve"> This </w:t>
      </w:r>
      <w:r w:rsidR="00357403">
        <w:t>can be attributed to</w:t>
      </w:r>
      <w:r w:rsidR="00357403">
        <w:t xml:space="preserve"> p</w:t>
      </w:r>
      <w:r w:rsidR="00357403">
        <w:t>ent-up demand for credit after years of deleveraging</w:t>
      </w:r>
      <w:r w:rsidR="00357403">
        <w:t>, e</w:t>
      </w:r>
      <w:r w:rsidR="00357403">
        <w:t xml:space="preserve">mergence and rapid expansion of online lenders (e.g., </w:t>
      </w:r>
      <w:proofErr w:type="spellStart"/>
      <w:r w:rsidR="00357403">
        <w:t>LendingClub</w:t>
      </w:r>
      <w:proofErr w:type="spellEnd"/>
      <w:r w:rsidR="00357403">
        <w:t>, Prosper)</w:t>
      </w:r>
      <w:r w:rsidR="00357403">
        <w:t>, l</w:t>
      </w:r>
      <w:r w:rsidR="00357403">
        <w:t xml:space="preserve">ow interest rate environment </w:t>
      </w:r>
      <w:r w:rsidR="00357403">
        <w:t>making borrowing more attractive and i</w:t>
      </w:r>
      <w:r w:rsidR="00357403">
        <w:t>ncreased marketing of personal loans as an alternative to credit cards</w:t>
      </w:r>
      <w:r w:rsidR="00357403">
        <w:t>.</w:t>
      </w:r>
    </w:p>
    <w:p w:rsidR="001F0603" w:rsidRPr="001F0603" w:rsidRDefault="001F0603" w:rsidP="00357403">
      <w:pPr>
        <w:pStyle w:val="ListParagraph"/>
        <w:numPr>
          <w:ilvl w:val="0"/>
          <w:numId w:val="30"/>
        </w:numPr>
      </w:pPr>
      <w:r w:rsidRPr="001F0603">
        <w:t>Sustained Growth: From 2016 to 2018, growth remained strong, consis</w:t>
      </w:r>
      <w:r w:rsidR="00357403">
        <w:t>tently above 10% year-over-year might be because of</w:t>
      </w:r>
      <w:r w:rsidR="00357403" w:rsidRPr="00357403">
        <w:t xml:space="preserve"> </w:t>
      </w:r>
      <w:r w:rsidR="00357403">
        <w:t>m</w:t>
      </w:r>
      <w:r w:rsidR="00357403" w:rsidRPr="00357403">
        <w:t>ainstream adoption of online lending</w:t>
      </w:r>
      <w:r w:rsidR="00357403">
        <w:t xml:space="preserve"> platforms, e</w:t>
      </w:r>
      <w:r w:rsidR="00357403" w:rsidRPr="00357403">
        <w:t>xpansion of personal loan offerings by traditiona</w:t>
      </w:r>
      <w:r w:rsidR="00357403">
        <w:t xml:space="preserve">l banks to compete with </w:t>
      </w:r>
      <w:proofErr w:type="spellStart"/>
      <w:r w:rsidR="00357403">
        <w:t>fintech</w:t>
      </w:r>
      <w:proofErr w:type="spellEnd"/>
      <w:r w:rsidR="00357403">
        <w:t>, s</w:t>
      </w:r>
      <w:r w:rsidR="00357403" w:rsidRPr="00357403">
        <w:t xml:space="preserve">trong economy and low unemployment encouraging borrowing </w:t>
      </w:r>
      <w:r w:rsidR="00357403">
        <w:t xml:space="preserve">and </w:t>
      </w:r>
      <w:proofErr w:type="spellStart"/>
      <w:r w:rsidR="00357403">
        <w:t>us</w:t>
      </w:r>
      <w:r w:rsidR="00357403" w:rsidRPr="00357403">
        <w:t>se</w:t>
      </w:r>
      <w:proofErr w:type="spellEnd"/>
      <w:r w:rsidR="00357403" w:rsidRPr="00357403">
        <w:t xml:space="preserve"> of personal loans for debt consolidation becoming more popular</w:t>
      </w:r>
      <w:r w:rsidR="00357403">
        <w:t>.</w:t>
      </w:r>
    </w:p>
    <w:p w:rsidR="001F0603" w:rsidRPr="001F0603" w:rsidRDefault="001F0603" w:rsidP="00357403">
      <w:pPr>
        <w:numPr>
          <w:ilvl w:val="0"/>
          <w:numId w:val="30"/>
        </w:numPr>
      </w:pPr>
      <w:r w:rsidRPr="001F0603">
        <w:lastRenderedPageBreak/>
        <w:t xml:space="preserve">Pre-Pandemic Slowdown: In 2019, there was a noticeable slowdown in growth to 13.8%, </w:t>
      </w:r>
      <w:r w:rsidR="00357403">
        <w:t>t</w:t>
      </w:r>
      <w:r w:rsidR="00357403">
        <w:t>his slowdown likely reflected a combination of factors including market saturation in certain segments, growing concerns about overall consumer debt levels, and slight economic uncertainties that may have led both lenders and borrowers to exercise more caution.</w:t>
      </w:r>
    </w:p>
    <w:p w:rsidR="001F0603" w:rsidRPr="001F0603" w:rsidRDefault="001F0603" w:rsidP="00357403">
      <w:pPr>
        <w:numPr>
          <w:ilvl w:val="0"/>
          <w:numId w:val="30"/>
        </w:numPr>
      </w:pPr>
      <w:r w:rsidRPr="001F0603">
        <w:t>Pandemic Impact: 2020 shows a significant negative growth of -7.6%</w:t>
      </w:r>
      <w:r w:rsidR="00357403">
        <w:t>.</w:t>
      </w:r>
      <w:r w:rsidRPr="001F0603">
        <w:t xml:space="preserve"> </w:t>
      </w:r>
      <w:r w:rsidR="00357403">
        <w:t>This decline was driven by widespread economic shutdowns and uncertainty, which led to tightened lending standards as financial institutions sought to mitigate risk. Consumer spending and borrowing decreased sharply during lockdowns, further reducing demand for personal loans.</w:t>
      </w:r>
    </w:p>
    <w:p w:rsidR="001F0603" w:rsidRPr="001F0603" w:rsidRDefault="001F0603" w:rsidP="00357403">
      <w:pPr>
        <w:numPr>
          <w:ilvl w:val="0"/>
          <w:numId w:val="30"/>
        </w:numPr>
      </w:pPr>
      <w:r w:rsidRPr="001F0603">
        <w:t>Post-Pandemic Rebound: 2021 saw a dramatic rebound with the highest growth rate in the entire period at 32.7%, indicating pent-up demand or changed economic circumstances.</w:t>
      </w:r>
    </w:p>
    <w:p w:rsidR="00566EF0" w:rsidRPr="001F0603" w:rsidRDefault="001F0603" w:rsidP="000644E1">
      <w:pPr>
        <w:numPr>
          <w:ilvl w:val="0"/>
          <w:numId w:val="30"/>
        </w:numPr>
      </w:pPr>
      <w:r w:rsidRPr="001F0603">
        <w:t xml:space="preserve">Recent Moderation: Growth rates in 2022 and 2023 have moderated to 10.4% and 8.9% respectively, suggesting </w:t>
      </w:r>
      <w:r w:rsidR="00357403">
        <w:t>a normalization of the personal loan market after the post-pandemic surge.</w:t>
      </w:r>
    </w:p>
    <w:p w:rsidR="00407725" w:rsidRDefault="00407725" w:rsidP="000644E1">
      <w:pPr>
        <w:rPr>
          <w:b/>
        </w:rPr>
      </w:pPr>
    </w:p>
    <w:p w:rsidR="000644E1" w:rsidRPr="000A552C" w:rsidRDefault="000644E1" w:rsidP="000644E1">
      <w:pPr>
        <w:rPr>
          <w:b/>
        </w:rPr>
      </w:pPr>
      <w:r>
        <w:rPr>
          <w:b/>
        </w:rPr>
        <w:t xml:space="preserve">Advantages and Disadvantages of </w:t>
      </w:r>
      <w:r>
        <w:rPr>
          <w:b/>
        </w:rPr>
        <w:t>Personal Loans</w:t>
      </w:r>
      <w:r>
        <w:rPr>
          <w:b/>
        </w:rPr>
        <w:t>:</w:t>
      </w:r>
    </w:p>
    <w:tbl>
      <w:tblPr>
        <w:tblStyle w:val="TableGrid"/>
        <w:tblW w:w="9390" w:type="dxa"/>
        <w:tblLook w:val="04A0" w:firstRow="1" w:lastRow="0" w:firstColumn="1" w:lastColumn="0" w:noHBand="0" w:noVBand="1"/>
      </w:tblPr>
      <w:tblGrid>
        <w:gridCol w:w="4091"/>
        <w:gridCol w:w="5299"/>
      </w:tblGrid>
      <w:tr w:rsidR="000644E1" w:rsidRPr="00B76AAF" w:rsidTr="00B030A8">
        <w:trPr>
          <w:trHeight w:val="432"/>
        </w:trPr>
        <w:tc>
          <w:tcPr>
            <w:tcW w:w="4091" w:type="dxa"/>
            <w:noWrap/>
            <w:vAlign w:val="center"/>
            <w:hideMark/>
          </w:tcPr>
          <w:p w:rsidR="000644E1" w:rsidRPr="0068543F" w:rsidRDefault="000644E1" w:rsidP="00B030A8">
            <w:pPr>
              <w:jc w:val="center"/>
              <w:rPr>
                <w:b/>
              </w:rPr>
            </w:pPr>
            <w:r w:rsidRPr="0068543F">
              <w:rPr>
                <w:b/>
              </w:rPr>
              <w:t>Pros</w:t>
            </w:r>
          </w:p>
        </w:tc>
        <w:tc>
          <w:tcPr>
            <w:tcW w:w="5299" w:type="dxa"/>
            <w:noWrap/>
            <w:vAlign w:val="center"/>
            <w:hideMark/>
          </w:tcPr>
          <w:p w:rsidR="000644E1" w:rsidRPr="0068543F" w:rsidRDefault="000644E1" w:rsidP="00B030A8">
            <w:pPr>
              <w:jc w:val="center"/>
              <w:rPr>
                <w:b/>
              </w:rPr>
            </w:pPr>
            <w:r w:rsidRPr="0068543F">
              <w:rPr>
                <w:b/>
              </w:rPr>
              <w:t>Cons</w:t>
            </w:r>
          </w:p>
        </w:tc>
      </w:tr>
      <w:tr w:rsidR="000644E1" w:rsidRPr="00B76AAF" w:rsidTr="00B030A8">
        <w:trPr>
          <w:trHeight w:val="300"/>
        </w:trPr>
        <w:tc>
          <w:tcPr>
            <w:tcW w:w="4091" w:type="dxa"/>
            <w:noWrap/>
          </w:tcPr>
          <w:p w:rsidR="000644E1" w:rsidRPr="000644E1" w:rsidRDefault="000644E1" w:rsidP="000644E1">
            <w:pPr>
              <w:pStyle w:val="NormalWeb"/>
              <w:numPr>
                <w:ilvl w:val="0"/>
                <w:numId w:val="8"/>
              </w:numPr>
              <w:shd w:val="clear" w:color="auto" w:fill="FFFFFF"/>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Fixed repayment terms</w:t>
            </w:r>
          </w:p>
          <w:p w:rsidR="000644E1" w:rsidRPr="000644E1" w:rsidRDefault="000644E1" w:rsidP="000644E1">
            <w:pPr>
              <w:pStyle w:val="NormalWeb"/>
              <w:numPr>
                <w:ilvl w:val="0"/>
                <w:numId w:val="8"/>
              </w:numPr>
              <w:shd w:val="clear" w:color="auto" w:fill="FFFFFF"/>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Potentially lower interest rates than credit cards</w:t>
            </w:r>
          </w:p>
          <w:p w:rsidR="000644E1" w:rsidRPr="000644E1" w:rsidRDefault="000644E1" w:rsidP="000644E1">
            <w:pPr>
              <w:pStyle w:val="NormalWeb"/>
              <w:numPr>
                <w:ilvl w:val="0"/>
                <w:numId w:val="8"/>
              </w:numPr>
              <w:shd w:val="clear" w:color="auto" w:fill="FFFFFF"/>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Can be used for various purposes</w:t>
            </w:r>
          </w:p>
          <w:p w:rsidR="000644E1" w:rsidRPr="000644E1" w:rsidRDefault="000644E1" w:rsidP="000644E1">
            <w:pPr>
              <w:pStyle w:val="NormalWeb"/>
              <w:numPr>
                <w:ilvl w:val="0"/>
                <w:numId w:val="8"/>
              </w:numPr>
              <w:shd w:val="clear" w:color="auto" w:fill="FFFFFF"/>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No collateral required for unsecured loans</w:t>
            </w:r>
          </w:p>
          <w:p w:rsidR="000644E1" w:rsidRPr="0068543F" w:rsidRDefault="000644E1" w:rsidP="000644E1">
            <w:pPr>
              <w:pStyle w:val="NormalWeb"/>
              <w:numPr>
                <w:ilvl w:val="0"/>
                <w:numId w:val="8"/>
              </w:numPr>
              <w:shd w:val="clear" w:color="auto" w:fill="FFFFFF"/>
              <w:spacing w:before="0" w:beforeAutospacing="0"/>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Can help improve credit score if managed responsibly</w:t>
            </w:r>
          </w:p>
        </w:tc>
        <w:tc>
          <w:tcPr>
            <w:tcW w:w="5299" w:type="dxa"/>
            <w:noWrap/>
          </w:tcPr>
          <w:p w:rsidR="000644E1" w:rsidRPr="000644E1" w:rsidRDefault="000644E1" w:rsidP="000644E1">
            <w:pPr>
              <w:pStyle w:val="NormalWeb"/>
              <w:numPr>
                <w:ilvl w:val="0"/>
                <w:numId w:val="9"/>
              </w:numPr>
              <w:shd w:val="clear" w:color="auto" w:fill="FFFFFF"/>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Higher interest rates than secured loans like mortgages</w:t>
            </w:r>
          </w:p>
          <w:p w:rsidR="000644E1" w:rsidRPr="000644E1" w:rsidRDefault="000644E1" w:rsidP="000644E1">
            <w:pPr>
              <w:pStyle w:val="NormalWeb"/>
              <w:numPr>
                <w:ilvl w:val="0"/>
                <w:numId w:val="9"/>
              </w:numPr>
              <w:shd w:val="clear" w:color="auto" w:fill="FFFFFF"/>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Potential for fees (origination, late payment, etc.)</w:t>
            </w:r>
          </w:p>
          <w:p w:rsidR="000644E1" w:rsidRPr="000644E1" w:rsidRDefault="000644E1" w:rsidP="000644E1">
            <w:pPr>
              <w:pStyle w:val="NormalWeb"/>
              <w:numPr>
                <w:ilvl w:val="0"/>
                <w:numId w:val="9"/>
              </w:numPr>
              <w:shd w:val="clear" w:color="auto" w:fill="FFFFFF"/>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Risk of debt cycle if not managed properly</w:t>
            </w:r>
          </w:p>
          <w:p w:rsidR="000644E1" w:rsidRPr="000644E1" w:rsidRDefault="000644E1" w:rsidP="000644E1">
            <w:pPr>
              <w:pStyle w:val="NormalWeb"/>
              <w:numPr>
                <w:ilvl w:val="0"/>
                <w:numId w:val="9"/>
              </w:numPr>
              <w:shd w:val="clear" w:color="auto" w:fill="FFFFFF"/>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May be difficult to qualify with poor credit</w:t>
            </w:r>
          </w:p>
          <w:p w:rsidR="000644E1" w:rsidRPr="000644E1" w:rsidRDefault="000644E1" w:rsidP="000644E1">
            <w:pPr>
              <w:pStyle w:val="NormalWeb"/>
              <w:numPr>
                <w:ilvl w:val="0"/>
                <w:numId w:val="9"/>
              </w:numPr>
              <w:shd w:val="clear" w:color="auto" w:fill="FFFFFF"/>
              <w:rPr>
                <w:rFonts w:asciiTheme="minorHAnsi" w:hAnsiTheme="minorHAnsi" w:cstheme="minorHAnsi"/>
                <w:color w:val="111111"/>
                <w:spacing w:val="1"/>
                <w:sz w:val="22"/>
                <w:szCs w:val="22"/>
              </w:rPr>
            </w:pPr>
            <w:r w:rsidRPr="000644E1">
              <w:rPr>
                <w:rFonts w:asciiTheme="minorHAnsi" w:hAnsiTheme="minorHAnsi" w:cstheme="minorHAnsi"/>
                <w:color w:val="111111"/>
                <w:spacing w:val="1"/>
                <w:sz w:val="22"/>
                <w:szCs w:val="22"/>
              </w:rPr>
              <w:t>Fixed payments can be inflexible in financial hardship</w:t>
            </w:r>
          </w:p>
        </w:tc>
      </w:tr>
    </w:tbl>
    <w:p w:rsidR="0089198B" w:rsidRPr="0089198B" w:rsidRDefault="0089198B" w:rsidP="0089198B"/>
    <w:p w:rsidR="007B62D5" w:rsidRDefault="007B62D5" w:rsidP="00667899"/>
    <w:p w:rsidR="00DF16FE" w:rsidRDefault="00DF16FE" w:rsidP="00667899"/>
    <w:p w:rsidR="00DF16FE" w:rsidRDefault="00DF16FE" w:rsidP="00667899"/>
    <w:p w:rsidR="00DF16FE" w:rsidRDefault="00DF16FE" w:rsidP="00667899"/>
    <w:p w:rsidR="00DF16FE" w:rsidRDefault="00DF16FE" w:rsidP="00667899"/>
    <w:p w:rsidR="00DF16FE" w:rsidRDefault="00DF16FE" w:rsidP="00667899"/>
    <w:p w:rsidR="00DF16FE" w:rsidRDefault="00DF16FE" w:rsidP="00667899"/>
    <w:tbl>
      <w:tblPr>
        <w:tblStyle w:val="TableGrid"/>
        <w:tblpPr w:leftFromText="180" w:rightFromText="180" w:vertAnchor="text" w:horzAnchor="margin" w:tblpY="587"/>
        <w:tblW w:w="9880" w:type="dxa"/>
        <w:tblLook w:val="04A0" w:firstRow="1" w:lastRow="0" w:firstColumn="1" w:lastColumn="0" w:noHBand="0" w:noVBand="1"/>
      </w:tblPr>
      <w:tblGrid>
        <w:gridCol w:w="1548"/>
        <w:gridCol w:w="2610"/>
        <w:gridCol w:w="1530"/>
        <w:gridCol w:w="1980"/>
        <w:gridCol w:w="2212"/>
      </w:tblGrid>
      <w:tr w:rsidR="00DF16FE" w:rsidTr="00DF16FE">
        <w:trPr>
          <w:trHeight w:val="565"/>
        </w:trPr>
        <w:tc>
          <w:tcPr>
            <w:tcW w:w="1548" w:type="dxa"/>
            <w:vAlign w:val="center"/>
          </w:tcPr>
          <w:p w:rsidR="00DF16FE" w:rsidRPr="005973F1" w:rsidRDefault="00DF16FE" w:rsidP="00DF16FE">
            <w:pPr>
              <w:jc w:val="center"/>
              <w:rPr>
                <w:b/>
              </w:rPr>
            </w:pPr>
            <w:r w:rsidRPr="005973F1">
              <w:rPr>
                <w:b/>
              </w:rPr>
              <w:lastRenderedPageBreak/>
              <w:t>Company</w:t>
            </w:r>
          </w:p>
        </w:tc>
        <w:tc>
          <w:tcPr>
            <w:tcW w:w="2610" w:type="dxa"/>
            <w:vAlign w:val="center"/>
          </w:tcPr>
          <w:p w:rsidR="00DF16FE" w:rsidRPr="005973F1" w:rsidRDefault="00DF16FE" w:rsidP="00DF16FE">
            <w:pPr>
              <w:jc w:val="center"/>
              <w:rPr>
                <w:b/>
              </w:rPr>
            </w:pPr>
            <w:r w:rsidRPr="005973F1">
              <w:rPr>
                <w:b/>
              </w:rPr>
              <w:t>Best For</w:t>
            </w:r>
          </w:p>
        </w:tc>
        <w:tc>
          <w:tcPr>
            <w:tcW w:w="1530" w:type="dxa"/>
            <w:vAlign w:val="center"/>
          </w:tcPr>
          <w:p w:rsidR="00DF16FE" w:rsidRPr="005973F1" w:rsidRDefault="00DF16FE" w:rsidP="00DF16FE">
            <w:pPr>
              <w:jc w:val="center"/>
              <w:rPr>
                <w:b/>
              </w:rPr>
            </w:pPr>
            <w:r w:rsidRPr="005973F1">
              <w:rPr>
                <w:b/>
              </w:rPr>
              <w:t>Minimum Credit Score</w:t>
            </w:r>
          </w:p>
        </w:tc>
        <w:tc>
          <w:tcPr>
            <w:tcW w:w="1980" w:type="dxa"/>
            <w:vAlign w:val="center"/>
          </w:tcPr>
          <w:p w:rsidR="00DF16FE" w:rsidRPr="005973F1" w:rsidRDefault="00DF16FE" w:rsidP="00DF16FE">
            <w:pPr>
              <w:jc w:val="center"/>
              <w:rPr>
                <w:b/>
              </w:rPr>
            </w:pPr>
            <w:r w:rsidRPr="005973F1">
              <w:rPr>
                <w:b/>
              </w:rPr>
              <w:t>Current APR Range</w:t>
            </w:r>
          </w:p>
        </w:tc>
        <w:tc>
          <w:tcPr>
            <w:tcW w:w="2212" w:type="dxa"/>
            <w:vAlign w:val="center"/>
          </w:tcPr>
          <w:p w:rsidR="00DF16FE" w:rsidRPr="005973F1" w:rsidRDefault="00DF16FE" w:rsidP="00DF16FE">
            <w:pPr>
              <w:jc w:val="center"/>
              <w:rPr>
                <w:b/>
              </w:rPr>
            </w:pPr>
            <w:r w:rsidRPr="005973F1">
              <w:rPr>
                <w:b/>
              </w:rPr>
              <w:t>Loan Amount</w:t>
            </w:r>
          </w:p>
        </w:tc>
      </w:tr>
      <w:tr w:rsidR="00DF16FE" w:rsidTr="00DF16FE">
        <w:trPr>
          <w:trHeight w:val="565"/>
        </w:trPr>
        <w:tc>
          <w:tcPr>
            <w:tcW w:w="1548" w:type="dxa"/>
            <w:vAlign w:val="center"/>
          </w:tcPr>
          <w:p w:rsidR="00DF16FE" w:rsidRDefault="00DF16FE" w:rsidP="00DF16FE">
            <w:pPr>
              <w:jc w:val="center"/>
            </w:pPr>
            <w:proofErr w:type="spellStart"/>
            <w:r>
              <w:t>SoFi</w:t>
            </w:r>
            <w:proofErr w:type="spellEnd"/>
          </w:p>
        </w:tc>
        <w:tc>
          <w:tcPr>
            <w:tcW w:w="2610" w:type="dxa"/>
            <w:vAlign w:val="center"/>
          </w:tcPr>
          <w:p w:rsidR="00DF16FE" w:rsidRDefault="00DF16FE" w:rsidP="00DF16FE">
            <w:pPr>
              <w:jc w:val="center"/>
            </w:pPr>
            <w:r w:rsidRPr="00407725">
              <w:t>Good to Excellent Credit</w:t>
            </w:r>
          </w:p>
        </w:tc>
        <w:tc>
          <w:tcPr>
            <w:tcW w:w="1530" w:type="dxa"/>
            <w:vAlign w:val="center"/>
          </w:tcPr>
          <w:p w:rsidR="00DF16FE" w:rsidRDefault="00DF16FE" w:rsidP="00DF16FE">
            <w:pPr>
              <w:jc w:val="center"/>
            </w:pPr>
            <w:r>
              <w:t>650</w:t>
            </w:r>
          </w:p>
        </w:tc>
        <w:tc>
          <w:tcPr>
            <w:tcW w:w="1980" w:type="dxa"/>
            <w:vAlign w:val="center"/>
          </w:tcPr>
          <w:p w:rsidR="00DF16FE" w:rsidRDefault="00DF16FE" w:rsidP="00DF16FE">
            <w:pPr>
              <w:jc w:val="center"/>
            </w:pPr>
            <w:r w:rsidRPr="00407725">
              <w:t>8.99% to 29.99%</w:t>
            </w:r>
          </w:p>
        </w:tc>
        <w:tc>
          <w:tcPr>
            <w:tcW w:w="2212" w:type="dxa"/>
            <w:vAlign w:val="center"/>
          </w:tcPr>
          <w:p w:rsidR="00DF16FE" w:rsidRDefault="00DF16FE" w:rsidP="00DF16FE">
            <w:pPr>
              <w:jc w:val="center"/>
            </w:pPr>
            <w:r>
              <w:rPr>
                <w:shd w:val="clear" w:color="auto" w:fill="F4F6FC"/>
              </w:rPr>
              <w:t>$5,000 to $100,000</w:t>
            </w:r>
          </w:p>
        </w:tc>
      </w:tr>
      <w:tr w:rsidR="00DF16FE" w:rsidTr="00DF16FE">
        <w:trPr>
          <w:trHeight w:val="265"/>
        </w:trPr>
        <w:tc>
          <w:tcPr>
            <w:tcW w:w="1548" w:type="dxa"/>
            <w:vAlign w:val="center"/>
          </w:tcPr>
          <w:p w:rsidR="00DF16FE" w:rsidRDefault="00DF16FE" w:rsidP="00DF16FE">
            <w:pPr>
              <w:jc w:val="center"/>
            </w:pPr>
            <w:r>
              <w:t>Upgrade</w:t>
            </w:r>
          </w:p>
        </w:tc>
        <w:tc>
          <w:tcPr>
            <w:tcW w:w="2610" w:type="dxa"/>
            <w:vAlign w:val="center"/>
          </w:tcPr>
          <w:p w:rsidR="00DF16FE" w:rsidRDefault="00DF16FE" w:rsidP="00DF16FE">
            <w:pPr>
              <w:jc w:val="center"/>
            </w:pPr>
            <w:r w:rsidRPr="00407725">
              <w:t>Bad Credit</w:t>
            </w:r>
          </w:p>
        </w:tc>
        <w:tc>
          <w:tcPr>
            <w:tcW w:w="1530" w:type="dxa"/>
            <w:vAlign w:val="center"/>
          </w:tcPr>
          <w:p w:rsidR="00DF16FE" w:rsidRDefault="00DF16FE" w:rsidP="00DF16FE">
            <w:pPr>
              <w:jc w:val="center"/>
            </w:pPr>
            <w:r>
              <w:t>580</w:t>
            </w:r>
          </w:p>
        </w:tc>
        <w:tc>
          <w:tcPr>
            <w:tcW w:w="1980" w:type="dxa"/>
            <w:vAlign w:val="center"/>
          </w:tcPr>
          <w:p w:rsidR="00DF16FE" w:rsidRDefault="00DF16FE" w:rsidP="00DF16FE">
            <w:pPr>
              <w:jc w:val="center"/>
            </w:pPr>
            <w:r w:rsidRPr="00407725">
              <w:t>8.49% to 35.99%</w:t>
            </w:r>
          </w:p>
        </w:tc>
        <w:tc>
          <w:tcPr>
            <w:tcW w:w="2212" w:type="dxa"/>
            <w:vAlign w:val="center"/>
          </w:tcPr>
          <w:p w:rsidR="00DF16FE" w:rsidRPr="00407725" w:rsidRDefault="00DF16FE" w:rsidP="00DF16FE">
            <w:pPr>
              <w:jc w:val="center"/>
            </w:pPr>
            <w:r w:rsidRPr="00407725">
              <w:t>$1,000 to $50,000</w:t>
            </w:r>
          </w:p>
        </w:tc>
      </w:tr>
      <w:tr w:rsidR="00DF16FE" w:rsidTr="00DF16FE">
        <w:trPr>
          <w:trHeight w:val="565"/>
        </w:trPr>
        <w:tc>
          <w:tcPr>
            <w:tcW w:w="1548" w:type="dxa"/>
            <w:vAlign w:val="center"/>
          </w:tcPr>
          <w:p w:rsidR="00DF16FE" w:rsidRDefault="00DF16FE" w:rsidP="00DF16FE">
            <w:pPr>
              <w:jc w:val="center"/>
            </w:pPr>
            <w:proofErr w:type="spellStart"/>
            <w:r>
              <w:t>LightStream</w:t>
            </w:r>
            <w:proofErr w:type="spellEnd"/>
          </w:p>
        </w:tc>
        <w:tc>
          <w:tcPr>
            <w:tcW w:w="2610" w:type="dxa"/>
            <w:vAlign w:val="center"/>
          </w:tcPr>
          <w:p w:rsidR="00DF16FE" w:rsidRDefault="00DF16FE" w:rsidP="00DF16FE">
            <w:pPr>
              <w:jc w:val="center"/>
            </w:pPr>
            <w:r>
              <w:t>Low Interest Rates</w:t>
            </w:r>
          </w:p>
        </w:tc>
        <w:tc>
          <w:tcPr>
            <w:tcW w:w="1530" w:type="dxa"/>
            <w:vAlign w:val="center"/>
          </w:tcPr>
          <w:p w:rsidR="00DF16FE" w:rsidRDefault="00DF16FE" w:rsidP="00DF16FE">
            <w:pPr>
              <w:jc w:val="center"/>
            </w:pPr>
            <w:r>
              <w:t>660</w:t>
            </w:r>
          </w:p>
        </w:tc>
        <w:tc>
          <w:tcPr>
            <w:tcW w:w="1980" w:type="dxa"/>
            <w:vAlign w:val="center"/>
          </w:tcPr>
          <w:p w:rsidR="00DF16FE" w:rsidRDefault="00DF16FE" w:rsidP="00DF16FE">
            <w:pPr>
              <w:jc w:val="center"/>
            </w:pPr>
            <w:r w:rsidRPr="00407725">
              <w:t>6.99% to 25.49%</w:t>
            </w:r>
          </w:p>
        </w:tc>
        <w:tc>
          <w:tcPr>
            <w:tcW w:w="2212" w:type="dxa"/>
            <w:vAlign w:val="center"/>
          </w:tcPr>
          <w:p w:rsidR="00DF16FE" w:rsidRDefault="00DF16FE" w:rsidP="00DF16FE">
            <w:pPr>
              <w:jc w:val="center"/>
            </w:pPr>
            <w:r w:rsidRPr="00407725">
              <w:t>$5,000 to $100,000</w:t>
            </w:r>
          </w:p>
        </w:tc>
      </w:tr>
      <w:tr w:rsidR="00DF16FE" w:rsidTr="00DF16FE">
        <w:trPr>
          <w:trHeight w:val="565"/>
        </w:trPr>
        <w:tc>
          <w:tcPr>
            <w:tcW w:w="1548" w:type="dxa"/>
            <w:vAlign w:val="center"/>
          </w:tcPr>
          <w:p w:rsidR="00DF16FE" w:rsidRDefault="00DF16FE" w:rsidP="00DF16FE">
            <w:pPr>
              <w:jc w:val="center"/>
            </w:pPr>
            <w:proofErr w:type="spellStart"/>
            <w:r>
              <w:t>PenFed</w:t>
            </w:r>
            <w:proofErr w:type="spellEnd"/>
          </w:p>
        </w:tc>
        <w:tc>
          <w:tcPr>
            <w:tcW w:w="2610" w:type="dxa"/>
            <w:vAlign w:val="center"/>
          </w:tcPr>
          <w:p w:rsidR="00DF16FE" w:rsidRDefault="00DF16FE" w:rsidP="00DF16FE">
            <w:pPr>
              <w:jc w:val="center"/>
            </w:pPr>
            <w:r>
              <w:t>Credit Union Financing</w:t>
            </w:r>
          </w:p>
        </w:tc>
        <w:tc>
          <w:tcPr>
            <w:tcW w:w="1530" w:type="dxa"/>
            <w:vAlign w:val="center"/>
          </w:tcPr>
          <w:p w:rsidR="00DF16FE" w:rsidRDefault="00DF16FE" w:rsidP="00DF16FE">
            <w:pPr>
              <w:jc w:val="center"/>
            </w:pPr>
            <w:r>
              <w:t>Does Not Disclose</w:t>
            </w:r>
          </w:p>
        </w:tc>
        <w:tc>
          <w:tcPr>
            <w:tcW w:w="1980" w:type="dxa"/>
            <w:vAlign w:val="center"/>
          </w:tcPr>
          <w:p w:rsidR="00DF16FE" w:rsidRDefault="00DF16FE" w:rsidP="00DF16FE">
            <w:pPr>
              <w:jc w:val="center"/>
            </w:pPr>
            <w:r w:rsidRPr="00407725">
              <w:t>7.99% to 17.99%</w:t>
            </w:r>
          </w:p>
        </w:tc>
        <w:tc>
          <w:tcPr>
            <w:tcW w:w="2212" w:type="dxa"/>
            <w:vAlign w:val="center"/>
          </w:tcPr>
          <w:p w:rsidR="00DF16FE" w:rsidRDefault="00DF16FE" w:rsidP="00DF16FE">
            <w:pPr>
              <w:jc w:val="center"/>
            </w:pPr>
            <w:r w:rsidRPr="00407725">
              <w:t>$600 to $50,000</w:t>
            </w:r>
          </w:p>
        </w:tc>
      </w:tr>
      <w:tr w:rsidR="00DF16FE" w:rsidTr="00DF16FE">
        <w:trPr>
          <w:trHeight w:val="547"/>
        </w:trPr>
        <w:tc>
          <w:tcPr>
            <w:tcW w:w="1548" w:type="dxa"/>
            <w:vAlign w:val="center"/>
          </w:tcPr>
          <w:p w:rsidR="00DF16FE" w:rsidRDefault="00DF16FE" w:rsidP="00DF16FE">
            <w:pPr>
              <w:jc w:val="center"/>
            </w:pPr>
            <w:r>
              <w:t>Happy Money</w:t>
            </w:r>
          </w:p>
        </w:tc>
        <w:tc>
          <w:tcPr>
            <w:tcW w:w="2610" w:type="dxa"/>
            <w:vAlign w:val="center"/>
          </w:tcPr>
          <w:p w:rsidR="00DF16FE" w:rsidRDefault="00DF16FE" w:rsidP="00DF16FE">
            <w:pPr>
              <w:jc w:val="center"/>
            </w:pPr>
            <w:r>
              <w:t>Credit Card Debt Consolidation</w:t>
            </w:r>
          </w:p>
        </w:tc>
        <w:tc>
          <w:tcPr>
            <w:tcW w:w="1530" w:type="dxa"/>
            <w:vAlign w:val="center"/>
          </w:tcPr>
          <w:p w:rsidR="00DF16FE" w:rsidRDefault="00DF16FE" w:rsidP="00DF16FE">
            <w:pPr>
              <w:jc w:val="center"/>
            </w:pPr>
            <w:r>
              <w:t>640</w:t>
            </w:r>
          </w:p>
        </w:tc>
        <w:tc>
          <w:tcPr>
            <w:tcW w:w="1980" w:type="dxa"/>
            <w:vAlign w:val="center"/>
          </w:tcPr>
          <w:p w:rsidR="00DF16FE" w:rsidRDefault="00DF16FE" w:rsidP="00DF16FE">
            <w:pPr>
              <w:jc w:val="center"/>
            </w:pPr>
            <w:r w:rsidRPr="00407725">
              <w:t>11.72% to 17.99%</w:t>
            </w:r>
          </w:p>
        </w:tc>
        <w:tc>
          <w:tcPr>
            <w:tcW w:w="2212" w:type="dxa"/>
            <w:vAlign w:val="center"/>
          </w:tcPr>
          <w:p w:rsidR="00DF16FE" w:rsidRDefault="00DF16FE" w:rsidP="00DF16FE">
            <w:pPr>
              <w:jc w:val="center"/>
            </w:pPr>
            <w:r w:rsidRPr="00407725">
              <w:t>$5,000 to $40,000</w:t>
            </w:r>
          </w:p>
        </w:tc>
      </w:tr>
      <w:tr w:rsidR="00DF16FE" w:rsidTr="00DF16FE">
        <w:trPr>
          <w:trHeight w:val="1428"/>
        </w:trPr>
        <w:tc>
          <w:tcPr>
            <w:tcW w:w="1548" w:type="dxa"/>
            <w:vAlign w:val="center"/>
          </w:tcPr>
          <w:p w:rsidR="00DF16FE" w:rsidRDefault="00DF16FE" w:rsidP="00DF16FE">
            <w:pPr>
              <w:jc w:val="center"/>
            </w:pPr>
            <w:r>
              <w:t>U.S. Bank</w:t>
            </w:r>
          </w:p>
        </w:tc>
        <w:tc>
          <w:tcPr>
            <w:tcW w:w="2610" w:type="dxa"/>
            <w:vAlign w:val="center"/>
          </w:tcPr>
          <w:p w:rsidR="00DF16FE" w:rsidRDefault="00DF16FE" w:rsidP="00DF16FE">
            <w:pPr>
              <w:jc w:val="center"/>
            </w:pPr>
            <w:r>
              <w:t>Traditional Banking</w:t>
            </w:r>
          </w:p>
        </w:tc>
        <w:tc>
          <w:tcPr>
            <w:tcW w:w="1530" w:type="dxa"/>
            <w:vAlign w:val="center"/>
          </w:tcPr>
          <w:p w:rsidR="00DF16FE" w:rsidRDefault="00DF16FE" w:rsidP="00DF16FE">
            <w:pPr>
              <w:jc w:val="center"/>
            </w:pPr>
            <w:r>
              <w:t>Does Not Disclose</w:t>
            </w:r>
          </w:p>
        </w:tc>
        <w:tc>
          <w:tcPr>
            <w:tcW w:w="1980" w:type="dxa"/>
            <w:vAlign w:val="center"/>
          </w:tcPr>
          <w:p w:rsidR="00DF16FE" w:rsidRDefault="00DF16FE" w:rsidP="00DF16FE">
            <w:pPr>
              <w:jc w:val="center"/>
            </w:pPr>
            <w:r w:rsidRPr="00407725">
              <w:t>8.74% to 24.99%</w:t>
            </w:r>
          </w:p>
        </w:tc>
        <w:tc>
          <w:tcPr>
            <w:tcW w:w="2212" w:type="dxa"/>
            <w:vAlign w:val="center"/>
          </w:tcPr>
          <w:p w:rsidR="00DF16FE" w:rsidRDefault="00DF16FE" w:rsidP="00DF16FE">
            <w:pPr>
              <w:jc w:val="center"/>
            </w:pPr>
            <w:r w:rsidRPr="00407725">
              <w:t>$1,000 to 50,000 to existing U.S. Bank customers (up to $25,000 for noncustomers)</w:t>
            </w:r>
          </w:p>
        </w:tc>
      </w:tr>
    </w:tbl>
    <w:p w:rsidR="00DF16FE" w:rsidRPr="00DF16FE" w:rsidRDefault="00DF16FE" w:rsidP="00667899">
      <w:pPr>
        <w:rPr>
          <w:b/>
        </w:rPr>
      </w:pPr>
      <w:r w:rsidRPr="00DF16FE">
        <w:rPr>
          <w:b/>
        </w:rPr>
        <w:t xml:space="preserve"> </w:t>
      </w:r>
      <w:r>
        <w:rPr>
          <w:b/>
        </w:rPr>
        <w:t>Best Personal Loans o</w:t>
      </w:r>
      <w:r w:rsidRPr="00DF16FE">
        <w:rPr>
          <w:b/>
        </w:rPr>
        <w:t>f June 2024 by Forbes:</w:t>
      </w:r>
    </w:p>
    <w:p w:rsidR="00DF16FE" w:rsidRDefault="00DF16FE" w:rsidP="00667899"/>
    <w:p w:rsidR="00DF16FE" w:rsidRDefault="00DF16FE" w:rsidP="00DF16FE">
      <w:pPr>
        <w:pStyle w:val="Title"/>
        <w:jc w:val="right"/>
      </w:pPr>
    </w:p>
    <w:p w:rsidR="00DF16FE" w:rsidRDefault="00DF16FE" w:rsidP="00DF16FE">
      <w:pPr>
        <w:pStyle w:val="Title"/>
        <w:jc w:val="right"/>
      </w:pPr>
    </w:p>
    <w:p w:rsidR="00DF16FE" w:rsidRDefault="00DF16FE" w:rsidP="00DF16FE">
      <w:pPr>
        <w:pStyle w:val="Title"/>
        <w:jc w:val="right"/>
      </w:pPr>
    </w:p>
    <w:p w:rsidR="00DF16FE" w:rsidRDefault="00DF16FE" w:rsidP="00DF16FE">
      <w:pPr>
        <w:pStyle w:val="Title"/>
        <w:jc w:val="right"/>
      </w:pPr>
    </w:p>
    <w:p w:rsidR="00DF16FE" w:rsidRDefault="00DF16FE" w:rsidP="00DF16FE">
      <w:pPr>
        <w:pStyle w:val="Title"/>
        <w:jc w:val="right"/>
      </w:pPr>
    </w:p>
    <w:p w:rsidR="00DF16FE" w:rsidRDefault="00DF16FE" w:rsidP="00DF16FE">
      <w:pPr>
        <w:pStyle w:val="Title"/>
        <w:jc w:val="right"/>
      </w:pPr>
    </w:p>
    <w:p w:rsidR="00DF16FE" w:rsidRDefault="00DF16FE" w:rsidP="00DF16FE">
      <w:pPr>
        <w:pStyle w:val="Title"/>
        <w:jc w:val="right"/>
      </w:pPr>
    </w:p>
    <w:p w:rsidR="00DF16FE" w:rsidRDefault="00DF16FE" w:rsidP="00DF16FE">
      <w:pPr>
        <w:pStyle w:val="Title"/>
        <w:jc w:val="right"/>
      </w:pPr>
    </w:p>
    <w:p w:rsidR="00DF16FE" w:rsidRDefault="00DF16FE" w:rsidP="00DF16FE">
      <w:pPr>
        <w:pStyle w:val="Title"/>
        <w:jc w:val="right"/>
      </w:pPr>
    </w:p>
    <w:p w:rsidR="00DF16FE" w:rsidRDefault="00DF16FE" w:rsidP="00DF16FE">
      <w:pPr>
        <w:pStyle w:val="Title"/>
        <w:jc w:val="right"/>
      </w:pPr>
    </w:p>
    <w:p w:rsidR="00407725" w:rsidRPr="00667899" w:rsidRDefault="00DF16FE" w:rsidP="00DF16FE">
      <w:pPr>
        <w:pStyle w:val="Title"/>
        <w:jc w:val="right"/>
      </w:pPr>
      <w:r>
        <w:t>Thank You</w:t>
      </w:r>
    </w:p>
    <w:sectPr w:rsidR="00407725" w:rsidRPr="0066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09"/>
    <w:multiLevelType w:val="multilevel"/>
    <w:tmpl w:val="DF3A69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B0169"/>
    <w:multiLevelType w:val="multilevel"/>
    <w:tmpl w:val="AA9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26ABB"/>
    <w:multiLevelType w:val="hybridMultilevel"/>
    <w:tmpl w:val="B6460B86"/>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C7206"/>
    <w:multiLevelType w:val="hybridMultilevel"/>
    <w:tmpl w:val="34842D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32373F"/>
    <w:multiLevelType w:val="hybridMultilevel"/>
    <w:tmpl w:val="CB644D8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744411"/>
    <w:multiLevelType w:val="multilevel"/>
    <w:tmpl w:val="24F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7A3745"/>
    <w:multiLevelType w:val="multilevel"/>
    <w:tmpl w:val="27181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AF36CF"/>
    <w:multiLevelType w:val="multilevel"/>
    <w:tmpl w:val="DB107C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107B69E4"/>
    <w:multiLevelType w:val="hybridMultilevel"/>
    <w:tmpl w:val="5B4CD062"/>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660292"/>
    <w:multiLevelType w:val="multilevel"/>
    <w:tmpl w:val="8788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D901B9"/>
    <w:multiLevelType w:val="multilevel"/>
    <w:tmpl w:val="9B8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0222BB"/>
    <w:multiLevelType w:val="multilevel"/>
    <w:tmpl w:val="5C3A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7E1D9E"/>
    <w:multiLevelType w:val="hybridMultilevel"/>
    <w:tmpl w:val="F45C1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E00462"/>
    <w:multiLevelType w:val="multilevel"/>
    <w:tmpl w:val="B464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7B4DAB"/>
    <w:multiLevelType w:val="hybridMultilevel"/>
    <w:tmpl w:val="B56A40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ECA29DA"/>
    <w:multiLevelType w:val="multilevel"/>
    <w:tmpl w:val="838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A17CB0"/>
    <w:multiLevelType w:val="hybridMultilevel"/>
    <w:tmpl w:val="86C4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B2172"/>
    <w:multiLevelType w:val="multilevel"/>
    <w:tmpl w:val="5C3A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827A6C"/>
    <w:multiLevelType w:val="multilevel"/>
    <w:tmpl w:val="94DC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5B155C"/>
    <w:multiLevelType w:val="multilevel"/>
    <w:tmpl w:val="2ED6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A8286B"/>
    <w:multiLevelType w:val="multilevel"/>
    <w:tmpl w:val="8EE8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724018"/>
    <w:multiLevelType w:val="hybridMultilevel"/>
    <w:tmpl w:val="3882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8D57E9"/>
    <w:multiLevelType w:val="multilevel"/>
    <w:tmpl w:val="94E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110F00"/>
    <w:multiLevelType w:val="hybridMultilevel"/>
    <w:tmpl w:val="2962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487568"/>
    <w:multiLevelType w:val="multilevel"/>
    <w:tmpl w:val="FEB890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B74BC8"/>
    <w:multiLevelType w:val="multilevel"/>
    <w:tmpl w:val="DF3A69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D12DF8"/>
    <w:multiLevelType w:val="multilevel"/>
    <w:tmpl w:val="701417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55E02874"/>
    <w:multiLevelType w:val="multilevel"/>
    <w:tmpl w:val="3A24D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764B97"/>
    <w:multiLevelType w:val="multilevel"/>
    <w:tmpl w:val="5C3A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8E2B90"/>
    <w:multiLevelType w:val="hybridMultilevel"/>
    <w:tmpl w:val="C18A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9A3DEE"/>
    <w:multiLevelType w:val="multilevel"/>
    <w:tmpl w:val="1E6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783513"/>
    <w:multiLevelType w:val="multilevel"/>
    <w:tmpl w:val="F7AE8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CF0071"/>
    <w:multiLevelType w:val="hybridMultilevel"/>
    <w:tmpl w:val="3778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3725D8"/>
    <w:multiLevelType w:val="hybridMultilevel"/>
    <w:tmpl w:val="4D16A60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F040D34"/>
    <w:multiLevelType w:val="multilevel"/>
    <w:tmpl w:val="75B2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1"/>
  </w:num>
  <w:num w:numId="3">
    <w:abstractNumId w:val="21"/>
  </w:num>
  <w:num w:numId="4">
    <w:abstractNumId w:val="4"/>
  </w:num>
  <w:num w:numId="5">
    <w:abstractNumId w:val="26"/>
  </w:num>
  <w:num w:numId="6">
    <w:abstractNumId w:val="30"/>
  </w:num>
  <w:num w:numId="7">
    <w:abstractNumId w:val="1"/>
  </w:num>
  <w:num w:numId="8">
    <w:abstractNumId w:val="15"/>
  </w:num>
  <w:num w:numId="9">
    <w:abstractNumId w:val="22"/>
  </w:num>
  <w:num w:numId="10">
    <w:abstractNumId w:val="29"/>
  </w:num>
  <w:num w:numId="11">
    <w:abstractNumId w:val="24"/>
  </w:num>
  <w:num w:numId="12">
    <w:abstractNumId w:val="33"/>
  </w:num>
  <w:num w:numId="13">
    <w:abstractNumId w:val="3"/>
  </w:num>
  <w:num w:numId="14">
    <w:abstractNumId w:val="2"/>
  </w:num>
  <w:num w:numId="15">
    <w:abstractNumId w:val="12"/>
  </w:num>
  <w:num w:numId="16">
    <w:abstractNumId w:val="8"/>
  </w:num>
  <w:num w:numId="17">
    <w:abstractNumId w:val="14"/>
  </w:num>
  <w:num w:numId="18">
    <w:abstractNumId w:val="13"/>
  </w:num>
  <w:num w:numId="19">
    <w:abstractNumId w:val="18"/>
  </w:num>
  <w:num w:numId="20">
    <w:abstractNumId w:val="27"/>
  </w:num>
  <w:num w:numId="21">
    <w:abstractNumId w:val="6"/>
  </w:num>
  <w:num w:numId="22">
    <w:abstractNumId w:val="5"/>
  </w:num>
  <w:num w:numId="23">
    <w:abstractNumId w:val="10"/>
  </w:num>
  <w:num w:numId="24">
    <w:abstractNumId w:val="23"/>
  </w:num>
  <w:num w:numId="25">
    <w:abstractNumId w:val="32"/>
  </w:num>
  <w:num w:numId="26">
    <w:abstractNumId w:val="16"/>
  </w:num>
  <w:num w:numId="27">
    <w:abstractNumId w:val="20"/>
  </w:num>
  <w:num w:numId="28">
    <w:abstractNumId w:val="25"/>
  </w:num>
  <w:num w:numId="29">
    <w:abstractNumId w:val="0"/>
  </w:num>
  <w:num w:numId="30">
    <w:abstractNumId w:val="28"/>
  </w:num>
  <w:num w:numId="31">
    <w:abstractNumId w:val="34"/>
  </w:num>
  <w:num w:numId="32">
    <w:abstractNumId w:val="9"/>
  </w:num>
  <w:num w:numId="33">
    <w:abstractNumId w:val="19"/>
  </w:num>
  <w:num w:numId="34">
    <w:abstractNumId w:val="17"/>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B06"/>
    <w:rsid w:val="00013F1C"/>
    <w:rsid w:val="000644E1"/>
    <w:rsid w:val="000834E8"/>
    <w:rsid w:val="000F46A0"/>
    <w:rsid w:val="001074E8"/>
    <w:rsid w:val="001F0603"/>
    <w:rsid w:val="00357403"/>
    <w:rsid w:val="00407725"/>
    <w:rsid w:val="00491D71"/>
    <w:rsid w:val="00566EF0"/>
    <w:rsid w:val="005973F1"/>
    <w:rsid w:val="005B2C15"/>
    <w:rsid w:val="006611F4"/>
    <w:rsid w:val="00667899"/>
    <w:rsid w:val="0068543F"/>
    <w:rsid w:val="006C1F7B"/>
    <w:rsid w:val="007B62D5"/>
    <w:rsid w:val="008418B4"/>
    <w:rsid w:val="0089198B"/>
    <w:rsid w:val="0096684E"/>
    <w:rsid w:val="009B1FF8"/>
    <w:rsid w:val="00A1493F"/>
    <w:rsid w:val="00A154F3"/>
    <w:rsid w:val="00A73D39"/>
    <w:rsid w:val="00A80812"/>
    <w:rsid w:val="00CC22A9"/>
    <w:rsid w:val="00D926A6"/>
    <w:rsid w:val="00DD6685"/>
    <w:rsid w:val="00DF16FE"/>
    <w:rsid w:val="00E87B06"/>
    <w:rsid w:val="00FE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9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B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F46A0"/>
    <w:pPr>
      <w:ind w:left="720"/>
      <w:contextualSpacing/>
    </w:pPr>
  </w:style>
  <w:style w:type="paragraph" w:styleId="BalloonText">
    <w:name w:val="Balloon Text"/>
    <w:basedOn w:val="Normal"/>
    <w:link w:val="BalloonTextChar"/>
    <w:uiPriority w:val="99"/>
    <w:semiHidden/>
    <w:unhideWhenUsed/>
    <w:rsid w:val="0008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E8"/>
    <w:rPr>
      <w:rFonts w:ascii="Tahoma" w:hAnsi="Tahoma" w:cs="Tahoma"/>
      <w:sz w:val="16"/>
      <w:szCs w:val="16"/>
    </w:rPr>
  </w:style>
  <w:style w:type="table" w:styleId="TableGrid">
    <w:name w:val="Table Grid"/>
    <w:basedOn w:val="TableNormal"/>
    <w:uiPriority w:val="59"/>
    <w:rsid w:val="00DD66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854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1F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9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F16FE"/>
    <w:pPr>
      <w:outlineLvl w:val="9"/>
    </w:pPr>
    <w:rPr>
      <w:lang w:eastAsia="ja-JP"/>
    </w:rPr>
  </w:style>
  <w:style w:type="paragraph" w:styleId="TOC1">
    <w:name w:val="toc 1"/>
    <w:basedOn w:val="Normal"/>
    <w:next w:val="Normal"/>
    <w:autoRedefine/>
    <w:uiPriority w:val="39"/>
    <w:unhideWhenUsed/>
    <w:rsid w:val="00DF16FE"/>
    <w:pPr>
      <w:spacing w:after="100"/>
    </w:pPr>
  </w:style>
  <w:style w:type="character" w:styleId="Hyperlink">
    <w:name w:val="Hyperlink"/>
    <w:basedOn w:val="DefaultParagraphFont"/>
    <w:uiPriority w:val="99"/>
    <w:unhideWhenUsed/>
    <w:rsid w:val="00DF16FE"/>
    <w:rPr>
      <w:color w:val="0000FF" w:themeColor="hyperlink"/>
      <w:u w:val="single"/>
    </w:rPr>
  </w:style>
  <w:style w:type="paragraph" w:styleId="Title">
    <w:name w:val="Title"/>
    <w:basedOn w:val="Normal"/>
    <w:next w:val="Normal"/>
    <w:link w:val="TitleChar"/>
    <w:uiPriority w:val="10"/>
    <w:qFormat/>
    <w:rsid w:val="00DF16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6F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9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B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F46A0"/>
    <w:pPr>
      <w:ind w:left="720"/>
      <w:contextualSpacing/>
    </w:pPr>
  </w:style>
  <w:style w:type="paragraph" w:styleId="BalloonText">
    <w:name w:val="Balloon Text"/>
    <w:basedOn w:val="Normal"/>
    <w:link w:val="BalloonTextChar"/>
    <w:uiPriority w:val="99"/>
    <w:semiHidden/>
    <w:unhideWhenUsed/>
    <w:rsid w:val="0008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E8"/>
    <w:rPr>
      <w:rFonts w:ascii="Tahoma" w:hAnsi="Tahoma" w:cs="Tahoma"/>
      <w:sz w:val="16"/>
      <w:szCs w:val="16"/>
    </w:rPr>
  </w:style>
  <w:style w:type="table" w:styleId="TableGrid">
    <w:name w:val="Table Grid"/>
    <w:basedOn w:val="TableNormal"/>
    <w:uiPriority w:val="59"/>
    <w:rsid w:val="00DD66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854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1F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9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F16FE"/>
    <w:pPr>
      <w:outlineLvl w:val="9"/>
    </w:pPr>
    <w:rPr>
      <w:lang w:eastAsia="ja-JP"/>
    </w:rPr>
  </w:style>
  <w:style w:type="paragraph" w:styleId="TOC1">
    <w:name w:val="toc 1"/>
    <w:basedOn w:val="Normal"/>
    <w:next w:val="Normal"/>
    <w:autoRedefine/>
    <w:uiPriority w:val="39"/>
    <w:unhideWhenUsed/>
    <w:rsid w:val="00DF16FE"/>
    <w:pPr>
      <w:spacing w:after="100"/>
    </w:pPr>
  </w:style>
  <w:style w:type="character" w:styleId="Hyperlink">
    <w:name w:val="Hyperlink"/>
    <w:basedOn w:val="DefaultParagraphFont"/>
    <w:uiPriority w:val="99"/>
    <w:unhideWhenUsed/>
    <w:rsid w:val="00DF16FE"/>
    <w:rPr>
      <w:color w:val="0000FF" w:themeColor="hyperlink"/>
      <w:u w:val="single"/>
    </w:rPr>
  </w:style>
  <w:style w:type="paragraph" w:styleId="Title">
    <w:name w:val="Title"/>
    <w:basedOn w:val="Normal"/>
    <w:next w:val="Normal"/>
    <w:link w:val="TitleChar"/>
    <w:uiPriority w:val="10"/>
    <w:qFormat/>
    <w:rsid w:val="00DF16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6F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3429">
      <w:bodyDiv w:val="1"/>
      <w:marLeft w:val="0"/>
      <w:marRight w:val="0"/>
      <w:marTop w:val="0"/>
      <w:marBottom w:val="0"/>
      <w:divBdr>
        <w:top w:val="none" w:sz="0" w:space="0" w:color="auto"/>
        <w:left w:val="none" w:sz="0" w:space="0" w:color="auto"/>
        <w:bottom w:val="none" w:sz="0" w:space="0" w:color="auto"/>
        <w:right w:val="none" w:sz="0" w:space="0" w:color="auto"/>
      </w:divBdr>
    </w:div>
    <w:div w:id="56586776">
      <w:bodyDiv w:val="1"/>
      <w:marLeft w:val="0"/>
      <w:marRight w:val="0"/>
      <w:marTop w:val="0"/>
      <w:marBottom w:val="0"/>
      <w:divBdr>
        <w:top w:val="none" w:sz="0" w:space="0" w:color="auto"/>
        <w:left w:val="none" w:sz="0" w:space="0" w:color="auto"/>
        <w:bottom w:val="none" w:sz="0" w:space="0" w:color="auto"/>
        <w:right w:val="none" w:sz="0" w:space="0" w:color="auto"/>
      </w:divBdr>
    </w:div>
    <w:div w:id="72747810">
      <w:bodyDiv w:val="1"/>
      <w:marLeft w:val="0"/>
      <w:marRight w:val="0"/>
      <w:marTop w:val="0"/>
      <w:marBottom w:val="0"/>
      <w:divBdr>
        <w:top w:val="none" w:sz="0" w:space="0" w:color="auto"/>
        <w:left w:val="none" w:sz="0" w:space="0" w:color="auto"/>
        <w:bottom w:val="none" w:sz="0" w:space="0" w:color="auto"/>
        <w:right w:val="none" w:sz="0" w:space="0" w:color="auto"/>
      </w:divBdr>
    </w:div>
    <w:div w:id="113907468">
      <w:bodyDiv w:val="1"/>
      <w:marLeft w:val="0"/>
      <w:marRight w:val="0"/>
      <w:marTop w:val="0"/>
      <w:marBottom w:val="0"/>
      <w:divBdr>
        <w:top w:val="none" w:sz="0" w:space="0" w:color="auto"/>
        <w:left w:val="none" w:sz="0" w:space="0" w:color="auto"/>
        <w:bottom w:val="none" w:sz="0" w:space="0" w:color="auto"/>
        <w:right w:val="none" w:sz="0" w:space="0" w:color="auto"/>
      </w:divBdr>
    </w:div>
    <w:div w:id="209656085">
      <w:bodyDiv w:val="1"/>
      <w:marLeft w:val="0"/>
      <w:marRight w:val="0"/>
      <w:marTop w:val="0"/>
      <w:marBottom w:val="0"/>
      <w:divBdr>
        <w:top w:val="none" w:sz="0" w:space="0" w:color="auto"/>
        <w:left w:val="none" w:sz="0" w:space="0" w:color="auto"/>
        <w:bottom w:val="none" w:sz="0" w:space="0" w:color="auto"/>
        <w:right w:val="none" w:sz="0" w:space="0" w:color="auto"/>
      </w:divBdr>
    </w:div>
    <w:div w:id="280042305">
      <w:bodyDiv w:val="1"/>
      <w:marLeft w:val="0"/>
      <w:marRight w:val="0"/>
      <w:marTop w:val="0"/>
      <w:marBottom w:val="0"/>
      <w:divBdr>
        <w:top w:val="none" w:sz="0" w:space="0" w:color="auto"/>
        <w:left w:val="none" w:sz="0" w:space="0" w:color="auto"/>
        <w:bottom w:val="none" w:sz="0" w:space="0" w:color="auto"/>
        <w:right w:val="none" w:sz="0" w:space="0" w:color="auto"/>
      </w:divBdr>
    </w:div>
    <w:div w:id="307440788">
      <w:bodyDiv w:val="1"/>
      <w:marLeft w:val="0"/>
      <w:marRight w:val="0"/>
      <w:marTop w:val="0"/>
      <w:marBottom w:val="0"/>
      <w:divBdr>
        <w:top w:val="none" w:sz="0" w:space="0" w:color="auto"/>
        <w:left w:val="none" w:sz="0" w:space="0" w:color="auto"/>
        <w:bottom w:val="none" w:sz="0" w:space="0" w:color="auto"/>
        <w:right w:val="none" w:sz="0" w:space="0" w:color="auto"/>
      </w:divBdr>
    </w:div>
    <w:div w:id="307789271">
      <w:bodyDiv w:val="1"/>
      <w:marLeft w:val="0"/>
      <w:marRight w:val="0"/>
      <w:marTop w:val="0"/>
      <w:marBottom w:val="0"/>
      <w:divBdr>
        <w:top w:val="none" w:sz="0" w:space="0" w:color="auto"/>
        <w:left w:val="none" w:sz="0" w:space="0" w:color="auto"/>
        <w:bottom w:val="none" w:sz="0" w:space="0" w:color="auto"/>
        <w:right w:val="none" w:sz="0" w:space="0" w:color="auto"/>
      </w:divBdr>
    </w:div>
    <w:div w:id="317029760">
      <w:bodyDiv w:val="1"/>
      <w:marLeft w:val="0"/>
      <w:marRight w:val="0"/>
      <w:marTop w:val="0"/>
      <w:marBottom w:val="0"/>
      <w:divBdr>
        <w:top w:val="none" w:sz="0" w:space="0" w:color="auto"/>
        <w:left w:val="none" w:sz="0" w:space="0" w:color="auto"/>
        <w:bottom w:val="none" w:sz="0" w:space="0" w:color="auto"/>
        <w:right w:val="none" w:sz="0" w:space="0" w:color="auto"/>
      </w:divBdr>
    </w:div>
    <w:div w:id="369692623">
      <w:bodyDiv w:val="1"/>
      <w:marLeft w:val="0"/>
      <w:marRight w:val="0"/>
      <w:marTop w:val="0"/>
      <w:marBottom w:val="0"/>
      <w:divBdr>
        <w:top w:val="none" w:sz="0" w:space="0" w:color="auto"/>
        <w:left w:val="none" w:sz="0" w:space="0" w:color="auto"/>
        <w:bottom w:val="none" w:sz="0" w:space="0" w:color="auto"/>
        <w:right w:val="none" w:sz="0" w:space="0" w:color="auto"/>
      </w:divBdr>
    </w:div>
    <w:div w:id="392697178">
      <w:bodyDiv w:val="1"/>
      <w:marLeft w:val="0"/>
      <w:marRight w:val="0"/>
      <w:marTop w:val="0"/>
      <w:marBottom w:val="0"/>
      <w:divBdr>
        <w:top w:val="none" w:sz="0" w:space="0" w:color="auto"/>
        <w:left w:val="none" w:sz="0" w:space="0" w:color="auto"/>
        <w:bottom w:val="none" w:sz="0" w:space="0" w:color="auto"/>
        <w:right w:val="none" w:sz="0" w:space="0" w:color="auto"/>
      </w:divBdr>
      <w:divsChild>
        <w:div w:id="909539067">
          <w:marLeft w:val="0"/>
          <w:marRight w:val="0"/>
          <w:marTop w:val="0"/>
          <w:marBottom w:val="0"/>
          <w:divBdr>
            <w:top w:val="none" w:sz="0" w:space="0" w:color="auto"/>
            <w:left w:val="none" w:sz="0" w:space="0" w:color="auto"/>
            <w:bottom w:val="none" w:sz="0" w:space="0" w:color="auto"/>
            <w:right w:val="none" w:sz="0" w:space="0" w:color="auto"/>
          </w:divBdr>
          <w:divsChild>
            <w:div w:id="338851536">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409428483">
      <w:bodyDiv w:val="1"/>
      <w:marLeft w:val="0"/>
      <w:marRight w:val="0"/>
      <w:marTop w:val="0"/>
      <w:marBottom w:val="0"/>
      <w:divBdr>
        <w:top w:val="none" w:sz="0" w:space="0" w:color="auto"/>
        <w:left w:val="none" w:sz="0" w:space="0" w:color="auto"/>
        <w:bottom w:val="none" w:sz="0" w:space="0" w:color="auto"/>
        <w:right w:val="none" w:sz="0" w:space="0" w:color="auto"/>
      </w:divBdr>
    </w:div>
    <w:div w:id="455104551">
      <w:bodyDiv w:val="1"/>
      <w:marLeft w:val="0"/>
      <w:marRight w:val="0"/>
      <w:marTop w:val="0"/>
      <w:marBottom w:val="0"/>
      <w:divBdr>
        <w:top w:val="none" w:sz="0" w:space="0" w:color="auto"/>
        <w:left w:val="none" w:sz="0" w:space="0" w:color="auto"/>
        <w:bottom w:val="none" w:sz="0" w:space="0" w:color="auto"/>
        <w:right w:val="none" w:sz="0" w:space="0" w:color="auto"/>
      </w:divBdr>
    </w:div>
    <w:div w:id="480082254">
      <w:bodyDiv w:val="1"/>
      <w:marLeft w:val="0"/>
      <w:marRight w:val="0"/>
      <w:marTop w:val="0"/>
      <w:marBottom w:val="0"/>
      <w:divBdr>
        <w:top w:val="none" w:sz="0" w:space="0" w:color="auto"/>
        <w:left w:val="none" w:sz="0" w:space="0" w:color="auto"/>
        <w:bottom w:val="none" w:sz="0" w:space="0" w:color="auto"/>
        <w:right w:val="none" w:sz="0" w:space="0" w:color="auto"/>
      </w:divBdr>
    </w:div>
    <w:div w:id="551504222">
      <w:bodyDiv w:val="1"/>
      <w:marLeft w:val="0"/>
      <w:marRight w:val="0"/>
      <w:marTop w:val="0"/>
      <w:marBottom w:val="0"/>
      <w:divBdr>
        <w:top w:val="none" w:sz="0" w:space="0" w:color="auto"/>
        <w:left w:val="none" w:sz="0" w:space="0" w:color="auto"/>
        <w:bottom w:val="none" w:sz="0" w:space="0" w:color="auto"/>
        <w:right w:val="none" w:sz="0" w:space="0" w:color="auto"/>
      </w:divBdr>
    </w:div>
    <w:div w:id="701981899">
      <w:bodyDiv w:val="1"/>
      <w:marLeft w:val="0"/>
      <w:marRight w:val="0"/>
      <w:marTop w:val="0"/>
      <w:marBottom w:val="0"/>
      <w:divBdr>
        <w:top w:val="none" w:sz="0" w:space="0" w:color="auto"/>
        <w:left w:val="none" w:sz="0" w:space="0" w:color="auto"/>
        <w:bottom w:val="none" w:sz="0" w:space="0" w:color="auto"/>
        <w:right w:val="none" w:sz="0" w:space="0" w:color="auto"/>
      </w:divBdr>
    </w:div>
    <w:div w:id="774325235">
      <w:bodyDiv w:val="1"/>
      <w:marLeft w:val="0"/>
      <w:marRight w:val="0"/>
      <w:marTop w:val="0"/>
      <w:marBottom w:val="0"/>
      <w:divBdr>
        <w:top w:val="none" w:sz="0" w:space="0" w:color="auto"/>
        <w:left w:val="none" w:sz="0" w:space="0" w:color="auto"/>
        <w:bottom w:val="none" w:sz="0" w:space="0" w:color="auto"/>
        <w:right w:val="none" w:sz="0" w:space="0" w:color="auto"/>
      </w:divBdr>
    </w:div>
    <w:div w:id="807012076">
      <w:bodyDiv w:val="1"/>
      <w:marLeft w:val="0"/>
      <w:marRight w:val="0"/>
      <w:marTop w:val="0"/>
      <w:marBottom w:val="0"/>
      <w:divBdr>
        <w:top w:val="none" w:sz="0" w:space="0" w:color="auto"/>
        <w:left w:val="none" w:sz="0" w:space="0" w:color="auto"/>
        <w:bottom w:val="none" w:sz="0" w:space="0" w:color="auto"/>
        <w:right w:val="none" w:sz="0" w:space="0" w:color="auto"/>
      </w:divBdr>
    </w:div>
    <w:div w:id="820585347">
      <w:bodyDiv w:val="1"/>
      <w:marLeft w:val="0"/>
      <w:marRight w:val="0"/>
      <w:marTop w:val="0"/>
      <w:marBottom w:val="0"/>
      <w:divBdr>
        <w:top w:val="none" w:sz="0" w:space="0" w:color="auto"/>
        <w:left w:val="none" w:sz="0" w:space="0" w:color="auto"/>
        <w:bottom w:val="none" w:sz="0" w:space="0" w:color="auto"/>
        <w:right w:val="none" w:sz="0" w:space="0" w:color="auto"/>
      </w:divBdr>
    </w:div>
    <w:div w:id="830023855">
      <w:bodyDiv w:val="1"/>
      <w:marLeft w:val="0"/>
      <w:marRight w:val="0"/>
      <w:marTop w:val="0"/>
      <w:marBottom w:val="0"/>
      <w:divBdr>
        <w:top w:val="none" w:sz="0" w:space="0" w:color="auto"/>
        <w:left w:val="none" w:sz="0" w:space="0" w:color="auto"/>
        <w:bottom w:val="none" w:sz="0" w:space="0" w:color="auto"/>
        <w:right w:val="none" w:sz="0" w:space="0" w:color="auto"/>
      </w:divBdr>
    </w:div>
    <w:div w:id="876622271">
      <w:bodyDiv w:val="1"/>
      <w:marLeft w:val="0"/>
      <w:marRight w:val="0"/>
      <w:marTop w:val="0"/>
      <w:marBottom w:val="0"/>
      <w:divBdr>
        <w:top w:val="none" w:sz="0" w:space="0" w:color="auto"/>
        <w:left w:val="none" w:sz="0" w:space="0" w:color="auto"/>
        <w:bottom w:val="none" w:sz="0" w:space="0" w:color="auto"/>
        <w:right w:val="none" w:sz="0" w:space="0" w:color="auto"/>
      </w:divBdr>
      <w:divsChild>
        <w:div w:id="175120748">
          <w:marLeft w:val="0"/>
          <w:marRight w:val="0"/>
          <w:marTop w:val="0"/>
          <w:marBottom w:val="0"/>
          <w:divBdr>
            <w:top w:val="single" w:sz="2" w:space="0" w:color="auto"/>
            <w:left w:val="single" w:sz="2" w:space="0" w:color="auto"/>
            <w:bottom w:val="single" w:sz="2" w:space="0" w:color="auto"/>
            <w:right w:val="single" w:sz="2" w:space="0" w:color="auto"/>
          </w:divBdr>
          <w:divsChild>
            <w:div w:id="23291569">
              <w:marLeft w:val="0"/>
              <w:marRight w:val="0"/>
              <w:marTop w:val="0"/>
              <w:marBottom w:val="0"/>
              <w:divBdr>
                <w:top w:val="single" w:sz="2" w:space="0" w:color="auto"/>
                <w:left w:val="single" w:sz="2" w:space="0" w:color="auto"/>
                <w:bottom w:val="single" w:sz="2" w:space="0" w:color="auto"/>
                <w:right w:val="single" w:sz="2" w:space="0" w:color="auto"/>
              </w:divBdr>
              <w:divsChild>
                <w:div w:id="1403065439">
                  <w:marLeft w:val="0"/>
                  <w:marRight w:val="0"/>
                  <w:marTop w:val="0"/>
                  <w:marBottom w:val="0"/>
                  <w:divBdr>
                    <w:top w:val="single" w:sz="2" w:space="0" w:color="auto"/>
                    <w:left w:val="single" w:sz="2" w:space="0" w:color="auto"/>
                    <w:bottom w:val="single" w:sz="2" w:space="0" w:color="auto"/>
                    <w:right w:val="single" w:sz="2" w:space="0" w:color="auto"/>
                  </w:divBdr>
                </w:div>
              </w:divsChild>
            </w:div>
            <w:div w:id="1257209328">
              <w:marLeft w:val="0"/>
              <w:marRight w:val="0"/>
              <w:marTop w:val="0"/>
              <w:marBottom w:val="0"/>
              <w:divBdr>
                <w:top w:val="single" w:sz="2" w:space="0" w:color="auto"/>
                <w:left w:val="single" w:sz="2" w:space="0" w:color="auto"/>
                <w:bottom w:val="single" w:sz="2" w:space="0" w:color="auto"/>
                <w:right w:val="single" w:sz="2" w:space="0" w:color="auto"/>
              </w:divBdr>
              <w:divsChild>
                <w:div w:id="728306941">
                  <w:marLeft w:val="0"/>
                  <w:marRight w:val="0"/>
                  <w:marTop w:val="0"/>
                  <w:marBottom w:val="0"/>
                  <w:divBdr>
                    <w:top w:val="single" w:sz="2" w:space="0" w:color="auto"/>
                    <w:left w:val="single" w:sz="2" w:space="0" w:color="auto"/>
                    <w:bottom w:val="single" w:sz="2" w:space="0" w:color="auto"/>
                    <w:right w:val="single" w:sz="2" w:space="0" w:color="auto"/>
                  </w:divBdr>
                </w:div>
              </w:divsChild>
            </w:div>
            <w:div w:id="469827644">
              <w:marLeft w:val="0"/>
              <w:marRight w:val="0"/>
              <w:marTop w:val="0"/>
              <w:marBottom w:val="0"/>
              <w:divBdr>
                <w:top w:val="single" w:sz="2" w:space="0" w:color="auto"/>
                <w:left w:val="single" w:sz="2" w:space="0" w:color="auto"/>
                <w:bottom w:val="single" w:sz="2" w:space="0" w:color="auto"/>
                <w:right w:val="single" w:sz="2" w:space="0" w:color="auto"/>
              </w:divBdr>
              <w:divsChild>
                <w:div w:id="47455965">
                  <w:marLeft w:val="0"/>
                  <w:marRight w:val="0"/>
                  <w:marTop w:val="0"/>
                  <w:marBottom w:val="0"/>
                  <w:divBdr>
                    <w:top w:val="single" w:sz="2" w:space="0" w:color="auto"/>
                    <w:left w:val="single" w:sz="2" w:space="0" w:color="auto"/>
                    <w:bottom w:val="single" w:sz="2" w:space="0" w:color="auto"/>
                    <w:right w:val="single" w:sz="2" w:space="0" w:color="auto"/>
                  </w:divBdr>
                </w:div>
              </w:divsChild>
            </w:div>
            <w:div w:id="962736944">
              <w:marLeft w:val="0"/>
              <w:marRight w:val="0"/>
              <w:marTop w:val="0"/>
              <w:marBottom w:val="0"/>
              <w:divBdr>
                <w:top w:val="single" w:sz="2" w:space="0" w:color="auto"/>
                <w:left w:val="single" w:sz="2" w:space="0" w:color="auto"/>
                <w:bottom w:val="single" w:sz="2" w:space="0" w:color="auto"/>
                <w:right w:val="single" w:sz="2" w:space="0" w:color="auto"/>
              </w:divBdr>
              <w:divsChild>
                <w:div w:id="1924022995">
                  <w:marLeft w:val="0"/>
                  <w:marRight w:val="0"/>
                  <w:marTop w:val="0"/>
                  <w:marBottom w:val="0"/>
                  <w:divBdr>
                    <w:top w:val="single" w:sz="2" w:space="0" w:color="auto"/>
                    <w:left w:val="single" w:sz="2" w:space="0" w:color="auto"/>
                    <w:bottom w:val="single" w:sz="2" w:space="0" w:color="auto"/>
                    <w:right w:val="single" w:sz="2" w:space="0" w:color="auto"/>
                  </w:divBdr>
                </w:div>
              </w:divsChild>
            </w:div>
            <w:div w:id="1707220772">
              <w:marLeft w:val="0"/>
              <w:marRight w:val="0"/>
              <w:marTop w:val="0"/>
              <w:marBottom w:val="0"/>
              <w:divBdr>
                <w:top w:val="single" w:sz="2" w:space="0" w:color="auto"/>
                <w:left w:val="single" w:sz="2" w:space="0" w:color="auto"/>
                <w:bottom w:val="single" w:sz="2" w:space="0" w:color="auto"/>
                <w:right w:val="single" w:sz="2" w:space="0" w:color="auto"/>
              </w:divBdr>
              <w:divsChild>
                <w:div w:id="1527448452">
                  <w:marLeft w:val="0"/>
                  <w:marRight w:val="0"/>
                  <w:marTop w:val="0"/>
                  <w:marBottom w:val="0"/>
                  <w:divBdr>
                    <w:top w:val="single" w:sz="2" w:space="0" w:color="auto"/>
                    <w:left w:val="single" w:sz="2" w:space="0" w:color="auto"/>
                    <w:bottom w:val="single" w:sz="2" w:space="0" w:color="auto"/>
                    <w:right w:val="single" w:sz="2" w:space="0" w:color="auto"/>
                  </w:divBdr>
                </w:div>
              </w:divsChild>
            </w:div>
            <w:div w:id="1553036300">
              <w:marLeft w:val="0"/>
              <w:marRight w:val="0"/>
              <w:marTop w:val="0"/>
              <w:marBottom w:val="0"/>
              <w:divBdr>
                <w:top w:val="single" w:sz="2" w:space="0" w:color="auto"/>
                <w:left w:val="single" w:sz="2" w:space="0" w:color="auto"/>
                <w:bottom w:val="single" w:sz="2" w:space="0" w:color="auto"/>
                <w:right w:val="single" w:sz="2" w:space="0" w:color="auto"/>
              </w:divBdr>
              <w:divsChild>
                <w:div w:id="829911254">
                  <w:marLeft w:val="0"/>
                  <w:marRight w:val="0"/>
                  <w:marTop w:val="0"/>
                  <w:marBottom w:val="0"/>
                  <w:divBdr>
                    <w:top w:val="single" w:sz="2" w:space="0" w:color="auto"/>
                    <w:left w:val="single" w:sz="2" w:space="0" w:color="auto"/>
                    <w:bottom w:val="single" w:sz="2" w:space="0" w:color="auto"/>
                    <w:right w:val="single" w:sz="2" w:space="0" w:color="auto"/>
                  </w:divBdr>
                </w:div>
              </w:divsChild>
            </w:div>
            <w:div w:id="1106271926">
              <w:marLeft w:val="0"/>
              <w:marRight w:val="0"/>
              <w:marTop w:val="0"/>
              <w:marBottom w:val="0"/>
              <w:divBdr>
                <w:top w:val="single" w:sz="2" w:space="0" w:color="auto"/>
                <w:left w:val="single" w:sz="2" w:space="0" w:color="auto"/>
                <w:bottom w:val="single" w:sz="2" w:space="0" w:color="auto"/>
                <w:right w:val="single" w:sz="2" w:space="0" w:color="auto"/>
              </w:divBdr>
              <w:divsChild>
                <w:div w:id="163709560">
                  <w:marLeft w:val="0"/>
                  <w:marRight w:val="0"/>
                  <w:marTop w:val="0"/>
                  <w:marBottom w:val="0"/>
                  <w:divBdr>
                    <w:top w:val="single" w:sz="2" w:space="0" w:color="auto"/>
                    <w:left w:val="single" w:sz="2" w:space="0" w:color="auto"/>
                    <w:bottom w:val="single" w:sz="2" w:space="0" w:color="auto"/>
                    <w:right w:val="single" w:sz="2" w:space="0" w:color="auto"/>
                  </w:divBdr>
                </w:div>
              </w:divsChild>
            </w:div>
            <w:div w:id="220363919">
              <w:marLeft w:val="0"/>
              <w:marRight w:val="0"/>
              <w:marTop w:val="0"/>
              <w:marBottom w:val="0"/>
              <w:divBdr>
                <w:top w:val="single" w:sz="2" w:space="0" w:color="auto"/>
                <w:left w:val="single" w:sz="2" w:space="0" w:color="auto"/>
                <w:bottom w:val="single" w:sz="2" w:space="0" w:color="auto"/>
                <w:right w:val="single" w:sz="2" w:space="0" w:color="auto"/>
              </w:divBdr>
              <w:divsChild>
                <w:div w:id="264657012">
                  <w:marLeft w:val="0"/>
                  <w:marRight w:val="0"/>
                  <w:marTop w:val="0"/>
                  <w:marBottom w:val="0"/>
                  <w:divBdr>
                    <w:top w:val="single" w:sz="2" w:space="0" w:color="auto"/>
                    <w:left w:val="single" w:sz="2" w:space="0" w:color="auto"/>
                    <w:bottom w:val="single" w:sz="2" w:space="0" w:color="auto"/>
                    <w:right w:val="single" w:sz="2" w:space="0" w:color="auto"/>
                  </w:divBdr>
                </w:div>
              </w:divsChild>
            </w:div>
            <w:div w:id="902133672">
              <w:marLeft w:val="0"/>
              <w:marRight w:val="0"/>
              <w:marTop w:val="0"/>
              <w:marBottom w:val="0"/>
              <w:divBdr>
                <w:top w:val="single" w:sz="2" w:space="0" w:color="auto"/>
                <w:left w:val="single" w:sz="2" w:space="0" w:color="auto"/>
                <w:bottom w:val="single" w:sz="2" w:space="0" w:color="auto"/>
                <w:right w:val="single" w:sz="2" w:space="0" w:color="auto"/>
              </w:divBdr>
              <w:divsChild>
                <w:div w:id="841817748">
                  <w:marLeft w:val="0"/>
                  <w:marRight w:val="0"/>
                  <w:marTop w:val="0"/>
                  <w:marBottom w:val="0"/>
                  <w:divBdr>
                    <w:top w:val="single" w:sz="2" w:space="0" w:color="auto"/>
                    <w:left w:val="single" w:sz="2" w:space="0" w:color="auto"/>
                    <w:bottom w:val="single" w:sz="2" w:space="0" w:color="auto"/>
                    <w:right w:val="single" w:sz="2" w:space="0" w:color="auto"/>
                  </w:divBdr>
                </w:div>
              </w:divsChild>
            </w:div>
            <w:div w:id="397872431">
              <w:marLeft w:val="0"/>
              <w:marRight w:val="0"/>
              <w:marTop w:val="0"/>
              <w:marBottom w:val="0"/>
              <w:divBdr>
                <w:top w:val="single" w:sz="2" w:space="0" w:color="auto"/>
                <w:left w:val="single" w:sz="2" w:space="0" w:color="auto"/>
                <w:bottom w:val="single" w:sz="2" w:space="0" w:color="auto"/>
                <w:right w:val="single" w:sz="2" w:space="0" w:color="auto"/>
              </w:divBdr>
              <w:divsChild>
                <w:div w:id="518009086">
                  <w:marLeft w:val="0"/>
                  <w:marRight w:val="0"/>
                  <w:marTop w:val="0"/>
                  <w:marBottom w:val="0"/>
                  <w:divBdr>
                    <w:top w:val="single" w:sz="2" w:space="0" w:color="auto"/>
                    <w:left w:val="single" w:sz="2" w:space="0" w:color="auto"/>
                    <w:bottom w:val="single" w:sz="2" w:space="0" w:color="auto"/>
                    <w:right w:val="single" w:sz="2" w:space="0" w:color="auto"/>
                  </w:divBdr>
                </w:div>
              </w:divsChild>
            </w:div>
            <w:div w:id="1983340339">
              <w:marLeft w:val="0"/>
              <w:marRight w:val="0"/>
              <w:marTop w:val="0"/>
              <w:marBottom w:val="0"/>
              <w:divBdr>
                <w:top w:val="single" w:sz="2" w:space="0" w:color="auto"/>
                <w:left w:val="single" w:sz="2" w:space="0" w:color="auto"/>
                <w:bottom w:val="single" w:sz="2" w:space="0" w:color="auto"/>
                <w:right w:val="single" w:sz="2" w:space="0" w:color="auto"/>
              </w:divBdr>
              <w:divsChild>
                <w:div w:id="1202405550">
                  <w:marLeft w:val="0"/>
                  <w:marRight w:val="0"/>
                  <w:marTop w:val="0"/>
                  <w:marBottom w:val="0"/>
                  <w:divBdr>
                    <w:top w:val="single" w:sz="2" w:space="0" w:color="auto"/>
                    <w:left w:val="single" w:sz="2" w:space="0" w:color="auto"/>
                    <w:bottom w:val="single" w:sz="2" w:space="0" w:color="auto"/>
                    <w:right w:val="single" w:sz="2" w:space="0" w:color="auto"/>
                  </w:divBdr>
                </w:div>
              </w:divsChild>
            </w:div>
            <w:div w:id="817107980">
              <w:marLeft w:val="0"/>
              <w:marRight w:val="0"/>
              <w:marTop w:val="0"/>
              <w:marBottom w:val="0"/>
              <w:divBdr>
                <w:top w:val="single" w:sz="2" w:space="0" w:color="auto"/>
                <w:left w:val="single" w:sz="2" w:space="0" w:color="auto"/>
                <w:bottom w:val="single" w:sz="2" w:space="0" w:color="auto"/>
                <w:right w:val="single" w:sz="2" w:space="0" w:color="auto"/>
              </w:divBdr>
              <w:divsChild>
                <w:div w:id="1151865722">
                  <w:marLeft w:val="0"/>
                  <w:marRight w:val="0"/>
                  <w:marTop w:val="0"/>
                  <w:marBottom w:val="0"/>
                  <w:divBdr>
                    <w:top w:val="single" w:sz="2" w:space="0" w:color="auto"/>
                    <w:left w:val="single" w:sz="2" w:space="0" w:color="auto"/>
                    <w:bottom w:val="single" w:sz="2" w:space="0" w:color="auto"/>
                    <w:right w:val="single" w:sz="2" w:space="0" w:color="auto"/>
                  </w:divBdr>
                </w:div>
              </w:divsChild>
            </w:div>
            <w:div w:id="1676569441">
              <w:marLeft w:val="0"/>
              <w:marRight w:val="0"/>
              <w:marTop w:val="0"/>
              <w:marBottom w:val="0"/>
              <w:divBdr>
                <w:top w:val="single" w:sz="2" w:space="0" w:color="auto"/>
                <w:left w:val="single" w:sz="2" w:space="0" w:color="auto"/>
                <w:bottom w:val="single" w:sz="2" w:space="0" w:color="auto"/>
                <w:right w:val="single" w:sz="2" w:space="0" w:color="auto"/>
              </w:divBdr>
              <w:divsChild>
                <w:div w:id="198015778">
                  <w:marLeft w:val="0"/>
                  <w:marRight w:val="0"/>
                  <w:marTop w:val="0"/>
                  <w:marBottom w:val="0"/>
                  <w:divBdr>
                    <w:top w:val="single" w:sz="2" w:space="0" w:color="auto"/>
                    <w:left w:val="single" w:sz="2" w:space="0" w:color="auto"/>
                    <w:bottom w:val="single" w:sz="2" w:space="0" w:color="auto"/>
                    <w:right w:val="single" w:sz="2" w:space="0" w:color="auto"/>
                  </w:divBdr>
                </w:div>
              </w:divsChild>
            </w:div>
            <w:div w:id="1977248738">
              <w:marLeft w:val="0"/>
              <w:marRight w:val="0"/>
              <w:marTop w:val="0"/>
              <w:marBottom w:val="0"/>
              <w:divBdr>
                <w:top w:val="single" w:sz="2" w:space="0" w:color="auto"/>
                <w:left w:val="single" w:sz="2" w:space="0" w:color="auto"/>
                <w:bottom w:val="single" w:sz="2" w:space="0" w:color="auto"/>
                <w:right w:val="single" w:sz="2" w:space="0" w:color="auto"/>
              </w:divBdr>
              <w:divsChild>
                <w:div w:id="2132085850">
                  <w:marLeft w:val="0"/>
                  <w:marRight w:val="0"/>
                  <w:marTop w:val="0"/>
                  <w:marBottom w:val="0"/>
                  <w:divBdr>
                    <w:top w:val="single" w:sz="2" w:space="0" w:color="auto"/>
                    <w:left w:val="single" w:sz="2" w:space="0" w:color="auto"/>
                    <w:bottom w:val="single" w:sz="2" w:space="0" w:color="auto"/>
                    <w:right w:val="single" w:sz="2" w:space="0" w:color="auto"/>
                  </w:divBdr>
                </w:div>
              </w:divsChild>
            </w:div>
            <w:div w:id="1147431689">
              <w:marLeft w:val="0"/>
              <w:marRight w:val="0"/>
              <w:marTop w:val="0"/>
              <w:marBottom w:val="0"/>
              <w:divBdr>
                <w:top w:val="single" w:sz="2" w:space="0" w:color="auto"/>
                <w:left w:val="single" w:sz="2" w:space="0" w:color="auto"/>
                <w:bottom w:val="single" w:sz="2" w:space="0" w:color="auto"/>
                <w:right w:val="single" w:sz="2" w:space="0" w:color="auto"/>
              </w:divBdr>
              <w:divsChild>
                <w:div w:id="1899197176">
                  <w:marLeft w:val="0"/>
                  <w:marRight w:val="0"/>
                  <w:marTop w:val="0"/>
                  <w:marBottom w:val="0"/>
                  <w:divBdr>
                    <w:top w:val="single" w:sz="2" w:space="0" w:color="auto"/>
                    <w:left w:val="single" w:sz="2" w:space="0" w:color="auto"/>
                    <w:bottom w:val="single" w:sz="2" w:space="0" w:color="auto"/>
                    <w:right w:val="single" w:sz="2" w:space="0" w:color="auto"/>
                  </w:divBdr>
                </w:div>
              </w:divsChild>
            </w:div>
            <w:div w:id="1481651540">
              <w:marLeft w:val="0"/>
              <w:marRight w:val="0"/>
              <w:marTop w:val="0"/>
              <w:marBottom w:val="0"/>
              <w:divBdr>
                <w:top w:val="single" w:sz="2" w:space="0" w:color="auto"/>
                <w:left w:val="single" w:sz="2" w:space="0" w:color="auto"/>
                <w:bottom w:val="single" w:sz="2" w:space="0" w:color="auto"/>
                <w:right w:val="single" w:sz="2" w:space="0" w:color="auto"/>
              </w:divBdr>
              <w:divsChild>
                <w:div w:id="1558972876">
                  <w:marLeft w:val="0"/>
                  <w:marRight w:val="0"/>
                  <w:marTop w:val="0"/>
                  <w:marBottom w:val="0"/>
                  <w:divBdr>
                    <w:top w:val="single" w:sz="2" w:space="0" w:color="auto"/>
                    <w:left w:val="single" w:sz="2" w:space="0" w:color="auto"/>
                    <w:bottom w:val="single" w:sz="2" w:space="0" w:color="auto"/>
                    <w:right w:val="single" w:sz="2" w:space="0" w:color="auto"/>
                  </w:divBdr>
                </w:div>
              </w:divsChild>
            </w:div>
            <w:div w:id="1028679132">
              <w:marLeft w:val="0"/>
              <w:marRight w:val="0"/>
              <w:marTop w:val="0"/>
              <w:marBottom w:val="0"/>
              <w:divBdr>
                <w:top w:val="single" w:sz="2" w:space="0" w:color="auto"/>
                <w:left w:val="single" w:sz="2" w:space="0" w:color="auto"/>
                <w:bottom w:val="single" w:sz="2" w:space="0" w:color="auto"/>
                <w:right w:val="single" w:sz="2" w:space="0" w:color="auto"/>
              </w:divBdr>
              <w:divsChild>
                <w:div w:id="1583880325">
                  <w:marLeft w:val="0"/>
                  <w:marRight w:val="0"/>
                  <w:marTop w:val="0"/>
                  <w:marBottom w:val="0"/>
                  <w:divBdr>
                    <w:top w:val="single" w:sz="2" w:space="0" w:color="auto"/>
                    <w:left w:val="single" w:sz="2" w:space="0" w:color="auto"/>
                    <w:bottom w:val="single" w:sz="2" w:space="0" w:color="auto"/>
                    <w:right w:val="single" w:sz="2" w:space="0" w:color="auto"/>
                  </w:divBdr>
                </w:div>
              </w:divsChild>
            </w:div>
            <w:div w:id="859703146">
              <w:marLeft w:val="0"/>
              <w:marRight w:val="0"/>
              <w:marTop w:val="0"/>
              <w:marBottom w:val="0"/>
              <w:divBdr>
                <w:top w:val="single" w:sz="2" w:space="0" w:color="auto"/>
                <w:left w:val="single" w:sz="2" w:space="0" w:color="auto"/>
                <w:bottom w:val="single" w:sz="2" w:space="0" w:color="auto"/>
                <w:right w:val="single" w:sz="2" w:space="0" w:color="auto"/>
              </w:divBdr>
              <w:divsChild>
                <w:div w:id="1570072831">
                  <w:marLeft w:val="0"/>
                  <w:marRight w:val="0"/>
                  <w:marTop w:val="0"/>
                  <w:marBottom w:val="0"/>
                  <w:divBdr>
                    <w:top w:val="single" w:sz="2" w:space="0" w:color="auto"/>
                    <w:left w:val="single" w:sz="2" w:space="0" w:color="auto"/>
                    <w:bottom w:val="single" w:sz="2" w:space="0" w:color="auto"/>
                    <w:right w:val="single" w:sz="2" w:space="0" w:color="auto"/>
                  </w:divBdr>
                </w:div>
              </w:divsChild>
            </w:div>
            <w:div w:id="1829590283">
              <w:marLeft w:val="0"/>
              <w:marRight w:val="0"/>
              <w:marTop w:val="0"/>
              <w:marBottom w:val="0"/>
              <w:divBdr>
                <w:top w:val="single" w:sz="2" w:space="0" w:color="auto"/>
                <w:left w:val="single" w:sz="2" w:space="0" w:color="auto"/>
                <w:bottom w:val="single" w:sz="2" w:space="0" w:color="auto"/>
                <w:right w:val="single" w:sz="2" w:space="0" w:color="auto"/>
              </w:divBdr>
              <w:divsChild>
                <w:div w:id="2013607846">
                  <w:marLeft w:val="0"/>
                  <w:marRight w:val="0"/>
                  <w:marTop w:val="0"/>
                  <w:marBottom w:val="0"/>
                  <w:divBdr>
                    <w:top w:val="single" w:sz="2" w:space="0" w:color="auto"/>
                    <w:left w:val="single" w:sz="2" w:space="0" w:color="auto"/>
                    <w:bottom w:val="single" w:sz="2" w:space="0" w:color="auto"/>
                    <w:right w:val="single" w:sz="2" w:space="0" w:color="auto"/>
                  </w:divBdr>
                </w:div>
              </w:divsChild>
            </w:div>
            <w:div w:id="552736487">
              <w:marLeft w:val="0"/>
              <w:marRight w:val="0"/>
              <w:marTop w:val="0"/>
              <w:marBottom w:val="0"/>
              <w:divBdr>
                <w:top w:val="single" w:sz="2" w:space="0" w:color="auto"/>
                <w:left w:val="single" w:sz="2" w:space="0" w:color="auto"/>
                <w:bottom w:val="single" w:sz="2" w:space="0" w:color="auto"/>
                <w:right w:val="single" w:sz="2" w:space="0" w:color="auto"/>
              </w:divBdr>
              <w:divsChild>
                <w:div w:id="475924118">
                  <w:marLeft w:val="0"/>
                  <w:marRight w:val="0"/>
                  <w:marTop w:val="0"/>
                  <w:marBottom w:val="0"/>
                  <w:divBdr>
                    <w:top w:val="single" w:sz="2" w:space="0" w:color="auto"/>
                    <w:left w:val="single" w:sz="2" w:space="0" w:color="auto"/>
                    <w:bottom w:val="single" w:sz="2" w:space="0" w:color="auto"/>
                    <w:right w:val="single" w:sz="2" w:space="0" w:color="auto"/>
                  </w:divBdr>
                </w:div>
              </w:divsChild>
            </w:div>
            <w:div w:id="882981967">
              <w:marLeft w:val="0"/>
              <w:marRight w:val="0"/>
              <w:marTop w:val="0"/>
              <w:marBottom w:val="0"/>
              <w:divBdr>
                <w:top w:val="single" w:sz="2" w:space="0" w:color="auto"/>
                <w:left w:val="single" w:sz="2" w:space="0" w:color="auto"/>
                <w:bottom w:val="single" w:sz="2" w:space="0" w:color="auto"/>
                <w:right w:val="single" w:sz="2" w:space="0" w:color="auto"/>
              </w:divBdr>
              <w:divsChild>
                <w:div w:id="1035732183">
                  <w:marLeft w:val="0"/>
                  <w:marRight w:val="0"/>
                  <w:marTop w:val="0"/>
                  <w:marBottom w:val="0"/>
                  <w:divBdr>
                    <w:top w:val="single" w:sz="2" w:space="0" w:color="auto"/>
                    <w:left w:val="single" w:sz="2" w:space="0" w:color="auto"/>
                    <w:bottom w:val="single" w:sz="2" w:space="0" w:color="auto"/>
                    <w:right w:val="single" w:sz="2" w:space="0" w:color="auto"/>
                  </w:divBdr>
                </w:div>
              </w:divsChild>
            </w:div>
            <w:div w:id="237979010">
              <w:marLeft w:val="0"/>
              <w:marRight w:val="0"/>
              <w:marTop w:val="0"/>
              <w:marBottom w:val="0"/>
              <w:divBdr>
                <w:top w:val="single" w:sz="2" w:space="0" w:color="auto"/>
                <w:left w:val="single" w:sz="2" w:space="0" w:color="auto"/>
                <w:bottom w:val="single" w:sz="2" w:space="0" w:color="auto"/>
                <w:right w:val="single" w:sz="2" w:space="0" w:color="auto"/>
              </w:divBdr>
              <w:divsChild>
                <w:div w:id="852109358">
                  <w:marLeft w:val="0"/>
                  <w:marRight w:val="0"/>
                  <w:marTop w:val="0"/>
                  <w:marBottom w:val="0"/>
                  <w:divBdr>
                    <w:top w:val="single" w:sz="2" w:space="0" w:color="auto"/>
                    <w:left w:val="single" w:sz="2" w:space="0" w:color="auto"/>
                    <w:bottom w:val="single" w:sz="2" w:space="0" w:color="auto"/>
                    <w:right w:val="single" w:sz="2" w:space="0" w:color="auto"/>
                  </w:divBdr>
                </w:div>
              </w:divsChild>
            </w:div>
            <w:div w:id="385304444">
              <w:marLeft w:val="0"/>
              <w:marRight w:val="0"/>
              <w:marTop w:val="0"/>
              <w:marBottom w:val="0"/>
              <w:divBdr>
                <w:top w:val="single" w:sz="2" w:space="0" w:color="auto"/>
                <w:left w:val="single" w:sz="2" w:space="0" w:color="auto"/>
                <w:bottom w:val="single" w:sz="2" w:space="0" w:color="auto"/>
                <w:right w:val="single" w:sz="2" w:space="0" w:color="auto"/>
              </w:divBdr>
              <w:divsChild>
                <w:div w:id="758329541">
                  <w:marLeft w:val="0"/>
                  <w:marRight w:val="0"/>
                  <w:marTop w:val="0"/>
                  <w:marBottom w:val="0"/>
                  <w:divBdr>
                    <w:top w:val="single" w:sz="2" w:space="0" w:color="auto"/>
                    <w:left w:val="single" w:sz="2" w:space="0" w:color="auto"/>
                    <w:bottom w:val="single" w:sz="2" w:space="0" w:color="auto"/>
                    <w:right w:val="single" w:sz="2" w:space="0" w:color="auto"/>
                  </w:divBdr>
                </w:div>
              </w:divsChild>
            </w:div>
            <w:div w:id="2108572821">
              <w:marLeft w:val="0"/>
              <w:marRight w:val="0"/>
              <w:marTop w:val="0"/>
              <w:marBottom w:val="0"/>
              <w:divBdr>
                <w:top w:val="single" w:sz="2" w:space="0" w:color="auto"/>
                <w:left w:val="single" w:sz="2" w:space="0" w:color="auto"/>
                <w:bottom w:val="single" w:sz="2" w:space="0" w:color="auto"/>
                <w:right w:val="single" w:sz="2" w:space="0" w:color="auto"/>
              </w:divBdr>
              <w:divsChild>
                <w:div w:id="2032492140">
                  <w:marLeft w:val="0"/>
                  <w:marRight w:val="0"/>
                  <w:marTop w:val="0"/>
                  <w:marBottom w:val="0"/>
                  <w:divBdr>
                    <w:top w:val="single" w:sz="2" w:space="0" w:color="auto"/>
                    <w:left w:val="single" w:sz="2" w:space="0" w:color="auto"/>
                    <w:bottom w:val="single" w:sz="2" w:space="0" w:color="auto"/>
                    <w:right w:val="single" w:sz="2" w:space="0" w:color="auto"/>
                  </w:divBdr>
                </w:div>
              </w:divsChild>
            </w:div>
            <w:div w:id="1738631079">
              <w:marLeft w:val="0"/>
              <w:marRight w:val="0"/>
              <w:marTop w:val="0"/>
              <w:marBottom w:val="0"/>
              <w:divBdr>
                <w:top w:val="single" w:sz="2" w:space="0" w:color="auto"/>
                <w:left w:val="single" w:sz="2" w:space="0" w:color="auto"/>
                <w:bottom w:val="single" w:sz="2" w:space="0" w:color="auto"/>
                <w:right w:val="single" w:sz="2" w:space="0" w:color="auto"/>
              </w:divBdr>
              <w:divsChild>
                <w:div w:id="355928107">
                  <w:marLeft w:val="0"/>
                  <w:marRight w:val="0"/>
                  <w:marTop w:val="0"/>
                  <w:marBottom w:val="0"/>
                  <w:divBdr>
                    <w:top w:val="single" w:sz="2" w:space="0" w:color="auto"/>
                    <w:left w:val="single" w:sz="2" w:space="0" w:color="auto"/>
                    <w:bottom w:val="single" w:sz="2" w:space="0" w:color="auto"/>
                    <w:right w:val="single" w:sz="2" w:space="0" w:color="auto"/>
                  </w:divBdr>
                </w:div>
              </w:divsChild>
            </w:div>
            <w:div w:id="1803840155">
              <w:marLeft w:val="0"/>
              <w:marRight w:val="0"/>
              <w:marTop w:val="0"/>
              <w:marBottom w:val="0"/>
              <w:divBdr>
                <w:top w:val="single" w:sz="2" w:space="0" w:color="auto"/>
                <w:left w:val="single" w:sz="2" w:space="0" w:color="auto"/>
                <w:bottom w:val="single" w:sz="2" w:space="0" w:color="auto"/>
                <w:right w:val="single" w:sz="2" w:space="0" w:color="auto"/>
              </w:divBdr>
              <w:divsChild>
                <w:div w:id="716398825">
                  <w:marLeft w:val="0"/>
                  <w:marRight w:val="0"/>
                  <w:marTop w:val="0"/>
                  <w:marBottom w:val="0"/>
                  <w:divBdr>
                    <w:top w:val="single" w:sz="2" w:space="0" w:color="auto"/>
                    <w:left w:val="single" w:sz="2" w:space="0" w:color="auto"/>
                    <w:bottom w:val="single" w:sz="2" w:space="0" w:color="auto"/>
                    <w:right w:val="single" w:sz="2" w:space="0" w:color="auto"/>
                  </w:divBdr>
                </w:div>
              </w:divsChild>
            </w:div>
            <w:div w:id="1377965773">
              <w:marLeft w:val="0"/>
              <w:marRight w:val="0"/>
              <w:marTop w:val="0"/>
              <w:marBottom w:val="0"/>
              <w:divBdr>
                <w:top w:val="single" w:sz="2" w:space="0" w:color="auto"/>
                <w:left w:val="single" w:sz="2" w:space="0" w:color="auto"/>
                <w:bottom w:val="single" w:sz="2" w:space="0" w:color="auto"/>
                <w:right w:val="single" w:sz="2" w:space="0" w:color="auto"/>
              </w:divBdr>
              <w:divsChild>
                <w:div w:id="1821539502">
                  <w:marLeft w:val="0"/>
                  <w:marRight w:val="0"/>
                  <w:marTop w:val="0"/>
                  <w:marBottom w:val="0"/>
                  <w:divBdr>
                    <w:top w:val="single" w:sz="2" w:space="0" w:color="auto"/>
                    <w:left w:val="single" w:sz="2" w:space="0" w:color="auto"/>
                    <w:bottom w:val="single" w:sz="2" w:space="0" w:color="auto"/>
                    <w:right w:val="single" w:sz="2" w:space="0" w:color="auto"/>
                  </w:divBdr>
                </w:div>
              </w:divsChild>
            </w:div>
            <w:div w:id="1490709539">
              <w:marLeft w:val="0"/>
              <w:marRight w:val="0"/>
              <w:marTop w:val="0"/>
              <w:marBottom w:val="0"/>
              <w:divBdr>
                <w:top w:val="single" w:sz="2" w:space="0" w:color="auto"/>
                <w:left w:val="single" w:sz="2" w:space="0" w:color="auto"/>
                <w:bottom w:val="single" w:sz="2" w:space="0" w:color="auto"/>
                <w:right w:val="single" w:sz="2" w:space="0" w:color="auto"/>
              </w:divBdr>
              <w:divsChild>
                <w:div w:id="1311785667">
                  <w:marLeft w:val="0"/>
                  <w:marRight w:val="0"/>
                  <w:marTop w:val="0"/>
                  <w:marBottom w:val="0"/>
                  <w:divBdr>
                    <w:top w:val="single" w:sz="2" w:space="0" w:color="auto"/>
                    <w:left w:val="single" w:sz="2" w:space="0" w:color="auto"/>
                    <w:bottom w:val="single" w:sz="2" w:space="0" w:color="auto"/>
                    <w:right w:val="single" w:sz="2" w:space="0" w:color="auto"/>
                  </w:divBdr>
                </w:div>
              </w:divsChild>
            </w:div>
            <w:div w:id="1484851333">
              <w:marLeft w:val="0"/>
              <w:marRight w:val="0"/>
              <w:marTop w:val="0"/>
              <w:marBottom w:val="0"/>
              <w:divBdr>
                <w:top w:val="single" w:sz="2" w:space="0" w:color="auto"/>
                <w:left w:val="single" w:sz="2" w:space="0" w:color="auto"/>
                <w:bottom w:val="single" w:sz="2" w:space="0" w:color="auto"/>
                <w:right w:val="single" w:sz="2" w:space="0" w:color="auto"/>
              </w:divBdr>
              <w:divsChild>
                <w:div w:id="545533590">
                  <w:marLeft w:val="0"/>
                  <w:marRight w:val="0"/>
                  <w:marTop w:val="0"/>
                  <w:marBottom w:val="0"/>
                  <w:divBdr>
                    <w:top w:val="single" w:sz="2" w:space="0" w:color="auto"/>
                    <w:left w:val="single" w:sz="2" w:space="0" w:color="auto"/>
                    <w:bottom w:val="single" w:sz="2" w:space="0" w:color="auto"/>
                    <w:right w:val="single" w:sz="2" w:space="0" w:color="auto"/>
                  </w:divBdr>
                </w:div>
              </w:divsChild>
            </w:div>
            <w:div w:id="1679842243">
              <w:marLeft w:val="0"/>
              <w:marRight w:val="0"/>
              <w:marTop w:val="0"/>
              <w:marBottom w:val="0"/>
              <w:divBdr>
                <w:top w:val="single" w:sz="2" w:space="0" w:color="auto"/>
                <w:left w:val="single" w:sz="2" w:space="0" w:color="auto"/>
                <w:bottom w:val="single" w:sz="2" w:space="0" w:color="auto"/>
                <w:right w:val="single" w:sz="2" w:space="0" w:color="auto"/>
              </w:divBdr>
              <w:divsChild>
                <w:div w:id="1688628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4759391">
      <w:bodyDiv w:val="1"/>
      <w:marLeft w:val="0"/>
      <w:marRight w:val="0"/>
      <w:marTop w:val="0"/>
      <w:marBottom w:val="0"/>
      <w:divBdr>
        <w:top w:val="none" w:sz="0" w:space="0" w:color="auto"/>
        <w:left w:val="none" w:sz="0" w:space="0" w:color="auto"/>
        <w:bottom w:val="none" w:sz="0" w:space="0" w:color="auto"/>
        <w:right w:val="none" w:sz="0" w:space="0" w:color="auto"/>
      </w:divBdr>
    </w:div>
    <w:div w:id="896823084">
      <w:bodyDiv w:val="1"/>
      <w:marLeft w:val="0"/>
      <w:marRight w:val="0"/>
      <w:marTop w:val="0"/>
      <w:marBottom w:val="0"/>
      <w:divBdr>
        <w:top w:val="none" w:sz="0" w:space="0" w:color="auto"/>
        <w:left w:val="none" w:sz="0" w:space="0" w:color="auto"/>
        <w:bottom w:val="none" w:sz="0" w:space="0" w:color="auto"/>
        <w:right w:val="none" w:sz="0" w:space="0" w:color="auto"/>
      </w:divBdr>
    </w:div>
    <w:div w:id="928194711">
      <w:bodyDiv w:val="1"/>
      <w:marLeft w:val="0"/>
      <w:marRight w:val="0"/>
      <w:marTop w:val="0"/>
      <w:marBottom w:val="0"/>
      <w:divBdr>
        <w:top w:val="none" w:sz="0" w:space="0" w:color="auto"/>
        <w:left w:val="none" w:sz="0" w:space="0" w:color="auto"/>
        <w:bottom w:val="none" w:sz="0" w:space="0" w:color="auto"/>
        <w:right w:val="none" w:sz="0" w:space="0" w:color="auto"/>
      </w:divBdr>
    </w:div>
    <w:div w:id="929659938">
      <w:bodyDiv w:val="1"/>
      <w:marLeft w:val="0"/>
      <w:marRight w:val="0"/>
      <w:marTop w:val="0"/>
      <w:marBottom w:val="0"/>
      <w:divBdr>
        <w:top w:val="none" w:sz="0" w:space="0" w:color="auto"/>
        <w:left w:val="none" w:sz="0" w:space="0" w:color="auto"/>
        <w:bottom w:val="none" w:sz="0" w:space="0" w:color="auto"/>
        <w:right w:val="none" w:sz="0" w:space="0" w:color="auto"/>
      </w:divBdr>
      <w:divsChild>
        <w:div w:id="19551089">
          <w:marLeft w:val="0"/>
          <w:marRight w:val="0"/>
          <w:marTop w:val="0"/>
          <w:marBottom w:val="0"/>
          <w:divBdr>
            <w:top w:val="none" w:sz="0" w:space="0" w:color="auto"/>
            <w:left w:val="none" w:sz="0" w:space="0" w:color="auto"/>
            <w:bottom w:val="none" w:sz="0" w:space="0" w:color="auto"/>
            <w:right w:val="none" w:sz="0" w:space="0" w:color="auto"/>
          </w:divBdr>
          <w:divsChild>
            <w:div w:id="1272006651">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940334137">
      <w:bodyDiv w:val="1"/>
      <w:marLeft w:val="0"/>
      <w:marRight w:val="0"/>
      <w:marTop w:val="0"/>
      <w:marBottom w:val="0"/>
      <w:divBdr>
        <w:top w:val="none" w:sz="0" w:space="0" w:color="auto"/>
        <w:left w:val="none" w:sz="0" w:space="0" w:color="auto"/>
        <w:bottom w:val="none" w:sz="0" w:space="0" w:color="auto"/>
        <w:right w:val="none" w:sz="0" w:space="0" w:color="auto"/>
      </w:divBdr>
    </w:div>
    <w:div w:id="1044254673">
      <w:bodyDiv w:val="1"/>
      <w:marLeft w:val="0"/>
      <w:marRight w:val="0"/>
      <w:marTop w:val="0"/>
      <w:marBottom w:val="0"/>
      <w:divBdr>
        <w:top w:val="none" w:sz="0" w:space="0" w:color="auto"/>
        <w:left w:val="none" w:sz="0" w:space="0" w:color="auto"/>
        <w:bottom w:val="none" w:sz="0" w:space="0" w:color="auto"/>
        <w:right w:val="none" w:sz="0" w:space="0" w:color="auto"/>
      </w:divBdr>
    </w:div>
    <w:div w:id="1099911266">
      <w:bodyDiv w:val="1"/>
      <w:marLeft w:val="0"/>
      <w:marRight w:val="0"/>
      <w:marTop w:val="0"/>
      <w:marBottom w:val="0"/>
      <w:divBdr>
        <w:top w:val="none" w:sz="0" w:space="0" w:color="auto"/>
        <w:left w:val="none" w:sz="0" w:space="0" w:color="auto"/>
        <w:bottom w:val="none" w:sz="0" w:space="0" w:color="auto"/>
        <w:right w:val="none" w:sz="0" w:space="0" w:color="auto"/>
      </w:divBdr>
    </w:div>
    <w:div w:id="1187792642">
      <w:bodyDiv w:val="1"/>
      <w:marLeft w:val="0"/>
      <w:marRight w:val="0"/>
      <w:marTop w:val="0"/>
      <w:marBottom w:val="0"/>
      <w:divBdr>
        <w:top w:val="none" w:sz="0" w:space="0" w:color="auto"/>
        <w:left w:val="none" w:sz="0" w:space="0" w:color="auto"/>
        <w:bottom w:val="none" w:sz="0" w:space="0" w:color="auto"/>
        <w:right w:val="none" w:sz="0" w:space="0" w:color="auto"/>
      </w:divBdr>
    </w:div>
    <w:div w:id="1282878586">
      <w:bodyDiv w:val="1"/>
      <w:marLeft w:val="0"/>
      <w:marRight w:val="0"/>
      <w:marTop w:val="0"/>
      <w:marBottom w:val="0"/>
      <w:divBdr>
        <w:top w:val="none" w:sz="0" w:space="0" w:color="auto"/>
        <w:left w:val="none" w:sz="0" w:space="0" w:color="auto"/>
        <w:bottom w:val="none" w:sz="0" w:space="0" w:color="auto"/>
        <w:right w:val="none" w:sz="0" w:space="0" w:color="auto"/>
      </w:divBdr>
    </w:div>
    <w:div w:id="1346597078">
      <w:bodyDiv w:val="1"/>
      <w:marLeft w:val="0"/>
      <w:marRight w:val="0"/>
      <w:marTop w:val="0"/>
      <w:marBottom w:val="0"/>
      <w:divBdr>
        <w:top w:val="none" w:sz="0" w:space="0" w:color="auto"/>
        <w:left w:val="none" w:sz="0" w:space="0" w:color="auto"/>
        <w:bottom w:val="none" w:sz="0" w:space="0" w:color="auto"/>
        <w:right w:val="none" w:sz="0" w:space="0" w:color="auto"/>
      </w:divBdr>
      <w:divsChild>
        <w:div w:id="876165656">
          <w:marLeft w:val="0"/>
          <w:marRight w:val="0"/>
          <w:marTop w:val="0"/>
          <w:marBottom w:val="0"/>
          <w:divBdr>
            <w:top w:val="single" w:sz="2" w:space="0" w:color="auto"/>
            <w:left w:val="single" w:sz="2" w:space="0" w:color="auto"/>
            <w:bottom w:val="single" w:sz="2" w:space="0" w:color="auto"/>
            <w:right w:val="single" w:sz="2" w:space="0" w:color="auto"/>
          </w:divBdr>
          <w:divsChild>
            <w:div w:id="1598563514">
              <w:marLeft w:val="0"/>
              <w:marRight w:val="0"/>
              <w:marTop w:val="0"/>
              <w:marBottom w:val="0"/>
              <w:divBdr>
                <w:top w:val="single" w:sz="2" w:space="0" w:color="auto"/>
                <w:left w:val="single" w:sz="2" w:space="0" w:color="auto"/>
                <w:bottom w:val="single" w:sz="2" w:space="0" w:color="auto"/>
                <w:right w:val="single" w:sz="2" w:space="0" w:color="auto"/>
              </w:divBdr>
              <w:divsChild>
                <w:div w:id="2132743015">
                  <w:marLeft w:val="0"/>
                  <w:marRight w:val="0"/>
                  <w:marTop w:val="0"/>
                  <w:marBottom w:val="0"/>
                  <w:divBdr>
                    <w:top w:val="single" w:sz="2" w:space="0" w:color="auto"/>
                    <w:left w:val="single" w:sz="2" w:space="0" w:color="auto"/>
                    <w:bottom w:val="single" w:sz="2" w:space="0" w:color="auto"/>
                    <w:right w:val="single" w:sz="2" w:space="0" w:color="auto"/>
                  </w:divBdr>
                </w:div>
              </w:divsChild>
            </w:div>
            <w:div w:id="748497883">
              <w:marLeft w:val="0"/>
              <w:marRight w:val="0"/>
              <w:marTop w:val="0"/>
              <w:marBottom w:val="0"/>
              <w:divBdr>
                <w:top w:val="single" w:sz="2" w:space="0" w:color="auto"/>
                <w:left w:val="single" w:sz="2" w:space="0" w:color="auto"/>
                <w:bottom w:val="single" w:sz="2" w:space="0" w:color="auto"/>
                <w:right w:val="single" w:sz="2" w:space="0" w:color="auto"/>
              </w:divBdr>
              <w:divsChild>
                <w:div w:id="325279448">
                  <w:marLeft w:val="0"/>
                  <w:marRight w:val="0"/>
                  <w:marTop w:val="0"/>
                  <w:marBottom w:val="0"/>
                  <w:divBdr>
                    <w:top w:val="single" w:sz="2" w:space="0" w:color="auto"/>
                    <w:left w:val="single" w:sz="2" w:space="0" w:color="auto"/>
                    <w:bottom w:val="single" w:sz="2" w:space="0" w:color="auto"/>
                    <w:right w:val="single" w:sz="2" w:space="0" w:color="auto"/>
                  </w:divBdr>
                </w:div>
              </w:divsChild>
            </w:div>
            <w:div w:id="1305890561">
              <w:marLeft w:val="0"/>
              <w:marRight w:val="0"/>
              <w:marTop w:val="0"/>
              <w:marBottom w:val="0"/>
              <w:divBdr>
                <w:top w:val="single" w:sz="2" w:space="0" w:color="auto"/>
                <w:left w:val="single" w:sz="2" w:space="0" w:color="auto"/>
                <w:bottom w:val="single" w:sz="2" w:space="0" w:color="auto"/>
                <w:right w:val="single" w:sz="2" w:space="0" w:color="auto"/>
              </w:divBdr>
              <w:divsChild>
                <w:div w:id="167139186">
                  <w:marLeft w:val="0"/>
                  <w:marRight w:val="0"/>
                  <w:marTop w:val="0"/>
                  <w:marBottom w:val="0"/>
                  <w:divBdr>
                    <w:top w:val="single" w:sz="2" w:space="0" w:color="auto"/>
                    <w:left w:val="single" w:sz="2" w:space="0" w:color="auto"/>
                    <w:bottom w:val="single" w:sz="2" w:space="0" w:color="auto"/>
                    <w:right w:val="single" w:sz="2" w:space="0" w:color="auto"/>
                  </w:divBdr>
                </w:div>
              </w:divsChild>
            </w:div>
            <w:div w:id="1517189746">
              <w:marLeft w:val="0"/>
              <w:marRight w:val="0"/>
              <w:marTop w:val="0"/>
              <w:marBottom w:val="0"/>
              <w:divBdr>
                <w:top w:val="single" w:sz="2" w:space="0" w:color="auto"/>
                <w:left w:val="single" w:sz="2" w:space="0" w:color="auto"/>
                <w:bottom w:val="single" w:sz="2" w:space="0" w:color="auto"/>
                <w:right w:val="single" w:sz="2" w:space="0" w:color="auto"/>
              </w:divBdr>
              <w:divsChild>
                <w:div w:id="2004241379">
                  <w:marLeft w:val="0"/>
                  <w:marRight w:val="0"/>
                  <w:marTop w:val="0"/>
                  <w:marBottom w:val="0"/>
                  <w:divBdr>
                    <w:top w:val="single" w:sz="2" w:space="0" w:color="auto"/>
                    <w:left w:val="single" w:sz="2" w:space="0" w:color="auto"/>
                    <w:bottom w:val="single" w:sz="2" w:space="0" w:color="auto"/>
                    <w:right w:val="single" w:sz="2" w:space="0" w:color="auto"/>
                  </w:divBdr>
                </w:div>
              </w:divsChild>
            </w:div>
            <w:div w:id="1481268956">
              <w:marLeft w:val="0"/>
              <w:marRight w:val="0"/>
              <w:marTop w:val="0"/>
              <w:marBottom w:val="0"/>
              <w:divBdr>
                <w:top w:val="single" w:sz="2" w:space="0" w:color="auto"/>
                <w:left w:val="single" w:sz="2" w:space="0" w:color="auto"/>
                <w:bottom w:val="single" w:sz="2" w:space="0" w:color="auto"/>
                <w:right w:val="single" w:sz="2" w:space="0" w:color="auto"/>
              </w:divBdr>
              <w:divsChild>
                <w:div w:id="221451945">
                  <w:marLeft w:val="0"/>
                  <w:marRight w:val="0"/>
                  <w:marTop w:val="0"/>
                  <w:marBottom w:val="0"/>
                  <w:divBdr>
                    <w:top w:val="single" w:sz="2" w:space="0" w:color="auto"/>
                    <w:left w:val="single" w:sz="2" w:space="0" w:color="auto"/>
                    <w:bottom w:val="single" w:sz="2" w:space="0" w:color="auto"/>
                    <w:right w:val="single" w:sz="2" w:space="0" w:color="auto"/>
                  </w:divBdr>
                </w:div>
              </w:divsChild>
            </w:div>
            <w:div w:id="1841580304">
              <w:marLeft w:val="0"/>
              <w:marRight w:val="0"/>
              <w:marTop w:val="0"/>
              <w:marBottom w:val="0"/>
              <w:divBdr>
                <w:top w:val="single" w:sz="2" w:space="0" w:color="auto"/>
                <w:left w:val="single" w:sz="2" w:space="0" w:color="auto"/>
                <w:bottom w:val="single" w:sz="2" w:space="0" w:color="auto"/>
                <w:right w:val="single" w:sz="2" w:space="0" w:color="auto"/>
              </w:divBdr>
              <w:divsChild>
                <w:div w:id="790130412">
                  <w:marLeft w:val="0"/>
                  <w:marRight w:val="0"/>
                  <w:marTop w:val="0"/>
                  <w:marBottom w:val="0"/>
                  <w:divBdr>
                    <w:top w:val="single" w:sz="2" w:space="0" w:color="auto"/>
                    <w:left w:val="single" w:sz="2" w:space="0" w:color="auto"/>
                    <w:bottom w:val="single" w:sz="2" w:space="0" w:color="auto"/>
                    <w:right w:val="single" w:sz="2" w:space="0" w:color="auto"/>
                  </w:divBdr>
                </w:div>
              </w:divsChild>
            </w:div>
            <w:div w:id="1613509476">
              <w:marLeft w:val="0"/>
              <w:marRight w:val="0"/>
              <w:marTop w:val="0"/>
              <w:marBottom w:val="0"/>
              <w:divBdr>
                <w:top w:val="single" w:sz="2" w:space="0" w:color="auto"/>
                <w:left w:val="single" w:sz="2" w:space="0" w:color="auto"/>
                <w:bottom w:val="single" w:sz="2" w:space="0" w:color="auto"/>
                <w:right w:val="single" w:sz="2" w:space="0" w:color="auto"/>
              </w:divBdr>
              <w:divsChild>
                <w:div w:id="453409149">
                  <w:marLeft w:val="0"/>
                  <w:marRight w:val="0"/>
                  <w:marTop w:val="0"/>
                  <w:marBottom w:val="0"/>
                  <w:divBdr>
                    <w:top w:val="single" w:sz="2" w:space="0" w:color="auto"/>
                    <w:left w:val="single" w:sz="2" w:space="0" w:color="auto"/>
                    <w:bottom w:val="single" w:sz="2" w:space="0" w:color="auto"/>
                    <w:right w:val="single" w:sz="2" w:space="0" w:color="auto"/>
                  </w:divBdr>
                </w:div>
              </w:divsChild>
            </w:div>
            <w:div w:id="1743601916">
              <w:marLeft w:val="0"/>
              <w:marRight w:val="0"/>
              <w:marTop w:val="0"/>
              <w:marBottom w:val="0"/>
              <w:divBdr>
                <w:top w:val="single" w:sz="2" w:space="0" w:color="auto"/>
                <w:left w:val="single" w:sz="2" w:space="0" w:color="auto"/>
                <w:bottom w:val="single" w:sz="2" w:space="0" w:color="auto"/>
                <w:right w:val="single" w:sz="2" w:space="0" w:color="auto"/>
              </w:divBdr>
              <w:divsChild>
                <w:div w:id="625697168">
                  <w:marLeft w:val="0"/>
                  <w:marRight w:val="0"/>
                  <w:marTop w:val="0"/>
                  <w:marBottom w:val="0"/>
                  <w:divBdr>
                    <w:top w:val="single" w:sz="2" w:space="0" w:color="auto"/>
                    <w:left w:val="single" w:sz="2" w:space="0" w:color="auto"/>
                    <w:bottom w:val="single" w:sz="2" w:space="0" w:color="auto"/>
                    <w:right w:val="single" w:sz="2" w:space="0" w:color="auto"/>
                  </w:divBdr>
                </w:div>
              </w:divsChild>
            </w:div>
            <w:div w:id="1533224846">
              <w:marLeft w:val="0"/>
              <w:marRight w:val="0"/>
              <w:marTop w:val="0"/>
              <w:marBottom w:val="0"/>
              <w:divBdr>
                <w:top w:val="single" w:sz="2" w:space="0" w:color="auto"/>
                <w:left w:val="single" w:sz="2" w:space="0" w:color="auto"/>
                <w:bottom w:val="single" w:sz="2" w:space="0" w:color="auto"/>
                <w:right w:val="single" w:sz="2" w:space="0" w:color="auto"/>
              </w:divBdr>
              <w:divsChild>
                <w:div w:id="514266289">
                  <w:marLeft w:val="0"/>
                  <w:marRight w:val="0"/>
                  <w:marTop w:val="0"/>
                  <w:marBottom w:val="0"/>
                  <w:divBdr>
                    <w:top w:val="single" w:sz="2" w:space="0" w:color="auto"/>
                    <w:left w:val="single" w:sz="2" w:space="0" w:color="auto"/>
                    <w:bottom w:val="single" w:sz="2" w:space="0" w:color="auto"/>
                    <w:right w:val="single" w:sz="2" w:space="0" w:color="auto"/>
                  </w:divBdr>
                </w:div>
              </w:divsChild>
            </w:div>
            <w:div w:id="1233538055">
              <w:marLeft w:val="0"/>
              <w:marRight w:val="0"/>
              <w:marTop w:val="0"/>
              <w:marBottom w:val="0"/>
              <w:divBdr>
                <w:top w:val="single" w:sz="2" w:space="0" w:color="auto"/>
                <w:left w:val="single" w:sz="2" w:space="0" w:color="auto"/>
                <w:bottom w:val="single" w:sz="2" w:space="0" w:color="auto"/>
                <w:right w:val="single" w:sz="2" w:space="0" w:color="auto"/>
              </w:divBdr>
              <w:divsChild>
                <w:div w:id="2037079032">
                  <w:marLeft w:val="0"/>
                  <w:marRight w:val="0"/>
                  <w:marTop w:val="0"/>
                  <w:marBottom w:val="0"/>
                  <w:divBdr>
                    <w:top w:val="single" w:sz="2" w:space="0" w:color="auto"/>
                    <w:left w:val="single" w:sz="2" w:space="0" w:color="auto"/>
                    <w:bottom w:val="single" w:sz="2" w:space="0" w:color="auto"/>
                    <w:right w:val="single" w:sz="2" w:space="0" w:color="auto"/>
                  </w:divBdr>
                </w:div>
              </w:divsChild>
            </w:div>
            <w:div w:id="1717007257">
              <w:marLeft w:val="0"/>
              <w:marRight w:val="0"/>
              <w:marTop w:val="0"/>
              <w:marBottom w:val="0"/>
              <w:divBdr>
                <w:top w:val="single" w:sz="2" w:space="0" w:color="auto"/>
                <w:left w:val="single" w:sz="2" w:space="0" w:color="auto"/>
                <w:bottom w:val="single" w:sz="2" w:space="0" w:color="auto"/>
                <w:right w:val="single" w:sz="2" w:space="0" w:color="auto"/>
              </w:divBdr>
              <w:divsChild>
                <w:div w:id="1485319284">
                  <w:marLeft w:val="0"/>
                  <w:marRight w:val="0"/>
                  <w:marTop w:val="0"/>
                  <w:marBottom w:val="0"/>
                  <w:divBdr>
                    <w:top w:val="single" w:sz="2" w:space="0" w:color="auto"/>
                    <w:left w:val="single" w:sz="2" w:space="0" w:color="auto"/>
                    <w:bottom w:val="single" w:sz="2" w:space="0" w:color="auto"/>
                    <w:right w:val="single" w:sz="2" w:space="0" w:color="auto"/>
                  </w:divBdr>
                </w:div>
              </w:divsChild>
            </w:div>
            <w:div w:id="515312529">
              <w:marLeft w:val="0"/>
              <w:marRight w:val="0"/>
              <w:marTop w:val="0"/>
              <w:marBottom w:val="0"/>
              <w:divBdr>
                <w:top w:val="single" w:sz="2" w:space="0" w:color="auto"/>
                <w:left w:val="single" w:sz="2" w:space="0" w:color="auto"/>
                <w:bottom w:val="single" w:sz="2" w:space="0" w:color="auto"/>
                <w:right w:val="single" w:sz="2" w:space="0" w:color="auto"/>
              </w:divBdr>
              <w:divsChild>
                <w:div w:id="1879394450">
                  <w:marLeft w:val="0"/>
                  <w:marRight w:val="0"/>
                  <w:marTop w:val="0"/>
                  <w:marBottom w:val="0"/>
                  <w:divBdr>
                    <w:top w:val="single" w:sz="2" w:space="0" w:color="auto"/>
                    <w:left w:val="single" w:sz="2" w:space="0" w:color="auto"/>
                    <w:bottom w:val="single" w:sz="2" w:space="0" w:color="auto"/>
                    <w:right w:val="single" w:sz="2" w:space="0" w:color="auto"/>
                  </w:divBdr>
                </w:div>
              </w:divsChild>
            </w:div>
            <w:div w:id="766123735">
              <w:marLeft w:val="0"/>
              <w:marRight w:val="0"/>
              <w:marTop w:val="0"/>
              <w:marBottom w:val="0"/>
              <w:divBdr>
                <w:top w:val="single" w:sz="2" w:space="0" w:color="auto"/>
                <w:left w:val="single" w:sz="2" w:space="0" w:color="auto"/>
                <w:bottom w:val="single" w:sz="2" w:space="0" w:color="auto"/>
                <w:right w:val="single" w:sz="2" w:space="0" w:color="auto"/>
              </w:divBdr>
              <w:divsChild>
                <w:div w:id="1087504789">
                  <w:marLeft w:val="0"/>
                  <w:marRight w:val="0"/>
                  <w:marTop w:val="0"/>
                  <w:marBottom w:val="0"/>
                  <w:divBdr>
                    <w:top w:val="single" w:sz="2" w:space="0" w:color="auto"/>
                    <w:left w:val="single" w:sz="2" w:space="0" w:color="auto"/>
                    <w:bottom w:val="single" w:sz="2" w:space="0" w:color="auto"/>
                    <w:right w:val="single" w:sz="2" w:space="0" w:color="auto"/>
                  </w:divBdr>
                </w:div>
              </w:divsChild>
            </w:div>
            <w:div w:id="1445229413">
              <w:marLeft w:val="0"/>
              <w:marRight w:val="0"/>
              <w:marTop w:val="0"/>
              <w:marBottom w:val="0"/>
              <w:divBdr>
                <w:top w:val="single" w:sz="2" w:space="0" w:color="auto"/>
                <w:left w:val="single" w:sz="2" w:space="0" w:color="auto"/>
                <w:bottom w:val="single" w:sz="2" w:space="0" w:color="auto"/>
                <w:right w:val="single" w:sz="2" w:space="0" w:color="auto"/>
              </w:divBdr>
              <w:divsChild>
                <w:div w:id="722293284">
                  <w:marLeft w:val="0"/>
                  <w:marRight w:val="0"/>
                  <w:marTop w:val="0"/>
                  <w:marBottom w:val="0"/>
                  <w:divBdr>
                    <w:top w:val="single" w:sz="2" w:space="0" w:color="auto"/>
                    <w:left w:val="single" w:sz="2" w:space="0" w:color="auto"/>
                    <w:bottom w:val="single" w:sz="2" w:space="0" w:color="auto"/>
                    <w:right w:val="single" w:sz="2" w:space="0" w:color="auto"/>
                  </w:divBdr>
                </w:div>
              </w:divsChild>
            </w:div>
            <w:div w:id="1258052984">
              <w:marLeft w:val="0"/>
              <w:marRight w:val="0"/>
              <w:marTop w:val="0"/>
              <w:marBottom w:val="0"/>
              <w:divBdr>
                <w:top w:val="single" w:sz="2" w:space="0" w:color="auto"/>
                <w:left w:val="single" w:sz="2" w:space="0" w:color="auto"/>
                <w:bottom w:val="single" w:sz="2" w:space="0" w:color="auto"/>
                <w:right w:val="single" w:sz="2" w:space="0" w:color="auto"/>
              </w:divBdr>
              <w:divsChild>
                <w:div w:id="622342806">
                  <w:marLeft w:val="0"/>
                  <w:marRight w:val="0"/>
                  <w:marTop w:val="0"/>
                  <w:marBottom w:val="0"/>
                  <w:divBdr>
                    <w:top w:val="single" w:sz="2" w:space="0" w:color="auto"/>
                    <w:left w:val="single" w:sz="2" w:space="0" w:color="auto"/>
                    <w:bottom w:val="single" w:sz="2" w:space="0" w:color="auto"/>
                    <w:right w:val="single" w:sz="2" w:space="0" w:color="auto"/>
                  </w:divBdr>
                </w:div>
              </w:divsChild>
            </w:div>
            <w:div w:id="1587835839">
              <w:marLeft w:val="0"/>
              <w:marRight w:val="0"/>
              <w:marTop w:val="0"/>
              <w:marBottom w:val="0"/>
              <w:divBdr>
                <w:top w:val="single" w:sz="2" w:space="0" w:color="auto"/>
                <w:left w:val="single" w:sz="2" w:space="0" w:color="auto"/>
                <w:bottom w:val="single" w:sz="2" w:space="0" w:color="auto"/>
                <w:right w:val="single" w:sz="2" w:space="0" w:color="auto"/>
              </w:divBdr>
              <w:divsChild>
                <w:div w:id="1603757713">
                  <w:marLeft w:val="0"/>
                  <w:marRight w:val="0"/>
                  <w:marTop w:val="0"/>
                  <w:marBottom w:val="0"/>
                  <w:divBdr>
                    <w:top w:val="single" w:sz="2" w:space="0" w:color="auto"/>
                    <w:left w:val="single" w:sz="2" w:space="0" w:color="auto"/>
                    <w:bottom w:val="single" w:sz="2" w:space="0" w:color="auto"/>
                    <w:right w:val="single" w:sz="2" w:space="0" w:color="auto"/>
                  </w:divBdr>
                </w:div>
              </w:divsChild>
            </w:div>
            <w:div w:id="1644891587">
              <w:marLeft w:val="0"/>
              <w:marRight w:val="0"/>
              <w:marTop w:val="0"/>
              <w:marBottom w:val="0"/>
              <w:divBdr>
                <w:top w:val="single" w:sz="2" w:space="0" w:color="auto"/>
                <w:left w:val="single" w:sz="2" w:space="0" w:color="auto"/>
                <w:bottom w:val="single" w:sz="2" w:space="0" w:color="auto"/>
                <w:right w:val="single" w:sz="2" w:space="0" w:color="auto"/>
              </w:divBdr>
              <w:divsChild>
                <w:div w:id="77992807">
                  <w:marLeft w:val="0"/>
                  <w:marRight w:val="0"/>
                  <w:marTop w:val="0"/>
                  <w:marBottom w:val="0"/>
                  <w:divBdr>
                    <w:top w:val="single" w:sz="2" w:space="0" w:color="auto"/>
                    <w:left w:val="single" w:sz="2" w:space="0" w:color="auto"/>
                    <w:bottom w:val="single" w:sz="2" w:space="0" w:color="auto"/>
                    <w:right w:val="single" w:sz="2" w:space="0" w:color="auto"/>
                  </w:divBdr>
                </w:div>
              </w:divsChild>
            </w:div>
            <w:div w:id="37318992">
              <w:marLeft w:val="0"/>
              <w:marRight w:val="0"/>
              <w:marTop w:val="0"/>
              <w:marBottom w:val="0"/>
              <w:divBdr>
                <w:top w:val="single" w:sz="2" w:space="0" w:color="auto"/>
                <w:left w:val="single" w:sz="2" w:space="0" w:color="auto"/>
                <w:bottom w:val="single" w:sz="2" w:space="0" w:color="auto"/>
                <w:right w:val="single" w:sz="2" w:space="0" w:color="auto"/>
              </w:divBdr>
              <w:divsChild>
                <w:div w:id="1985115131">
                  <w:marLeft w:val="0"/>
                  <w:marRight w:val="0"/>
                  <w:marTop w:val="0"/>
                  <w:marBottom w:val="0"/>
                  <w:divBdr>
                    <w:top w:val="single" w:sz="2" w:space="0" w:color="auto"/>
                    <w:left w:val="single" w:sz="2" w:space="0" w:color="auto"/>
                    <w:bottom w:val="single" w:sz="2" w:space="0" w:color="auto"/>
                    <w:right w:val="single" w:sz="2" w:space="0" w:color="auto"/>
                  </w:divBdr>
                </w:div>
              </w:divsChild>
            </w:div>
            <w:div w:id="1335104973">
              <w:marLeft w:val="0"/>
              <w:marRight w:val="0"/>
              <w:marTop w:val="0"/>
              <w:marBottom w:val="0"/>
              <w:divBdr>
                <w:top w:val="single" w:sz="2" w:space="0" w:color="auto"/>
                <w:left w:val="single" w:sz="2" w:space="0" w:color="auto"/>
                <w:bottom w:val="single" w:sz="2" w:space="0" w:color="auto"/>
                <w:right w:val="single" w:sz="2" w:space="0" w:color="auto"/>
              </w:divBdr>
              <w:divsChild>
                <w:div w:id="582034817">
                  <w:marLeft w:val="0"/>
                  <w:marRight w:val="0"/>
                  <w:marTop w:val="0"/>
                  <w:marBottom w:val="0"/>
                  <w:divBdr>
                    <w:top w:val="single" w:sz="2" w:space="0" w:color="auto"/>
                    <w:left w:val="single" w:sz="2" w:space="0" w:color="auto"/>
                    <w:bottom w:val="single" w:sz="2" w:space="0" w:color="auto"/>
                    <w:right w:val="single" w:sz="2" w:space="0" w:color="auto"/>
                  </w:divBdr>
                </w:div>
              </w:divsChild>
            </w:div>
            <w:div w:id="195047392">
              <w:marLeft w:val="0"/>
              <w:marRight w:val="0"/>
              <w:marTop w:val="0"/>
              <w:marBottom w:val="0"/>
              <w:divBdr>
                <w:top w:val="single" w:sz="2" w:space="0" w:color="auto"/>
                <w:left w:val="single" w:sz="2" w:space="0" w:color="auto"/>
                <w:bottom w:val="single" w:sz="2" w:space="0" w:color="auto"/>
                <w:right w:val="single" w:sz="2" w:space="0" w:color="auto"/>
              </w:divBdr>
              <w:divsChild>
                <w:div w:id="1656299973">
                  <w:marLeft w:val="0"/>
                  <w:marRight w:val="0"/>
                  <w:marTop w:val="0"/>
                  <w:marBottom w:val="0"/>
                  <w:divBdr>
                    <w:top w:val="single" w:sz="2" w:space="0" w:color="auto"/>
                    <w:left w:val="single" w:sz="2" w:space="0" w:color="auto"/>
                    <w:bottom w:val="single" w:sz="2" w:space="0" w:color="auto"/>
                    <w:right w:val="single" w:sz="2" w:space="0" w:color="auto"/>
                  </w:divBdr>
                </w:div>
              </w:divsChild>
            </w:div>
            <w:div w:id="1766607590">
              <w:marLeft w:val="0"/>
              <w:marRight w:val="0"/>
              <w:marTop w:val="0"/>
              <w:marBottom w:val="0"/>
              <w:divBdr>
                <w:top w:val="single" w:sz="2" w:space="0" w:color="auto"/>
                <w:left w:val="single" w:sz="2" w:space="0" w:color="auto"/>
                <w:bottom w:val="single" w:sz="2" w:space="0" w:color="auto"/>
                <w:right w:val="single" w:sz="2" w:space="0" w:color="auto"/>
              </w:divBdr>
              <w:divsChild>
                <w:div w:id="1016469879">
                  <w:marLeft w:val="0"/>
                  <w:marRight w:val="0"/>
                  <w:marTop w:val="0"/>
                  <w:marBottom w:val="0"/>
                  <w:divBdr>
                    <w:top w:val="single" w:sz="2" w:space="0" w:color="auto"/>
                    <w:left w:val="single" w:sz="2" w:space="0" w:color="auto"/>
                    <w:bottom w:val="single" w:sz="2" w:space="0" w:color="auto"/>
                    <w:right w:val="single" w:sz="2" w:space="0" w:color="auto"/>
                  </w:divBdr>
                </w:div>
              </w:divsChild>
            </w:div>
            <w:div w:id="1813060004">
              <w:marLeft w:val="0"/>
              <w:marRight w:val="0"/>
              <w:marTop w:val="0"/>
              <w:marBottom w:val="0"/>
              <w:divBdr>
                <w:top w:val="single" w:sz="2" w:space="0" w:color="auto"/>
                <w:left w:val="single" w:sz="2" w:space="0" w:color="auto"/>
                <w:bottom w:val="single" w:sz="2" w:space="0" w:color="auto"/>
                <w:right w:val="single" w:sz="2" w:space="0" w:color="auto"/>
              </w:divBdr>
              <w:divsChild>
                <w:div w:id="1958173415">
                  <w:marLeft w:val="0"/>
                  <w:marRight w:val="0"/>
                  <w:marTop w:val="0"/>
                  <w:marBottom w:val="0"/>
                  <w:divBdr>
                    <w:top w:val="single" w:sz="2" w:space="0" w:color="auto"/>
                    <w:left w:val="single" w:sz="2" w:space="0" w:color="auto"/>
                    <w:bottom w:val="single" w:sz="2" w:space="0" w:color="auto"/>
                    <w:right w:val="single" w:sz="2" w:space="0" w:color="auto"/>
                  </w:divBdr>
                </w:div>
              </w:divsChild>
            </w:div>
            <w:div w:id="1674796304">
              <w:marLeft w:val="0"/>
              <w:marRight w:val="0"/>
              <w:marTop w:val="0"/>
              <w:marBottom w:val="0"/>
              <w:divBdr>
                <w:top w:val="single" w:sz="2" w:space="0" w:color="auto"/>
                <w:left w:val="single" w:sz="2" w:space="0" w:color="auto"/>
                <w:bottom w:val="single" w:sz="2" w:space="0" w:color="auto"/>
                <w:right w:val="single" w:sz="2" w:space="0" w:color="auto"/>
              </w:divBdr>
              <w:divsChild>
                <w:div w:id="915825140">
                  <w:marLeft w:val="0"/>
                  <w:marRight w:val="0"/>
                  <w:marTop w:val="0"/>
                  <w:marBottom w:val="0"/>
                  <w:divBdr>
                    <w:top w:val="single" w:sz="2" w:space="0" w:color="auto"/>
                    <w:left w:val="single" w:sz="2" w:space="0" w:color="auto"/>
                    <w:bottom w:val="single" w:sz="2" w:space="0" w:color="auto"/>
                    <w:right w:val="single" w:sz="2" w:space="0" w:color="auto"/>
                  </w:divBdr>
                </w:div>
              </w:divsChild>
            </w:div>
            <w:div w:id="896865733">
              <w:marLeft w:val="0"/>
              <w:marRight w:val="0"/>
              <w:marTop w:val="0"/>
              <w:marBottom w:val="0"/>
              <w:divBdr>
                <w:top w:val="single" w:sz="2" w:space="0" w:color="auto"/>
                <w:left w:val="single" w:sz="2" w:space="0" w:color="auto"/>
                <w:bottom w:val="single" w:sz="2" w:space="0" w:color="auto"/>
                <w:right w:val="single" w:sz="2" w:space="0" w:color="auto"/>
              </w:divBdr>
              <w:divsChild>
                <w:div w:id="1372538349">
                  <w:marLeft w:val="0"/>
                  <w:marRight w:val="0"/>
                  <w:marTop w:val="0"/>
                  <w:marBottom w:val="0"/>
                  <w:divBdr>
                    <w:top w:val="single" w:sz="2" w:space="0" w:color="auto"/>
                    <w:left w:val="single" w:sz="2" w:space="0" w:color="auto"/>
                    <w:bottom w:val="single" w:sz="2" w:space="0" w:color="auto"/>
                    <w:right w:val="single" w:sz="2" w:space="0" w:color="auto"/>
                  </w:divBdr>
                </w:div>
              </w:divsChild>
            </w:div>
            <w:div w:id="595673850">
              <w:marLeft w:val="0"/>
              <w:marRight w:val="0"/>
              <w:marTop w:val="0"/>
              <w:marBottom w:val="0"/>
              <w:divBdr>
                <w:top w:val="single" w:sz="2" w:space="0" w:color="auto"/>
                <w:left w:val="single" w:sz="2" w:space="0" w:color="auto"/>
                <w:bottom w:val="single" w:sz="2" w:space="0" w:color="auto"/>
                <w:right w:val="single" w:sz="2" w:space="0" w:color="auto"/>
              </w:divBdr>
              <w:divsChild>
                <w:div w:id="631717893">
                  <w:marLeft w:val="0"/>
                  <w:marRight w:val="0"/>
                  <w:marTop w:val="0"/>
                  <w:marBottom w:val="0"/>
                  <w:divBdr>
                    <w:top w:val="single" w:sz="2" w:space="0" w:color="auto"/>
                    <w:left w:val="single" w:sz="2" w:space="0" w:color="auto"/>
                    <w:bottom w:val="single" w:sz="2" w:space="0" w:color="auto"/>
                    <w:right w:val="single" w:sz="2" w:space="0" w:color="auto"/>
                  </w:divBdr>
                </w:div>
              </w:divsChild>
            </w:div>
            <w:div w:id="1848446927">
              <w:marLeft w:val="0"/>
              <w:marRight w:val="0"/>
              <w:marTop w:val="0"/>
              <w:marBottom w:val="0"/>
              <w:divBdr>
                <w:top w:val="single" w:sz="2" w:space="0" w:color="auto"/>
                <w:left w:val="single" w:sz="2" w:space="0" w:color="auto"/>
                <w:bottom w:val="single" w:sz="2" w:space="0" w:color="auto"/>
                <w:right w:val="single" w:sz="2" w:space="0" w:color="auto"/>
              </w:divBdr>
              <w:divsChild>
                <w:div w:id="311563495">
                  <w:marLeft w:val="0"/>
                  <w:marRight w:val="0"/>
                  <w:marTop w:val="0"/>
                  <w:marBottom w:val="0"/>
                  <w:divBdr>
                    <w:top w:val="single" w:sz="2" w:space="0" w:color="auto"/>
                    <w:left w:val="single" w:sz="2" w:space="0" w:color="auto"/>
                    <w:bottom w:val="single" w:sz="2" w:space="0" w:color="auto"/>
                    <w:right w:val="single" w:sz="2" w:space="0" w:color="auto"/>
                  </w:divBdr>
                </w:div>
              </w:divsChild>
            </w:div>
            <w:div w:id="1204096507">
              <w:marLeft w:val="0"/>
              <w:marRight w:val="0"/>
              <w:marTop w:val="0"/>
              <w:marBottom w:val="0"/>
              <w:divBdr>
                <w:top w:val="single" w:sz="2" w:space="0" w:color="auto"/>
                <w:left w:val="single" w:sz="2" w:space="0" w:color="auto"/>
                <w:bottom w:val="single" w:sz="2" w:space="0" w:color="auto"/>
                <w:right w:val="single" w:sz="2" w:space="0" w:color="auto"/>
              </w:divBdr>
              <w:divsChild>
                <w:div w:id="39328401">
                  <w:marLeft w:val="0"/>
                  <w:marRight w:val="0"/>
                  <w:marTop w:val="0"/>
                  <w:marBottom w:val="0"/>
                  <w:divBdr>
                    <w:top w:val="single" w:sz="2" w:space="0" w:color="auto"/>
                    <w:left w:val="single" w:sz="2" w:space="0" w:color="auto"/>
                    <w:bottom w:val="single" w:sz="2" w:space="0" w:color="auto"/>
                    <w:right w:val="single" w:sz="2" w:space="0" w:color="auto"/>
                  </w:divBdr>
                </w:div>
              </w:divsChild>
            </w:div>
            <w:div w:id="936644844">
              <w:marLeft w:val="0"/>
              <w:marRight w:val="0"/>
              <w:marTop w:val="0"/>
              <w:marBottom w:val="0"/>
              <w:divBdr>
                <w:top w:val="single" w:sz="2" w:space="0" w:color="auto"/>
                <w:left w:val="single" w:sz="2" w:space="0" w:color="auto"/>
                <w:bottom w:val="single" w:sz="2" w:space="0" w:color="auto"/>
                <w:right w:val="single" w:sz="2" w:space="0" w:color="auto"/>
              </w:divBdr>
              <w:divsChild>
                <w:div w:id="1366128897">
                  <w:marLeft w:val="0"/>
                  <w:marRight w:val="0"/>
                  <w:marTop w:val="0"/>
                  <w:marBottom w:val="0"/>
                  <w:divBdr>
                    <w:top w:val="single" w:sz="2" w:space="0" w:color="auto"/>
                    <w:left w:val="single" w:sz="2" w:space="0" w:color="auto"/>
                    <w:bottom w:val="single" w:sz="2" w:space="0" w:color="auto"/>
                    <w:right w:val="single" w:sz="2" w:space="0" w:color="auto"/>
                  </w:divBdr>
                </w:div>
              </w:divsChild>
            </w:div>
            <w:div w:id="2005935552">
              <w:marLeft w:val="0"/>
              <w:marRight w:val="0"/>
              <w:marTop w:val="0"/>
              <w:marBottom w:val="0"/>
              <w:divBdr>
                <w:top w:val="single" w:sz="2" w:space="0" w:color="auto"/>
                <w:left w:val="single" w:sz="2" w:space="0" w:color="auto"/>
                <w:bottom w:val="single" w:sz="2" w:space="0" w:color="auto"/>
                <w:right w:val="single" w:sz="2" w:space="0" w:color="auto"/>
              </w:divBdr>
              <w:divsChild>
                <w:div w:id="1224024736">
                  <w:marLeft w:val="0"/>
                  <w:marRight w:val="0"/>
                  <w:marTop w:val="0"/>
                  <w:marBottom w:val="0"/>
                  <w:divBdr>
                    <w:top w:val="single" w:sz="2" w:space="0" w:color="auto"/>
                    <w:left w:val="single" w:sz="2" w:space="0" w:color="auto"/>
                    <w:bottom w:val="single" w:sz="2" w:space="0" w:color="auto"/>
                    <w:right w:val="single" w:sz="2" w:space="0" w:color="auto"/>
                  </w:divBdr>
                </w:div>
              </w:divsChild>
            </w:div>
            <w:div w:id="636027893">
              <w:marLeft w:val="0"/>
              <w:marRight w:val="0"/>
              <w:marTop w:val="0"/>
              <w:marBottom w:val="0"/>
              <w:divBdr>
                <w:top w:val="single" w:sz="2" w:space="0" w:color="auto"/>
                <w:left w:val="single" w:sz="2" w:space="0" w:color="auto"/>
                <w:bottom w:val="single" w:sz="2" w:space="0" w:color="auto"/>
                <w:right w:val="single" w:sz="2" w:space="0" w:color="auto"/>
              </w:divBdr>
              <w:divsChild>
                <w:div w:id="956715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4015802">
      <w:bodyDiv w:val="1"/>
      <w:marLeft w:val="0"/>
      <w:marRight w:val="0"/>
      <w:marTop w:val="0"/>
      <w:marBottom w:val="0"/>
      <w:divBdr>
        <w:top w:val="none" w:sz="0" w:space="0" w:color="auto"/>
        <w:left w:val="none" w:sz="0" w:space="0" w:color="auto"/>
        <w:bottom w:val="none" w:sz="0" w:space="0" w:color="auto"/>
        <w:right w:val="none" w:sz="0" w:space="0" w:color="auto"/>
      </w:divBdr>
    </w:div>
    <w:div w:id="1438908780">
      <w:bodyDiv w:val="1"/>
      <w:marLeft w:val="0"/>
      <w:marRight w:val="0"/>
      <w:marTop w:val="0"/>
      <w:marBottom w:val="0"/>
      <w:divBdr>
        <w:top w:val="none" w:sz="0" w:space="0" w:color="auto"/>
        <w:left w:val="none" w:sz="0" w:space="0" w:color="auto"/>
        <w:bottom w:val="none" w:sz="0" w:space="0" w:color="auto"/>
        <w:right w:val="none" w:sz="0" w:space="0" w:color="auto"/>
      </w:divBdr>
    </w:div>
    <w:div w:id="1444809205">
      <w:bodyDiv w:val="1"/>
      <w:marLeft w:val="0"/>
      <w:marRight w:val="0"/>
      <w:marTop w:val="0"/>
      <w:marBottom w:val="0"/>
      <w:divBdr>
        <w:top w:val="none" w:sz="0" w:space="0" w:color="auto"/>
        <w:left w:val="none" w:sz="0" w:space="0" w:color="auto"/>
        <w:bottom w:val="none" w:sz="0" w:space="0" w:color="auto"/>
        <w:right w:val="none" w:sz="0" w:space="0" w:color="auto"/>
      </w:divBdr>
    </w:div>
    <w:div w:id="1500151181">
      <w:bodyDiv w:val="1"/>
      <w:marLeft w:val="0"/>
      <w:marRight w:val="0"/>
      <w:marTop w:val="0"/>
      <w:marBottom w:val="0"/>
      <w:divBdr>
        <w:top w:val="none" w:sz="0" w:space="0" w:color="auto"/>
        <w:left w:val="none" w:sz="0" w:space="0" w:color="auto"/>
        <w:bottom w:val="none" w:sz="0" w:space="0" w:color="auto"/>
        <w:right w:val="none" w:sz="0" w:space="0" w:color="auto"/>
      </w:divBdr>
    </w:div>
    <w:div w:id="1514294785">
      <w:bodyDiv w:val="1"/>
      <w:marLeft w:val="0"/>
      <w:marRight w:val="0"/>
      <w:marTop w:val="0"/>
      <w:marBottom w:val="0"/>
      <w:divBdr>
        <w:top w:val="none" w:sz="0" w:space="0" w:color="auto"/>
        <w:left w:val="none" w:sz="0" w:space="0" w:color="auto"/>
        <w:bottom w:val="none" w:sz="0" w:space="0" w:color="auto"/>
        <w:right w:val="none" w:sz="0" w:space="0" w:color="auto"/>
      </w:divBdr>
    </w:div>
    <w:div w:id="1515877510">
      <w:bodyDiv w:val="1"/>
      <w:marLeft w:val="0"/>
      <w:marRight w:val="0"/>
      <w:marTop w:val="0"/>
      <w:marBottom w:val="0"/>
      <w:divBdr>
        <w:top w:val="none" w:sz="0" w:space="0" w:color="auto"/>
        <w:left w:val="none" w:sz="0" w:space="0" w:color="auto"/>
        <w:bottom w:val="none" w:sz="0" w:space="0" w:color="auto"/>
        <w:right w:val="none" w:sz="0" w:space="0" w:color="auto"/>
      </w:divBdr>
    </w:div>
    <w:div w:id="1523398904">
      <w:bodyDiv w:val="1"/>
      <w:marLeft w:val="0"/>
      <w:marRight w:val="0"/>
      <w:marTop w:val="0"/>
      <w:marBottom w:val="0"/>
      <w:divBdr>
        <w:top w:val="none" w:sz="0" w:space="0" w:color="auto"/>
        <w:left w:val="none" w:sz="0" w:space="0" w:color="auto"/>
        <w:bottom w:val="none" w:sz="0" w:space="0" w:color="auto"/>
        <w:right w:val="none" w:sz="0" w:space="0" w:color="auto"/>
      </w:divBdr>
    </w:div>
    <w:div w:id="1647196813">
      <w:bodyDiv w:val="1"/>
      <w:marLeft w:val="0"/>
      <w:marRight w:val="0"/>
      <w:marTop w:val="0"/>
      <w:marBottom w:val="0"/>
      <w:divBdr>
        <w:top w:val="none" w:sz="0" w:space="0" w:color="auto"/>
        <w:left w:val="none" w:sz="0" w:space="0" w:color="auto"/>
        <w:bottom w:val="none" w:sz="0" w:space="0" w:color="auto"/>
        <w:right w:val="none" w:sz="0" w:space="0" w:color="auto"/>
      </w:divBdr>
    </w:div>
    <w:div w:id="1820153337">
      <w:bodyDiv w:val="1"/>
      <w:marLeft w:val="0"/>
      <w:marRight w:val="0"/>
      <w:marTop w:val="0"/>
      <w:marBottom w:val="0"/>
      <w:divBdr>
        <w:top w:val="none" w:sz="0" w:space="0" w:color="auto"/>
        <w:left w:val="none" w:sz="0" w:space="0" w:color="auto"/>
        <w:bottom w:val="none" w:sz="0" w:space="0" w:color="auto"/>
        <w:right w:val="none" w:sz="0" w:space="0" w:color="auto"/>
      </w:divBdr>
    </w:div>
    <w:div w:id="1894923430">
      <w:bodyDiv w:val="1"/>
      <w:marLeft w:val="0"/>
      <w:marRight w:val="0"/>
      <w:marTop w:val="0"/>
      <w:marBottom w:val="0"/>
      <w:divBdr>
        <w:top w:val="none" w:sz="0" w:space="0" w:color="auto"/>
        <w:left w:val="none" w:sz="0" w:space="0" w:color="auto"/>
        <w:bottom w:val="none" w:sz="0" w:space="0" w:color="auto"/>
        <w:right w:val="none" w:sz="0" w:space="0" w:color="auto"/>
      </w:divBdr>
    </w:div>
    <w:div w:id="1948610751">
      <w:bodyDiv w:val="1"/>
      <w:marLeft w:val="0"/>
      <w:marRight w:val="0"/>
      <w:marTop w:val="0"/>
      <w:marBottom w:val="0"/>
      <w:divBdr>
        <w:top w:val="none" w:sz="0" w:space="0" w:color="auto"/>
        <w:left w:val="none" w:sz="0" w:space="0" w:color="auto"/>
        <w:bottom w:val="none" w:sz="0" w:space="0" w:color="auto"/>
        <w:right w:val="none" w:sz="0" w:space="0" w:color="auto"/>
      </w:divBdr>
    </w:div>
    <w:div w:id="1951159231">
      <w:bodyDiv w:val="1"/>
      <w:marLeft w:val="0"/>
      <w:marRight w:val="0"/>
      <w:marTop w:val="0"/>
      <w:marBottom w:val="0"/>
      <w:divBdr>
        <w:top w:val="none" w:sz="0" w:space="0" w:color="auto"/>
        <w:left w:val="none" w:sz="0" w:space="0" w:color="auto"/>
        <w:bottom w:val="none" w:sz="0" w:space="0" w:color="auto"/>
        <w:right w:val="none" w:sz="0" w:space="0" w:color="auto"/>
      </w:divBdr>
    </w:div>
    <w:div w:id="1962224629">
      <w:bodyDiv w:val="1"/>
      <w:marLeft w:val="0"/>
      <w:marRight w:val="0"/>
      <w:marTop w:val="0"/>
      <w:marBottom w:val="0"/>
      <w:divBdr>
        <w:top w:val="none" w:sz="0" w:space="0" w:color="auto"/>
        <w:left w:val="none" w:sz="0" w:space="0" w:color="auto"/>
        <w:bottom w:val="none" w:sz="0" w:space="0" w:color="auto"/>
        <w:right w:val="none" w:sz="0" w:space="0" w:color="auto"/>
      </w:divBdr>
      <w:divsChild>
        <w:div w:id="1906257269">
          <w:marLeft w:val="0"/>
          <w:marRight w:val="0"/>
          <w:marTop w:val="0"/>
          <w:marBottom w:val="0"/>
          <w:divBdr>
            <w:top w:val="none" w:sz="0" w:space="0" w:color="auto"/>
            <w:left w:val="none" w:sz="0" w:space="0" w:color="auto"/>
            <w:bottom w:val="none" w:sz="0" w:space="0" w:color="auto"/>
            <w:right w:val="none" w:sz="0" w:space="0" w:color="auto"/>
          </w:divBdr>
          <w:divsChild>
            <w:div w:id="1632125406">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2054838860">
      <w:bodyDiv w:val="1"/>
      <w:marLeft w:val="0"/>
      <w:marRight w:val="0"/>
      <w:marTop w:val="0"/>
      <w:marBottom w:val="0"/>
      <w:divBdr>
        <w:top w:val="none" w:sz="0" w:space="0" w:color="auto"/>
        <w:left w:val="none" w:sz="0" w:space="0" w:color="auto"/>
        <w:bottom w:val="none" w:sz="0" w:space="0" w:color="auto"/>
        <w:right w:val="none" w:sz="0" w:space="0" w:color="auto"/>
      </w:divBdr>
    </w:div>
    <w:div w:id="2062896188">
      <w:bodyDiv w:val="1"/>
      <w:marLeft w:val="0"/>
      <w:marRight w:val="0"/>
      <w:marTop w:val="0"/>
      <w:marBottom w:val="0"/>
      <w:divBdr>
        <w:top w:val="none" w:sz="0" w:space="0" w:color="auto"/>
        <w:left w:val="none" w:sz="0" w:space="0" w:color="auto"/>
        <w:bottom w:val="none" w:sz="0" w:space="0" w:color="auto"/>
        <w:right w:val="none" w:sz="0" w:space="0" w:color="auto"/>
      </w:divBdr>
    </w:div>
    <w:div w:id="206494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A6A3F-E67B-4354-9973-684F90DCE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2024-06-25T19:26:00Z</dcterms:created>
  <dcterms:modified xsi:type="dcterms:W3CDTF">2024-06-26T11:26:00Z</dcterms:modified>
</cp:coreProperties>
</file>