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B4" w:rsidRDefault="00FD09B4" w:rsidP="00FD09B4">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bookmarkStart w:id="6" w:name="_Toc170344133"/>
      <w:bookmarkStart w:id="7" w:name="_Toc170475965"/>
      <w:r>
        <w:rPr>
          <w:noProof/>
        </w:rPr>
        <w:drawing>
          <wp:inline distT="0" distB="0" distL="0" distR="0" wp14:anchorId="4A5C8F6A" wp14:editId="5BF6A275">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bookmarkEnd w:id="6"/>
      <w:bookmarkEnd w:id="7"/>
    </w:p>
    <w:p w:rsidR="00FD09B4" w:rsidRDefault="00FD09B4" w:rsidP="00FD09B4">
      <w:pPr>
        <w:jc w:val="center"/>
        <w:rPr>
          <w:b/>
          <w:sz w:val="28"/>
        </w:rPr>
      </w:pPr>
      <w:bookmarkStart w:id="8" w:name="_Toc168493927"/>
      <w:bookmarkStart w:id="9" w:name="_Toc168494038"/>
      <w:bookmarkStart w:id="10" w:name="_Toc168681395"/>
      <w:bookmarkStart w:id="11" w:name="_Toc169018611"/>
      <w:bookmarkStart w:id="12" w:name="_Toc169099748"/>
      <w:bookmarkStart w:id="13" w:name="_Toc169194467"/>
      <w:bookmarkStart w:id="14" w:name="_Toc169526156"/>
      <w:bookmarkStart w:id="15" w:name="_Toc169624171"/>
    </w:p>
    <w:p w:rsidR="00FD09B4" w:rsidRPr="00DF16FE" w:rsidRDefault="00FD09B4" w:rsidP="00FD09B4">
      <w:pPr>
        <w:jc w:val="center"/>
        <w:rPr>
          <w:b/>
          <w:sz w:val="28"/>
        </w:rPr>
      </w:pPr>
      <w:r w:rsidRPr="00DF16FE">
        <w:rPr>
          <w:b/>
          <w:sz w:val="28"/>
        </w:rPr>
        <w:t xml:space="preserve">Assignment </w:t>
      </w:r>
      <w:bookmarkEnd w:id="8"/>
      <w:bookmarkEnd w:id="9"/>
      <w:bookmarkEnd w:id="10"/>
      <w:bookmarkEnd w:id="11"/>
      <w:bookmarkEnd w:id="12"/>
      <w:bookmarkEnd w:id="13"/>
      <w:r w:rsidRPr="00DF16FE">
        <w:rPr>
          <w:b/>
          <w:sz w:val="28"/>
        </w:rPr>
        <w:t>on</w:t>
      </w:r>
      <w:bookmarkEnd w:id="14"/>
      <w:bookmarkEnd w:id="15"/>
    </w:p>
    <w:p w:rsidR="00FD09B4" w:rsidRPr="00DF16FE" w:rsidRDefault="00FD09B4" w:rsidP="00FD09B4">
      <w:pPr>
        <w:jc w:val="center"/>
        <w:rPr>
          <w:b/>
          <w:sz w:val="28"/>
        </w:rPr>
      </w:pPr>
      <w:bookmarkStart w:id="16" w:name="_GoBack"/>
      <w:r>
        <w:rPr>
          <w:b/>
          <w:sz w:val="28"/>
        </w:rPr>
        <w:t>HELOCs AND CREDIT CARDS</w:t>
      </w:r>
    </w:p>
    <w:bookmarkEnd w:id="16"/>
    <w:p w:rsidR="00FD09B4" w:rsidRDefault="00FD09B4" w:rsidP="00FD09B4">
      <w:pPr>
        <w:jc w:val="center"/>
        <w:rPr>
          <w:b/>
          <w:sz w:val="28"/>
        </w:rPr>
      </w:pPr>
    </w:p>
    <w:p w:rsidR="00FD09B4" w:rsidRPr="00DF16FE" w:rsidRDefault="00FD09B4" w:rsidP="00FD09B4">
      <w:pPr>
        <w:jc w:val="center"/>
        <w:rPr>
          <w:b/>
          <w:sz w:val="28"/>
        </w:rPr>
      </w:pPr>
    </w:p>
    <w:p w:rsidR="00FD09B4" w:rsidRPr="00DF16FE" w:rsidRDefault="00FD09B4" w:rsidP="00FD09B4">
      <w:pPr>
        <w:jc w:val="center"/>
        <w:rPr>
          <w:b/>
          <w:sz w:val="28"/>
        </w:rPr>
      </w:pPr>
      <w:bookmarkStart w:id="17" w:name="_Toc168493929"/>
      <w:bookmarkStart w:id="18" w:name="_Toc168494040"/>
      <w:bookmarkStart w:id="19" w:name="_Toc168681398"/>
      <w:bookmarkStart w:id="20" w:name="_Toc169018613"/>
      <w:bookmarkStart w:id="21" w:name="_Toc169099751"/>
      <w:bookmarkStart w:id="22" w:name="_Toc169194470"/>
      <w:bookmarkStart w:id="23" w:name="_Toc169526158"/>
      <w:bookmarkStart w:id="24" w:name="_Toc169624173"/>
      <w:r w:rsidRPr="00DF16FE">
        <w:rPr>
          <w:b/>
          <w:sz w:val="28"/>
        </w:rPr>
        <w:t>Under Supervision of:</w:t>
      </w:r>
      <w:bookmarkEnd w:id="17"/>
      <w:bookmarkEnd w:id="18"/>
      <w:bookmarkEnd w:id="19"/>
      <w:bookmarkEnd w:id="20"/>
      <w:bookmarkEnd w:id="21"/>
      <w:bookmarkEnd w:id="22"/>
      <w:bookmarkEnd w:id="23"/>
      <w:bookmarkEnd w:id="24"/>
    </w:p>
    <w:p w:rsidR="00FD09B4" w:rsidRPr="00DF16FE" w:rsidRDefault="00FD09B4" w:rsidP="00FD09B4">
      <w:pPr>
        <w:jc w:val="center"/>
        <w:rPr>
          <w:b/>
          <w:sz w:val="28"/>
        </w:rPr>
      </w:pPr>
      <w:bookmarkStart w:id="25" w:name="_Toc168493930"/>
      <w:bookmarkStart w:id="26" w:name="_Toc168494041"/>
      <w:bookmarkStart w:id="27" w:name="_Toc168681399"/>
      <w:bookmarkStart w:id="28" w:name="_Toc169018614"/>
      <w:bookmarkStart w:id="29" w:name="_Toc169099752"/>
      <w:bookmarkStart w:id="30" w:name="_Toc169194471"/>
      <w:bookmarkStart w:id="31" w:name="_Toc169526159"/>
      <w:bookmarkStart w:id="32" w:name="_Toc169624174"/>
      <w:r w:rsidRPr="00DF16FE">
        <w:rPr>
          <w:b/>
          <w:sz w:val="28"/>
        </w:rPr>
        <w:t xml:space="preserve">Mr. Mohammad </w:t>
      </w:r>
      <w:proofErr w:type="spellStart"/>
      <w:r w:rsidRPr="00DF16FE">
        <w:rPr>
          <w:b/>
          <w:sz w:val="28"/>
        </w:rPr>
        <w:t>Mozammil</w:t>
      </w:r>
      <w:bookmarkEnd w:id="25"/>
      <w:bookmarkEnd w:id="26"/>
      <w:bookmarkEnd w:id="27"/>
      <w:bookmarkEnd w:id="28"/>
      <w:bookmarkEnd w:id="29"/>
      <w:bookmarkEnd w:id="30"/>
      <w:bookmarkEnd w:id="31"/>
      <w:bookmarkEnd w:id="32"/>
      <w:proofErr w:type="spellEnd"/>
    </w:p>
    <w:p w:rsidR="00FD09B4" w:rsidRDefault="00FD09B4" w:rsidP="00FD09B4">
      <w:pPr>
        <w:jc w:val="center"/>
        <w:rPr>
          <w:b/>
          <w:sz w:val="28"/>
        </w:rPr>
      </w:pPr>
      <w:bookmarkStart w:id="33" w:name="_Toc168493931"/>
      <w:bookmarkStart w:id="34" w:name="_Toc168494042"/>
      <w:bookmarkStart w:id="35" w:name="_Toc168681400"/>
      <w:bookmarkStart w:id="36" w:name="_Toc169018615"/>
      <w:bookmarkStart w:id="37" w:name="_Toc169099753"/>
      <w:bookmarkStart w:id="38" w:name="_Toc169194472"/>
      <w:bookmarkStart w:id="39" w:name="_Toc169526160"/>
      <w:bookmarkStart w:id="40" w:name="_Toc169624175"/>
    </w:p>
    <w:p w:rsidR="00FD09B4" w:rsidRPr="00DF16FE" w:rsidRDefault="00FD09B4" w:rsidP="00FD09B4">
      <w:pPr>
        <w:jc w:val="center"/>
        <w:rPr>
          <w:b/>
          <w:sz w:val="28"/>
        </w:rPr>
      </w:pPr>
    </w:p>
    <w:p w:rsidR="00FD09B4" w:rsidRPr="00DF16FE" w:rsidRDefault="00FD09B4" w:rsidP="00FD09B4">
      <w:pPr>
        <w:jc w:val="center"/>
        <w:rPr>
          <w:b/>
          <w:sz w:val="28"/>
        </w:rPr>
      </w:pPr>
      <w:r w:rsidRPr="00DF16FE">
        <w:rPr>
          <w:b/>
          <w:sz w:val="28"/>
        </w:rPr>
        <w:t>Submitted On:</w:t>
      </w:r>
    </w:p>
    <w:p w:rsidR="00FD09B4" w:rsidRPr="00DF16FE" w:rsidRDefault="00FD09B4" w:rsidP="00FD09B4">
      <w:pPr>
        <w:jc w:val="center"/>
        <w:rPr>
          <w:b/>
          <w:sz w:val="28"/>
        </w:rPr>
      </w:pPr>
      <w:r w:rsidRPr="00DF16FE">
        <w:rPr>
          <w:b/>
          <w:sz w:val="28"/>
        </w:rPr>
        <w:t>2</w:t>
      </w:r>
      <w:r>
        <w:rPr>
          <w:b/>
          <w:sz w:val="28"/>
        </w:rPr>
        <w:t>8</w:t>
      </w:r>
      <w:r w:rsidRPr="00DF16FE">
        <w:rPr>
          <w:b/>
          <w:sz w:val="28"/>
          <w:vertAlign w:val="superscript"/>
        </w:rPr>
        <w:t xml:space="preserve">th </w:t>
      </w:r>
      <w:r w:rsidRPr="00DF16FE">
        <w:rPr>
          <w:b/>
          <w:sz w:val="28"/>
        </w:rPr>
        <w:t>June, 2024</w:t>
      </w:r>
    </w:p>
    <w:p w:rsidR="00FD09B4" w:rsidRPr="00DF16FE" w:rsidRDefault="00FD09B4" w:rsidP="00FD09B4">
      <w:pPr>
        <w:jc w:val="center"/>
        <w:rPr>
          <w:b/>
          <w:sz w:val="28"/>
        </w:rPr>
      </w:pPr>
    </w:p>
    <w:p w:rsidR="00FD09B4" w:rsidRPr="00DF16FE" w:rsidRDefault="00FD09B4" w:rsidP="00FD09B4">
      <w:pPr>
        <w:jc w:val="center"/>
        <w:rPr>
          <w:b/>
          <w:sz w:val="28"/>
        </w:rPr>
      </w:pPr>
    </w:p>
    <w:p w:rsidR="00FD09B4" w:rsidRPr="00DF16FE" w:rsidRDefault="00FD09B4" w:rsidP="00FD09B4">
      <w:pPr>
        <w:jc w:val="center"/>
        <w:rPr>
          <w:b/>
          <w:sz w:val="28"/>
        </w:rPr>
      </w:pPr>
      <w:r w:rsidRPr="00DF16FE">
        <w:rPr>
          <w:b/>
          <w:sz w:val="28"/>
        </w:rPr>
        <w:t>Submitted By:</w:t>
      </w:r>
      <w:bookmarkEnd w:id="33"/>
      <w:bookmarkEnd w:id="34"/>
      <w:bookmarkEnd w:id="35"/>
      <w:bookmarkEnd w:id="36"/>
      <w:bookmarkEnd w:id="37"/>
      <w:bookmarkEnd w:id="38"/>
      <w:bookmarkEnd w:id="39"/>
      <w:bookmarkEnd w:id="40"/>
    </w:p>
    <w:p w:rsidR="006118FF" w:rsidRDefault="00FD09B4" w:rsidP="00FD09B4">
      <w:pPr>
        <w:jc w:val="center"/>
        <w:rPr>
          <w:b/>
          <w:sz w:val="28"/>
        </w:rPr>
      </w:pPr>
      <w:bookmarkStart w:id="41" w:name="_Toc168493932"/>
      <w:bookmarkStart w:id="42" w:name="_Toc168494043"/>
      <w:bookmarkStart w:id="43" w:name="_Toc168681401"/>
      <w:bookmarkStart w:id="44" w:name="_Toc169018616"/>
      <w:bookmarkStart w:id="45" w:name="_Toc169099754"/>
      <w:bookmarkStart w:id="46" w:name="_Toc169194473"/>
      <w:bookmarkStart w:id="47" w:name="_Toc169526161"/>
      <w:bookmarkStart w:id="48" w:name="_Toc169624176"/>
      <w:proofErr w:type="spellStart"/>
      <w:r w:rsidRPr="00DF16FE">
        <w:rPr>
          <w:b/>
          <w:sz w:val="28"/>
        </w:rPr>
        <w:t>Archita</w:t>
      </w:r>
      <w:proofErr w:type="spellEnd"/>
      <w:r w:rsidRPr="00DF16FE">
        <w:rPr>
          <w:b/>
          <w:sz w:val="28"/>
        </w:rPr>
        <w:t xml:space="preserve"> Gupta</w:t>
      </w:r>
      <w:bookmarkEnd w:id="41"/>
      <w:bookmarkEnd w:id="42"/>
      <w:bookmarkEnd w:id="43"/>
      <w:bookmarkEnd w:id="44"/>
      <w:bookmarkEnd w:id="45"/>
      <w:bookmarkEnd w:id="46"/>
      <w:bookmarkEnd w:id="47"/>
      <w:bookmarkEnd w:id="48"/>
    </w:p>
    <w:p w:rsidR="00FD09B4" w:rsidRDefault="00FD09B4" w:rsidP="00FD09B4">
      <w:pPr>
        <w:jc w:val="center"/>
      </w:pPr>
    </w:p>
    <w:p w:rsidR="00FD09B4" w:rsidRDefault="00FD09B4" w:rsidP="00FD09B4">
      <w:r>
        <w:br w:type="page"/>
      </w:r>
    </w:p>
    <w:sdt>
      <w:sdtPr>
        <w:id w:val="137790176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401AF" w:rsidRDefault="00C401AF">
          <w:pPr>
            <w:pStyle w:val="TOCHeading"/>
          </w:pPr>
          <w:r>
            <w:t>Table of Contents</w:t>
          </w:r>
        </w:p>
        <w:p w:rsidR="00C401AF" w:rsidRDefault="00C401AF">
          <w:pPr>
            <w:pStyle w:val="TOC1"/>
            <w:tabs>
              <w:tab w:val="right" w:leader="dot" w:pos="9350"/>
            </w:tabs>
            <w:rPr>
              <w:noProof/>
            </w:rPr>
          </w:pPr>
          <w:r>
            <w:fldChar w:fldCharType="begin"/>
          </w:r>
          <w:r>
            <w:instrText xml:space="preserve"> TOC \o "1-3" \h \z \u </w:instrText>
          </w:r>
          <w:r>
            <w:fldChar w:fldCharType="separate"/>
          </w:r>
          <w:hyperlink w:anchor="_Toc170475965" w:history="1"/>
          <w:hyperlink w:anchor="_Toc170475966" w:history="1">
            <w:r w:rsidRPr="00E76037">
              <w:rPr>
                <w:rStyle w:val="Hyperlink"/>
                <w:noProof/>
              </w:rPr>
              <w:t>Home Equity Lines Of Credit</w:t>
            </w:r>
            <w:r>
              <w:rPr>
                <w:noProof/>
                <w:webHidden/>
              </w:rPr>
              <w:tab/>
            </w:r>
            <w:r>
              <w:rPr>
                <w:noProof/>
                <w:webHidden/>
              </w:rPr>
              <w:fldChar w:fldCharType="begin"/>
            </w:r>
            <w:r>
              <w:rPr>
                <w:noProof/>
                <w:webHidden/>
              </w:rPr>
              <w:instrText xml:space="preserve"> PAGEREF _Toc170475966 \h </w:instrText>
            </w:r>
            <w:r>
              <w:rPr>
                <w:noProof/>
                <w:webHidden/>
              </w:rPr>
            </w:r>
            <w:r>
              <w:rPr>
                <w:noProof/>
                <w:webHidden/>
              </w:rPr>
              <w:fldChar w:fldCharType="separate"/>
            </w:r>
            <w:r>
              <w:rPr>
                <w:noProof/>
                <w:webHidden/>
              </w:rPr>
              <w:t>3</w:t>
            </w:r>
            <w:r>
              <w:rPr>
                <w:noProof/>
                <w:webHidden/>
              </w:rPr>
              <w:fldChar w:fldCharType="end"/>
            </w:r>
          </w:hyperlink>
        </w:p>
        <w:p w:rsidR="00C401AF" w:rsidRDefault="00C401AF">
          <w:pPr>
            <w:pStyle w:val="TOC1"/>
            <w:tabs>
              <w:tab w:val="right" w:leader="dot" w:pos="9350"/>
            </w:tabs>
            <w:rPr>
              <w:noProof/>
            </w:rPr>
          </w:pPr>
          <w:hyperlink w:anchor="_Toc170475967" w:history="1">
            <w:r w:rsidRPr="00E76037">
              <w:rPr>
                <w:rStyle w:val="Hyperlink"/>
                <w:noProof/>
              </w:rPr>
              <w:t>Credit Card</w:t>
            </w:r>
            <w:r>
              <w:rPr>
                <w:noProof/>
                <w:webHidden/>
              </w:rPr>
              <w:tab/>
            </w:r>
            <w:r>
              <w:rPr>
                <w:noProof/>
                <w:webHidden/>
              </w:rPr>
              <w:fldChar w:fldCharType="begin"/>
            </w:r>
            <w:r>
              <w:rPr>
                <w:noProof/>
                <w:webHidden/>
              </w:rPr>
              <w:instrText xml:space="preserve"> PAGEREF _Toc170475967 \h </w:instrText>
            </w:r>
            <w:r>
              <w:rPr>
                <w:noProof/>
                <w:webHidden/>
              </w:rPr>
            </w:r>
            <w:r>
              <w:rPr>
                <w:noProof/>
                <w:webHidden/>
              </w:rPr>
              <w:fldChar w:fldCharType="separate"/>
            </w:r>
            <w:r>
              <w:rPr>
                <w:noProof/>
                <w:webHidden/>
              </w:rPr>
              <w:t>8</w:t>
            </w:r>
            <w:r>
              <w:rPr>
                <w:noProof/>
                <w:webHidden/>
              </w:rPr>
              <w:fldChar w:fldCharType="end"/>
            </w:r>
          </w:hyperlink>
        </w:p>
        <w:p w:rsidR="00C401AF" w:rsidRDefault="00C401AF">
          <w:r>
            <w:rPr>
              <w:b/>
              <w:bCs/>
              <w:noProof/>
            </w:rPr>
            <w:fldChar w:fldCharType="end"/>
          </w:r>
        </w:p>
      </w:sdtContent>
    </w:sdt>
    <w:p w:rsidR="00FD09B4" w:rsidRDefault="00FD09B4" w:rsidP="00FD09B4"/>
    <w:p w:rsidR="00C401AF" w:rsidRDefault="00C401AF" w:rsidP="00FD09B4">
      <w:pPr>
        <w:pStyle w:val="Heading1"/>
        <w:jc w:val="center"/>
      </w:pPr>
      <w:bookmarkStart w:id="49" w:name="_Toc170475966"/>
    </w:p>
    <w:p w:rsidR="00C401AF" w:rsidRDefault="00C401AF" w:rsidP="00C401AF">
      <w:pPr>
        <w:rPr>
          <w:rFonts w:asciiTheme="majorHAnsi" w:eastAsiaTheme="majorEastAsia" w:hAnsiTheme="majorHAnsi" w:cstheme="majorBidi"/>
          <w:color w:val="365F91" w:themeColor="accent1" w:themeShade="BF"/>
          <w:sz w:val="28"/>
          <w:szCs w:val="28"/>
        </w:rPr>
      </w:pPr>
      <w:r>
        <w:br w:type="page"/>
      </w:r>
    </w:p>
    <w:p w:rsidR="00FD09B4" w:rsidRDefault="00FD09B4" w:rsidP="00FD09B4">
      <w:pPr>
        <w:pStyle w:val="Heading1"/>
        <w:jc w:val="center"/>
      </w:pPr>
      <w:r>
        <w:lastRenderedPageBreak/>
        <w:t>Home Equity Lines Of Credit</w:t>
      </w:r>
      <w:bookmarkEnd w:id="49"/>
    </w:p>
    <w:p w:rsidR="00FD09B4" w:rsidRDefault="00FD09B4" w:rsidP="00FD09B4"/>
    <w:p w:rsidR="00FD09B4" w:rsidRDefault="00FD09B4" w:rsidP="00FD09B4">
      <w:r w:rsidRPr="00FD09B4">
        <w:t>A Home Equity Line of Credit (HELOC) is a type of loan that allows homeowners to borrow against the equity in their homes. It functions similarly to a credit card, providing a revolving line of credit that homeowners can draw from as needed.</w:t>
      </w:r>
    </w:p>
    <w:p w:rsidR="00FD09B4" w:rsidRPr="00FD09B4" w:rsidRDefault="00FD09B4" w:rsidP="00FD09B4">
      <w:pPr>
        <w:rPr>
          <w:b/>
          <w:bCs/>
        </w:rPr>
      </w:pPr>
      <w:r w:rsidRPr="00FD09B4">
        <w:rPr>
          <w:b/>
          <w:bCs/>
        </w:rPr>
        <w:t>Key Features</w:t>
      </w:r>
      <w:r>
        <w:rPr>
          <w:b/>
          <w:bCs/>
        </w:rPr>
        <w:t>:</w:t>
      </w:r>
    </w:p>
    <w:p w:rsidR="00FD09B4" w:rsidRPr="00FD09B4" w:rsidRDefault="00FD09B4" w:rsidP="00FD09B4">
      <w:pPr>
        <w:numPr>
          <w:ilvl w:val="0"/>
          <w:numId w:val="1"/>
        </w:numPr>
      </w:pPr>
      <w:r w:rsidRPr="00FD09B4">
        <w:rPr>
          <w:b/>
          <w:bCs/>
        </w:rPr>
        <w:t>Revolving Credit Line</w:t>
      </w:r>
      <w:r w:rsidRPr="00FD09B4">
        <w:t>:</w:t>
      </w:r>
    </w:p>
    <w:p w:rsidR="00FD09B4" w:rsidRPr="00FD09B4" w:rsidRDefault="00FD09B4" w:rsidP="00FD09B4">
      <w:pPr>
        <w:numPr>
          <w:ilvl w:val="1"/>
          <w:numId w:val="1"/>
        </w:numPr>
      </w:pPr>
      <w:r w:rsidRPr="00FD09B4">
        <w:t>Borrowers can draw funds up to a predetermined limit.</w:t>
      </w:r>
    </w:p>
    <w:p w:rsidR="00FD09B4" w:rsidRPr="00FD09B4" w:rsidRDefault="00FD09B4" w:rsidP="00FD09B4">
      <w:pPr>
        <w:numPr>
          <w:ilvl w:val="1"/>
          <w:numId w:val="1"/>
        </w:numPr>
      </w:pPr>
      <w:r w:rsidRPr="00FD09B4">
        <w:t>The line of credit replenishes as you pay down the principal, similar to a credit card.</w:t>
      </w:r>
    </w:p>
    <w:p w:rsidR="00FD09B4" w:rsidRPr="00FD09B4" w:rsidRDefault="00FD09B4" w:rsidP="00FD09B4">
      <w:pPr>
        <w:numPr>
          <w:ilvl w:val="0"/>
          <w:numId w:val="1"/>
        </w:numPr>
      </w:pPr>
      <w:r w:rsidRPr="00FD09B4">
        <w:rPr>
          <w:b/>
          <w:bCs/>
        </w:rPr>
        <w:t>Draw Period and Repayment Period</w:t>
      </w:r>
      <w:r w:rsidRPr="00FD09B4">
        <w:t>:</w:t>
      </w:r>
    </w:p>
    <w:p w:rsidR="00FD09B4" w:rsidRPr="00FD09B4" w:rsidRDefault="00FD09B4" w:rsidP="00FD09B4">
      <w:pPr>
        <w:numPr>
          <w:ilvl w:val="1"/>
          <w:numId w:val="1"/>
        </w:numPr>
      </w:pPr>
      <w:r w:rsidRPr="00FD09B4">
        <w:rPr>
          <w:b/>
          <w:bCs/>
        </w:rPr>
        <w:t>Draw Period</w:t>
      </w:r>
      <w:r w:rsidRPr="00FD09B4">
        <w:t>: Typically lasts 5-10 years, during which borrowers can draw from the credit line and are often only required to make interest payments.</w:t>
      </w:r>
    </w:p>
    <w:p w:rsidR="00FD09B4" w:rsidRPr="00FD09B4" w:rsidRDefault="00FD09B4" w:rsidP="00FD09B4">
      <w:pPr>
        <w:numPr>
          <w:ilvl w:val="1"/>
          <w:numId w:val="1"/>
        </w:numPr>
      </w:pPr>
      <w:r w:rsidRPr="00FD09B4">
        <w:rPr>
          <w:b/>
          <w:bCs/>
        </w:rPr>
        <w:t>Repayment Period</w:t>
      </w:r>
      <w:r w:rsidRPr="00FD09B4">
        <w:t>: Follows the draw period, lasting 10-20 years, during which the borrower must repay both principal and interest.</w:t>
      </w:r>
    </w:p>
    <w:p w:rsidR="00FD09B4" w:rsidRPr="00FD09B4" w:rsidRDefault="00FD09B4" w:rsidP="00FD09B4">
      <w:pPr>
        <w:numPr>
          <w:ilvl w:val="0"/>
          <w:numId w:val="1"/>
        </w:numPr>
      </w:pPr>
      <w:r w:rsidRPr="00FD09B4">
        <w:rPr>
          <w:b/>
          <w:bCs/>
        </w:rPr>
        <w:t>Variable Interest Rates</w:t>
      </w:r>
      <w:r w:rsidRPr="00FD09B4">
        <w:t>:</w:t>
      </w:r>
    </w:p>
    <w:p w:rsidR="00FD09B4" w:rsidRPr="00FD09B4" w:rsidRDefault="00FD09B4" w:rsidP="00FD09B4">
      <w:pPr>
        <w:numPr>
          <w:ilvl w:val="1"/>
          <w:numId w:val="1"/>
        </w:numPr>
      </w:pPr>
      <w:r w:rsidRPr="00FD09B4">
        <w:t>HELOCs usually have variable interest rates that can change over time based on market conditions.</w:t>
      </w:r>
    </w:p>
    <w:p w:rsidR="00FD09B4" w:rsidRPr="00FD09B4" w:rsidRDefault="00FD09B4" w:rsidP="00FD09B4">
      <w:pPr>
        <w:numPr>
          <w:ilvl w:val="1"/>
          <w:numId w:val="1"/>
        </w:numPr>
      </w:pPr>
      <w:r w:rsidRPr="00FD09B4">
        <w:t>Some lenders offer fixed-rate options for a portion of the HELOC.</w:t>
      </w:r>
    </w:p>
    <w:p w:rsidR="00FD09B4" w:rsidRPr="00FD09B4" w:rsidRDefault="00FD09B4" w:rsidP="00FD09B4">
      <w:pPr>
        <w:numPr>
          <w:ilvl w:val="0"/>
          <w:numId w:val="1"/>
        </w:numPr>
      </w:pPr>
      <w:r w:rsidRPr="00FD09B4">
        <w:rPr>
          <w:b/>
          <w:bCs/>
        </w:rPr>
        <w:t>Interest Only Payments</w:t>
      </w:r>
      <w:r w:rsidRPr="00FD09B4">
        <w:t>:</w:t>
      </w:r>
    </w:p>
    <w:p w:rsidR="00FD09B4" w:rsidRPr="00FD09B4" w:rsidRDefault="00FD09B4" w:rsidP="00FD09B4">
      <w:pPr>
        <w:numPr>
          <w:ilvl w:val="1"/>
          <w:numId w:val="1"/>
        </w:numPr>
      </w:pPr>
      <w:r w:rsidRPr="00FD09B4">
        <w:t xml:space="preserve">During the draw period, many HELOCs require interest-only </w:t>
      </w:r>
      <w:proofErr w:type="gramStart"/>
      <w:r w:rsidRPr="00FD09B4">
        <w:t>payments,</w:t>
      </w:r>
      <w:proofErr w:type="gramEnd"/>
      <w:r w:rsidRPr="00FD09B4">
        <w:t xml:space="preserve"> though paying down principal is also possible.</w:t>
      </w:r>
    </w:p>
    <w:p w:rsidR="00FD09B4" w:rsidRPr="00FD09B4" w:rsidRDefault="00FD09B4" w:rsidP="00FD09B4">
      <w:pPr>
        <w:numPr>
          <w:ilvl w:val="0"/>
          <w:numId w:val="1"/>
        </w:numPr>
      </w:pPr>
      <w:r w:rsidRPr="00FD09B4">
        <w:rPr>
          <w:b/>
          <w:bCs/>
        </w:rPr>
        <w:t>Secured Loan</w:t>
      </w:r>
      <w:r w:rsidRPr="00FD09B4">
        <w:t>:</w:t>
      </w:r>
    </w:p>
    <w:p w:rsidR="00FD09B4" w:rsidRPr="00FD09B4" w:rsidRDefault="00FD09B4" w:rsidP="00FD09B4">
      <w:pPr>
        <w:numPr>
          <w:ilvl w:val="1"/>
          <w:numId w:val="1"/>
        </w:numPr>
      </w:pPr>
      <w:r w:rsidRPr="00FD09B4">
        <w:t>The loan is secured by the borrower’s home, making it less risky for lenders and often resulting in lower interest rates compared to unsecured loans.</w:t>
      </w:r>
    </w:p>
    <w:p w:rsidR="00120F3E" w:rsidRPr="00120F3E" w:rsidRDefault="00120F3E" w:rsidP="00120F3E">
      <w:pPr>
        <w:rPr>
          <w:b/>
        </w:rPr>
      </w:pPr>
      <w:r>
        <w:rPr>
          <w:b/>
        </w:rPr>
        <w:t>Types of HELOCs:</w:t>
      </w:r>
    </w:p>
    <w:p w:rsidR="00120F3E" w:rsidRDefault="00120F3E" w:rsidP="00120F3E">
      <w:pPr>
        <w:pStyle w:val="ListParagraph"/>
        <w:numPr>
          <w:ilvl w:val="0"/>
          <w:numId w:val="3"/>
        </w:numPr>
      </w:pPr>
      <w:r>
        <w:t>Traditional HELOC: Standard line of credit with variable interest rates.</w:t>
      </w:r>
    </w:p>
    <w:p w:rsidR="00120F3E" w:rsidRDefault="00120F3E" w:rsidP="00120F3E">
      <w:pPr>
        <w:pStyle w:val="ListParagraph"/>
        <w:numPr>
          <w:ilvl w:val="0"/>
          <w:numId w:val="3"/>
        </w:numPr>
      </w:pPr>
      <w:r>
        <w:t>Fixed-Rate HELOC: Offers the option to lock in a portion of the borrowed amount at a fixed rate.</w:t>
      </w:r>
    </w:p>
    <w:p w:rsidR="00120F3E" w:rsidRDefault="00120F3E" w:rsidP="00120F3E">
      <w:pPr>
        <w:pStyle w:val="ListParagraph"/>
        <w:numPr>
          <w:ilvl w:val="0"/>
          <w:numId w:val="3"/>
        </w:numPr>
      </w:pPr>
      <w:r>
        <w:t>Interest-Only HELOC: Allows interest-only payments during the draw period.</w:t>
      </w:r>
    </w:p>
    <w:p w:rsidR="00FD09B4" w:rsidRDefault="00120F3E" w:rsidP="00120F3E">
      <w:pPr>
        <w:pStyle w:val="ListParagraph"/>
        <w:numPr>
          <w:ilvl w:val="0"/>
          <w:numId w:val="3"/>
        </w:numPr>
      </w:pPr>
      <w:r>
        <w:t>HELOC-Home Equity Loan Hybrid: Combines features of both a HELOC and a home equity loan.</w:t>
      </w:r>
    </w:p>
    <w:p w:rsidR="00120F3E" w:rsidRDefault="00120F3E" w:rsidP="00FD09B4">
      <w:pPr>
        <w:rPr>
          <w:b/>
          <w:bCs/>
        </w:rPr>
      </w:pPr>
    </w:p>
    <w:p w:rsidR="00FD09B4" w:rsidRDefault="00FD09B4" w:rsidP="00FD09B4">
      <w:r>
        <w:rPr>
          <w:b/>
          <w:bCs/>
        </w:rPr>
        <w:lastRenderedPageBreak/>
        <w:t>Difference between Home Equity Loans and HELOCs:</w:t>
      </w:r>
    </w:p>
    <w:tbl>
      <w:tblPr>
        <w:tblStyle w:val="TableGrid"/>
        <w:tblW w:w="0" w:type="auto"/>
        <w:tblLook w:val="04A0" w:firstRow="1" w:lastRow="0" w:firstColumn="1" w:lastColumn="0" w:noHBand="0" w:noVBand="1"/>
      </w:tblPr>
      <w:tblGrid>
        <w:gridCol w:w="1494"/>
        <w:gridCol w:w="3236"/>
        <w:gridCol w:w="4846"/>
      </w:tblGrid>
      <w:tr w:rsidR="00FD09B4" w:rsidRPr="00FD09B4" w:rsidTr="00120F3E">
        <w:tc>
          <w:tcPr>
            <w:tcW w:w="0" w:type="auto"/>
            <w:vAlign w:val="center"/>
            <w:hideMark/>
          </w:tcPr>
          <w:p w:rsidR="00FD09B4" w:rsidRPr="00FD09B4" w:rsidRDefault="00FD09B4" w:rsidP="00120F3E">
            <w:pPr>
              <w:spacing w:after="200" w:line="276" w:lineRule="auto"/>
              <w:jc w:val="center"/>
            </w:pPr>
          </w:p>
        </w:tc>
        <w:tc>
          <w:tcPr>
            <w:tcW w:w="0" w:type="auto"/>
            <w:vAlign w:val="center"/>
            <w:hideMark/>
          </w:tcPr>
          <w:p w:rsidR="00FD09B4" w:rsidRPr="00FD09B4" w:rsidRDefault="00FD09B4" w:rsidP="00120F3E">
            <w:pPr>
              <w:spacing w:after="200" w:line="276" w:lineRule="auto"/>
              <w:jc w:val="center"/>
            </w:pPr>
            <w:r w:rsidRPr="00FD09B4">
              <w:rPr>
                <w:b/>
                <w:bCs/>
              </w:rPr>
              <w:t>Home Equity Loan</w:t>
            </w:r>
          </w:p>
        </w:tc>
        <w:tc>
          <w:tcPr>
            <w:tcW w:w="0" w:type="auto"/>
            <w:vAlign w:val="center"/>
            <w:hideMark/>
          </w:tcPr>
          <w:p w:rsidR="00FD09B4" w:rsidRPr="00FD09B4" w:rsidRDefault="00FD09B4" w:rsidP="00120F3E">
            <w:pPr>
              <w:spacing w:after="200" w:line="276" w:lineRule="auto"/>
              <w:jc w:val="center"/>
            </w:pPr>
            <w:r w:rsidRPr="00FD09B4">
              <w:rPr>
                <w:b/>
                <w:bCs/>
              </w:rPr>
              <w:t>HELOC</w:t>
            </w:r>
          </w:p>
        </w:tc>
      </w:tr>
      <w:tr w:rsidR="00FD09B4" w:rsidRPr="00FD09B4" w:rsidTr="00120F3E">
        <w:tc>
          <w:tcPr>
            <w:tcW w:w="0" w:type="auto"/>
            <w:vAlign w:val="center"/>
            <w:hideMark/>
          </w:tcPr>
          <w:p w:rsidR="00FD09B4" w:rsidRPr="00FD09B4" w:rsidRDefault="00FD09B4" w:rsidP="00120F3E">
            <w:pPr>
              <w:spacing w:after="200" w:line="276" w:lineRule="auto"/>
              <w:jc w:val="center"/>
            </w:pPr>
            <w:r w:rsidRPr="00FD09B4">
              <w:rPr>
                <w:b/>
                <w:bCs/>
              </w:rPr>
              <w:t>Disbursement</w:t>
            </w:r>
          </w:p>
        </w:tc>
        <w:tc>
          <w:tcPr>
            <w:tcW w:w="0" w:type="auto"/>
            <w:vAlign w:val="center"/>
            <w:hideMark/>
          </w:tcPr>
          <w:p w:rsidR="00FD09B4" w:rsidRPr="00FD09B4" w:rsidRDefault="00FD09B4" w:rsidP="00120F3E">
            <w:pPr>
              <w:spacing w:after="200" w:line="276" w:lineRule="auto"/>
              <w:jc w:val="center"/>
            </w:pPr>
            <w:r w:rsidRPr="00FD09B4">
              <w:t>Lump-sum amount</w:t>
            </w:r>
          </w:p>
        </w:tc>
        <w:tc>
          <w:tcPr>
            <w:tcW w:w="0" w:type="auto"/>
            <w:vAlign w:val="center"/>
            <w:hideMark/>
          </w:tcPr>
          <w:p w:rsidR="00FD09B4" w:rsidRPr="00FD09B4" w:rsidRDefault="00FD09B4" w:rsidP="00120F3E">
            <w:pPr>
              <w:spacing w:after="200" w:line="276" w:lineRule="auto"/>
              <w:jc w:val="center"/>
            </w:pPr>
            <w:r w:rsidRPr="00FD09B4">
              <w:t>Revolving credit line for a preapproved amount; contract may require a minimum draw at closing</w:t>
            </w:r>
          </w:p>
        </w:tc>
      </w:tr>
      <w:tr w:rsidR="00FD09B4" w:rsidRPr="00FD09B4" w:rsidTr="00120F3E">
        <w:tc>
          <w:tcPr>
            <w:tcW w:w="0" w:type="auto"/>
            <w:vAlign w:val="center"/>
            <w:hideMark/>
          </w:tcPr>
          <w:p w:rsidR="00FD09B4" w:rsidRPr="00FD09B4" w:rsidRDefault="00FD09B4" w:rsidP="00120F3E">
            <w:pPr>
              <w:spacing w:after="200" w:line="276" w:lineRule="auto"/>
              <w:jc w:val="center"/>
            </w:pPr>
            <w:r w:rsidRPr="00FD09B4">
              <w:rPr>
                <w:b/>
                <w:bCs/>
              </w:rPr>
              <w:t>Repayment</w:t>
            </w:r>
          </w:p>
        </w:tc>
        <w:tc>
          <w:tcPr>
            <w:tcW w:w="0" w:type="auto"/>
            <w:vAlign w:val="center"/>
            <w:hideMark/>
          </w:tcPr>
          <w:p w:rsidR="00FD09B4" w:rsidRPr="00FD09B4" w:rsidRDefault="00FD09B4" w:rsidP="00120F3E">
            <w:pPr>
              <w:spacing w:after="200" w:line="276" w:lineRule="auto"/>
              <w:jc w:val="center"/>
            </w:pPr>
            <w:r w:rsidRPr="00FD09B4">
              <w:t>Fixed monthly payments</w:t>
            </w:r>
          </w:p>
        </w:tc>
        <w:tc>
          <w:tcPr>
            <w:tcW w:w="0" w:type="auto"/>
            <w:vAlign w:val="center"/>
            <w:hideMark/>
          </w:tcPr>
          <w:p w:rsidR="00FD09B4" w:rsidRPr="00FD09B4" w:rsidRDefault="00FD09B4" w:rsidP="00120F3E">
            <w:pPr>
              <w:spacing w:after="200" w:line="276" w:lineRule="auto"/>
              <w:jc w:val="center"/>
            </w:pPr>
            <w:r w:rsidRPr="00FD09B4">
              <w:t>Typically interest-only payments during the draw period, followed by full monthly payments</w:t>
            </w:r>
          </w:p>
        </w:tc>
      </w:tr>
      <w:tr w:rsidR="00FD09B4" w:rsidRPr="00FD09B4" w:rsidTr="00120F3E">
        <w:tc>
          <w:tcPr>
            <w:tcW w:w="0" w:type="auto"/>
            <w:vAlign w:val="center"/>
            <w:hideMark/>
          </w:tcPr>
          <w:p w:rsidR="00FD09B4" w:rsidRPr="00FD09B4" w:rsidRDefault="00FD09B4" w:rsidP="00120F3E">
            <w:pPr>
              <w:spacing w:after="200" w:line="276" w:lineRule="auto"/>
              <w:jc w:val="center"/>
            </w:pPr>
            <w:r w:rsidRPr="00FD09B4">
              <w:rPr>
                <w:b/>
                <w:bCs/>
              </w:rPr>
              <w:t>Interest Rates</w:t>
            </w:r>
          </w:p>
        </w:tc>
        <w:tc>
          <w:tcPr>
            <w:tcW w:w="0" w:type="auto"/>
            <w:vAlign w:val="center"/>
            <w:hideMark/>
          </w:tcPr>
          <w:p w:rsidR="00FD09B4" w:rsidRPr="00FD09B4" w:rsidRDefault="00FD09B4" w:rsidP="00120F3E">
            <w:pPr>
              <w:spacing w:after="200" w:line="276" w:lineRule="auto"/>
              <w:jc w:val="center"/>
            </w:pPr>
            <w:r w:rsidRPr="00FD09B4">
              <w:t>Usually fixed</w:t>
            </w:r>
          </w:p>
        </w:tc>
        <w:tc>
          <w:tcPr>
            <w:tcW w:w="0" w:type="auto"/>
            <w:vAlign w:val="center"/>
            <w:hideMark/>
          </w:tcPr>
          <w:p w:rsidR="00FD09B4" w:rsidRPr="00FD09B4" w:rsidRDefault="00FD09B4" w:rsidP="00120F3E">
            <w:pPr>
              <w:spacing w:after="200" w:line="276" w:lineRule="auto"/>
              <w:jc w:val="center"/>
            </w:pPr>
            <w:r w:rsidRPr="00FD09B4">
              <w:t>Generally adjustable, though banks may cap your rates or offer a fixed rate for a specific period of time</w:t>
            </w:r>
          </w:p>
        </w:tc>
      </w:tr>
      <w:tr w:rsidR="00FD09B4" w:rsidRPr="00FD09B4" w:rsidTr="00120F3E">
        <w:tc>
          <w:tcPr>
            <w:tcW w:w="0" w:type="auto"/>
            <w:vAlign w:val="center"/>
            <w:hideMark/>
          </w:tcPr>
          <w:p w:rsidR="00FD09B4" w:rsidRPr="00FD09B4" w:rsidRDefault="00FD09B4" w:rsidP="00120F3E">
            <w:pPr>
              <w:spacing w:after="200" w:line="276" w:lineRule="auto"/>
              <w:jc w:val="center"/>
            </w:pPr>
            <w:r w:rsidRPr="00FD09B4">
              <w:rPr>
                <w:b/>
                <w:bCs/>
              </w:rPr>
              <w:t>Points</w:t>
            </w:r>
          </w:p>
        </w:tc>
        <w:tc>
          <w:tcPr>
            <w:tcW w:w="0" w:type="auto"/>
            <w:vAlign w:val="center"/>
            <w:hideMark/>
          </w:tcPr>
          <w:p w:rsidR="00FD09B4" w:rsidRPr="00FD09B4" w:rsidRDefault="00FD09B4" w:rsidP="00120F3E">
            <w:pPr>
              <w:spacing w:after="200" w:line="276" w:lineRule="auto"/>
              <w:jc w:val="center"/>
            </w:pPr>
            <w:r w:rsidRPr="00FD09B4">
              <w:t>Lenders may charge upfront points that lower your interest rate</w:t>
            </w:r>
          </w:p>
        </w:tc>
        <w:tc>
          <w:tcPr>
            <w:tcW w:w="0" w:type="auto"/>
            <w:vAlign w:val="center"/>
            <w:hideMark/>
          </w:tcPr>
          <w:p w:rsidR="00FD09B4" w:rsidRPr="00FD09B4" w:rsidRDefault="00FD09B4" w:rsidP="00120F3E">
            <w:pPr>
              <w:spacing w:after="200" w:line="276" w:lineRule="auto"/>
              <w:jc w:val="center"/>
            </w:pPr>
            <w:r w:rsidRPr="00FD09B4">
              <w:t>Does not use points</w:t>
            </w:r>
          </w:p>
        </w:tc>
      </w:tr>
      <w:tr w:rsidR="00FD09B4" w:rsidRPr="00FD09B4" w:rsidTr="00120F3E">
        <w:tc>
          <w:tcPr>
            <w:tcW w:w="0" w:type="auto"/>
            <w:vAlign w:val="center"/>
            <w:hideMark/>
          </w:tcPr>
          <w:p w:rsidR="00FD09B4" w:rsidRPr="00FD09B4" w:rsidRDefault="00FD09B4" w:rsidP="00120F3E">
            <w:pPr>
              <w:spacing w:after="200" w:line="276" w:lineRule="auto"/>
              <w:jc w:val="center"/>
            </w:pPr>
            <w:r w:rsidRPr="00FD09B4">
              <w:rPr>
                <w:b/>
                <w:bCs/>
              </w:rPr>
              <w:t>Closing Costs</w:t>
            </w:r>
          </w:p>
        </w:tc>
        <w:tc>
          <w:tcPr>
            <w:tcW w:w="0" w:type="auto"/>
            <w:vAlign w:val="center"/>
            <w:hideMark/>
          </w:tcPr>
          <w:p w:rsidR="00FD09B4" w:rsidRPr="00FD09B4" w:rsidRDefault="00FD09B4" w:rsidP="00120F3E">
            <w:pPr>
              <w:spacing w:after="200" w:line="276" w:lineRule="auto"/>
              <w:jc w:val="center"/>
            </w:pPr>
            <w:r w:rsidRPr="00FD09B4">
              <w:t>Similar to a first mortgage: typically 2% to 5% of the loan amount</w:t>
            </w:r>
          </w:p>
        </w:tc>
        <w:tc>
          <w:tcPr>
            <w:tcW w:w="0" w:type="auto"/>
            <w:vAlign w:val="center"/>
            <w:hideMark/>
          </w:tcPr>
          <w:p w:rsidR="00FD09B4" w:rsidRPr="00FD09B4" w:rsidRDefault="00FD09B4" w:rsidP="00120F3E">
            <w:pPr>
              <w:spacing w:after="200" w:line="276" w:lineRule="auto"/>
              <w:jc w:val="center"/>
            </w:pPr>
            <w:r w:rsidRPr="00FD09B4">
              <w:t>Closing costs (if any) tend to be smaller than those on one-time loans</w:t>
            </w:r>
          </w:p>
        </w:tc>
      </w:tr>
      <w:tr w:rsidR="00FD09B4" w:rsidRPr="00FD09B4" w:rsidTr="00120F3E">
        <w:tc>
          <w:tcPr>
            <w:tcW w:w="0" w:type="auto"/>
            <w:vAlign w:val="center"/>
            <w:hideMark/>
          </w:tcPr>
          <w:p w:rsidR="00FD09B4" w:rsidRPr="00FD09B4" w:rsidRDefault="00FD09B4" w:rsidP="00120F3E">
            <w:pPr>
              <w:spacing w:after="200" w:line="276" w:lineRule="auto"/>
              <w:jc w:val="center"/>
            </w:pPr>
            <w:r w:rsidRPr="00FD09B4">
              <w:rPr>
                <w:b/>
                <w:bCs/>
              </w:rPr>
              <w:t>Pros</w:t>
            </w:r>
          </w:p>
        </w:tc>
        <w:tc>
          <w:tcPr>
            <w:tcW w:w="0" w:type="auto"/>
            <w:vAlign w:val="center"/>
            <w:hideMark/>
          </w:tcPr>
          <w:p w:rsidR="00FD09B4" w:rsidRPr="00FD09B4" w:rsidRDefault="00FD09B4" w:rsidP="00120F3E">
            <w:pPr>
              <w:spacing w:after="200" w:line="276" w:lineRule="auto"/>
              <w:jc w:val="center"/>
            </w:pPr>
            <w:r w:rsidRPr="00FD09B4">
              <w:t>Predictable repayment costs</w:t>
            </w:r>
          </w:p>
        </w:tc>
        <w:tc>
          <w:tcPr>
            <w:tcW w:w="0" w:type="auto"/>
            <w:vAlign w:val="center"/>
            <w:hideMark/>
          </w:tcPr>
          <w:p w:rsidR="00FD09B4" w:rsidRPr="00FD09B4" w:rsidRDefault="00FD09B4" w:rsidP="00120F3E">
            <w:pPr>
              <w:spacing w:after="200" w:line="276" w:lineRule="auto"/>
              <w:jc w:val="center"/>
            </w:pPr>
            <w:r w:rsidRPr="00FD09B4">
              <w:t>Flexibility to draw on credit line whenever you need it; no interest payments on money you don't take out</w:t>
            </w:r>
          </w:p>
        </w:tc>
      </w:tr>
      <w:tr w:rsidR="00FD09B4" w:rsidRPr="00FD09B4" w:rsidTr="00120F3E">
        <w:tc>
          <w:tcPr>
            <w:tcW w:w="0" w:type="auto"/>
            <w:vAlign w:val="center"/>
            <w:hideMark/>
          </w:tcPr>
          <w:p w:rsidR="00FD09B4" w:rsidRPr="00FD09B4" w:rsidRDefault="00FD09B4" w:rsidP="00120F3E">
            <w:pPr>
              <w:spacing w:after="200" w:line="276" w:lineRule="auto"/>
              <w:jc w:val="center"/>
            </w:pPr>
            <w:r w:rsidRPr="00FD09B4">
              <w:rPr>
                <w:b/>
                <w:bCs/>
              </w:rPr>
              <w:t>Cons</w:t>
            </w:r>
          </w:p>
        </w:tc>
        <w:tc>
          <w:tcPr>
            <w:tcW w:w="0" w:type="auto"/>
            <w:vAlign w:val="center"/>
            <w:hideMark/>
          </w:tcPr>
          <w:p w:rsidR="00FD09B4" w:rsidRPr="00FD09B4" w:rsidRDefault="00FD09B4" w:rsidP="00120F3E">
            <w:pPr>
              <w:spacing w:after="200" w:line="276" w:lineRule="auto"/>
              <w:jc w:val="center"/>
            </w:pPr>
            <w:r w:rsidRPr="00FD09B4">
              <w:t>Usually higher interest than HELOCs; lack of flexibility</w:t>
            </w:r>
          </w:p>
        </w:tc>
        <w:tc>
          <w:tcPr>
            <w:tcW w:w="0" w:type="auto"/>
            <w:vAlign w:val="center"/>
            <w:hideMark/>
          </w:tcPr>
          <w:p w:rsidR="00FD09B4" w:rsidRPr="00FD09B4" w:rsidRDefault="00FD09B4" w:rsidP="00120F3E">
            <w:pPr>
              <w:spacing w:after="200" w:line="276" w:lineRule="auto"/>
              <w:jc w:val="center"/>
            </w:pPr>
            <w:r w:rsidRPr="00FD09B4">
              <w:t>Some borrowers may be tempted to use credit for nonessential purchases</w:t>
            </w:r>
          </w:p>
        </w:tc>
      </w:tr>
      <w:tr w:rsidR="00FD09B4" w:rsidRPr="00FD09B4" w:rsidTr="00120F3E">
        <w:tc>
          <w:tcPr>
            <w:tcW w:w="0" w:type="auto"/>
            <w:vAlign w:val="center"/>
            <w:hideMark/>
          </w:tcPr>
          <w:p w:rsidR="00FD09B4" w:rsidRPr="00FD09B4" w:rsidRDefault="00FD09B4" w:rsidP="00120F3E">
            <w:pPr>
              <w:spacing w:after="200" w:line="276" w:lineRule="auto"/>
              <w:jc w:val="center"/>
            </w:pPr>
            <w:r w:rsidRPr="00FD09B4">
              <w:rPr>
                <w:b/>
                <w:bCs/>
              </w:rPr>
              <w:t>Best For</w:t>
            </w:r>
          </w:p>
        </w:tc>
        <w:tc>
          <w:tcPr>
            <w:tcW w:w="0" w:type="auto"/>
            <w:vAlign w:val="center"/>
            <w:hideMark/>
          </w:tcPr>
          <w:p w:rsidR="00FD09B4" w:rsidRPr="00FD09B4" w:rsidRDefault="00FD09B4" w:rsidP="00120F3E">
            <w:pPr>
              <w:spacing w:after="200" w:line="276" w:lineRule="auto"/>
              <w:jc w:val="center"/>
            </w:pPr>
            <w:r w:rsidRPr="00FD09B4">
              <w:t>One-time expenses where you know exactly how much you need</w:t>
            </w:r>
          </w:p>
        </w:tc>
        <w:tc>
          <w:tcPr>
            <w:tcW w:w="0" w:type="auto"/>
            <w:vAlign w:val="center"/>
            <w:hideMark/>
          </w:tcPr>
          <w:p w:rsidR="00FD09B4" w:rsidRPr="00FD09B4" w:rsidRDefault="00FD09B4" w:rsidP="00120F3E">
            <w:pPr>
              <w:spacing w:after="200" w:line="276" w:lineRule="auto"/>
              <w:jc w:val="center"/>
            </w:pPr>
            <w:r w:rsidRPr="00FD09B4">
              <w:t>Situations where you need access to funds at different times</w:t>
            </w:r>
          </w:p>
        </w:tc>
      </w:tr>
    </w:tbl>
    <w:p w:rsidR="00FD09B4" w:rsidRDefault="00FD09B4" w:rsidP="00FD09B4"/>
    <w:p w:rsidR="00120F3E" w:rsidRPr="00120F3E" w:rsidRDefault="00120F3E" w:rsidP="00FD09B4">
      <w:pPr>
        <w:rPr>
          <w:b/>
        </w:rPr>
      </w:pPr>
      <w:r w:rsidRPr="00120F3E">
        <w:rPr>
          <w:b/>
        </w:rPr>
        <w:t>Data Points:</w:t>
      </w:r>
    </w:p>
    <w:p w:rsidR="00120F3E" w:rsidRPr="00120F3E" w:rsidRDefault="00120F3E" w:rsidP="00120F3E">
      <w:pPr>
        <w:rPr>
          <w:b/>
          <w:bCs/>
        </w:rPr>
      </w:pPr>
      <w:r w:rsidRPr="00120F3E">
        <w:rPr>
          <w:b/>
          <w:bCs/>
        </w:rPr>
        <w:t>Market Size and Growth</w:t>
      </w:r>
    </w:p>
    <w:p w:rsidR="00120F3E" w:rsidRPr="00120F3E" w:rsidRDefault="00120F3E" w:rsidP="00120F3E">
      <w:pPr>
        <w:numPr>
          <w:ilvl w:val="0"/>
          <w:numId w:val="4"/>
        </w:numPr>
      </w:pPr>
      <w:r w:rsidRPr="00120F3E">
        <w:rPr>
          <w:b/>
          <w:bCs/>
        </w:rPr>
        <w:t>Total HELOC Balances</w:t>
      </w:r>
      <w:r w:rsidRPr="00120F3E">
        <w:t>: As of Q4 2023, the total HELOC balances in the United States stood at approximately $340 billion.</w:t>
      </w:r>
    </w:p>
    <w:p w:rsidR="00120F3E" w:rsidRPr="00120F3E" w:rsidRDefault="00120F3E" w:rsidP="00120F3E">
      <w:pPr>
        <w:numPr>
          <w:ilvl w:val="0"/>
          <w:numId w:val="4"/>
        </w:numPr>
      </w:pPr>
      <w:r w:rsidRPr="00120F3E">
        <w:rPr>
          <w:b/>
          <w:bCs/>
        </w:rPr>
        <w:t>Year-over-Year Growth</w:t>
      </w:r>
      <w:r w:rsidRPr="00120F3E">
        <w:t>: HELOC originations increased by about 30% from 2022 to 2023.</w:t>
      </w:r>
    </w:p>
    <w:p w:rsidR="00120F3E" w:rsidRPr="00120F3E" w:rsidRDefault="00120F3E" w:rsidP="00120F3E">
      <w:pPr>
        <w:numPr>
          <w:ilvl w:val="0"/>
          <w:numId w:val="4"/>
        </w:numPr>
      </w:pPr>
      <w:r w:rsidRPr="00120F3E">
        <w:rPr>
          <w:b/>
          <w:bCs/>
        </w:rPr>
        <w:t>Market Penetration</w:t>
      </w:r>
      <w:r w:rsidRPr="00120F3E">
        <w:t>: Approximately 3% of U.S. homeowners had an active HELOC.</w:t>
      </w:r>
    </w:p>
    <w:p w:rsidR="00120F3E" w:rsidRDefault="00120F3E" w:rsidP="00120F3E">
      <w:pPr>
        <w:rPr>
          <w:b/>
          <w:bCs/>
        </w:rPr>
      </w:pPr>
    </w:p>
    <w:p w:rsidR="00120F3E" w:rsidRPr="00120F3E" w:rsidRDefault="00120F3E" w:rsidP="00120F3E">
      <w:pPr>
        <w:rPr>
          <w:b/>
          <w:bCs/>
        </w:rPr>
      </w:pPr>
      <w:r w:rsidRPr="00120F3E">
        <w:rPr>
          <w:b/>
          <w:bCs/>
        </w:rPr>
        <w:lastRenderedPageBreak/>
        <w:t>Interest Rates</w:t>
      </w:r>
    </w:p>
    <w:p w:rsidR="00120F3E" w:rsidRPr="00120F3E" w:rsidRDefault="00120F3E" w:rsidP="00120F3E">
      <w:pPr>
        <w:numPr>
          <w:ilvl w:val="0"/>
          <w:numId w:val="5"/>
        </w:numPr>
      </w:pPr>
      <w:r w:rsidRPr="00120F3E">
        <w:rPr>
          <w:b/>
          <w:bCs/>
        </w:rPr>
        <w:t>Average HELOC Rate</w:t>
      </w:r>
      <w:r w:rsidRPr="00120F3E">
        <w:t xml:space="preserve">: As of </w:t>
      </w:r>
      <w:r w:rsidR="005746B7">
        <w:t xml:space="preserve">June 26, </w:t>
      </w:r>
      <w:r w:rsidRPr="00120F3E">
        <w:t xml:space="preserve">2024, the average HELOC rate was around </w:t>
      </w:r>
      <w:r w:rsidR="005746B7">
        <w:t>9.1</w:t>
      </w:r>
      <w:r w:rsidRPr="00120F3E">
        <w:t>%.</w:t>
      </w:r>
    </w:p>
    <w:p w:rsidR="00120F3E" w:rsidRPr="00120F3E" w:rsidRDefault="00120F3E" w:rsidP="00120F3E">
      <w:pPr>
        <w:numPr>
          <w:ilvl w:val="0"/>
          <w:numId w:val="5"/>
        </w:numPr>
      </w:pPr>
      <w:r w:rsidRPr="00120F3E">
        <w:rPr>
          <w:b/>
          <w:bCs/>
        </w:rPr>
        <w:t>Rate Range</w:t>
      </w:r>
      <w:r w:rsidRPr="00120F3E">
        <w:t>: HELOC rates typically ranged from 6% to 12%, depending on the borrower's creditworthiness and the lender.</w:t>
      </w:r>
    </w:p>
    <w:p w:rsidR="00120F3E" w:rsidRPr="00120F3E" w:rsidRDefault="00120F3E" w:rsidP="00120F3E">
      <w:pPr>
        <w:numPr>
          <w:ilvl w:val="0"/>
          <w:numId w:val="5"/>
        </w:numPr>
      </w:pPr>
      <w:r w:rsidRPr="00120F3E">
        <w:rPr>
          <w:b/>
          <w:bCs/>
        </w:rPr>
        <w:t xml:space="preserve">Spread </w:t>
      </w:r>
      <w:proofErr w:type="gramStart"/>
      <w:r w:rsidRPr="00120F3E">
        <w:rPr>
          <w:b/>
          <w:bCs/>
        </w:rPr>
        <w:t>Above</w:t>
      </w:r>
      <w:proofErr w:type="gramEnd"/>
      <w:r w:rsidRPr="00120F3E">
        <w:rPr>
          <w:b/>
          <w:bCs/>
        </w:rPr>
        <w:t xml:space="preserve"> Prime</w:t>
      </w:r>
      <w:r w:rsidRPr="00120F3E">
        <w:t>: Most HELOCs were priced at 0.5% to 2% above the prime rate.</w:t>
      </w:r>
    </w:p>
    <w:p w:rsidR="00120F3E" w:rsidRPr="00120F3E" w:rsidRDefault="00120F3E" w:rsidP="00120F3E">
      <w:pPr>
        <w:rPr>
          <w:b/>
          <w:bCs/>
        </w:rPr>
      </w:pPr>
      <w:r w:rsidRPr="00120F3E">
        <w:rPr>
          <w:b/>
          <w:bCs/>
        </w:rPr>
        <w:t>Borrower Demographics</w:t>
      </w:r>
    </w:p>
    <w:p w:rsidR="00120F3E" w:rsidRPr="00120F3E" w:rsidRDefault="00120F3E" w:rsidP="00120F3E">
      <w:pPr>
        <w:numPr>
          <w:ilvl w:val="0"/>
          <w:numId w:val="6"/>
        </w:numPr>
      </w:pPr>
      <w:r w:rsidRPr="00120F3E">
        <w:rPr>
          <w:b/>
          <w:bCs/>
        </w:rPr>
        <w:t>Average Credit Score</w:t>
      </w:r>
      <w:r w:rsidRPr="00120F3E">
        <w:t>: The mean credit score for HELOC borrowers was 762.</w:t>
      </w:r>
    </w:p>
    <w:p w:rsidR="00120F3E" w:rsidRPr="00120F3E" w:rsidRDefault="00120F3E" w:rsidP="00120F3E">
      <w:pPr>
        <w:numPr>
          <w:ilvl w:val="0"/>
          <w:numId w:val="6"/>
        </w:numPr>
      </w:pPr>
      <w:r w:rsidRPr="00120F3E">
        <w:rPr>
          <w:b/>
          <w:bCs/>
        </w:rPr>
        <w:t>Average Income</w:t>
      </w:r>
      <w:r w:rsidRPr="00120F3E">
        <w:t>: The median household income for HELOC borrowers was $125,000.</w:t>
      </w:r>
    </w:p>
    <w:p w:rsidR="00120F3E" w:rsidRPr="00120F3E" w:rsidRDefault="00120F3E" w:rsidP="00120F3E">
      <w:pPr>
        <w:rPr>
          <w:b/>
          <w:bCs/>
        </w:rPr>
      </w:pPr>
      <w:r w:rsidRPr="00120F3E">
        <w:rPr>
          <w:b/>
          <w:bCs/>
        </w:rPr>
        <w:t>Purpose of Borrowing</w:t>
      </w:r>
      <w:r>
        <w:rPr>
          <w:b/>
          <w:bCs/>
        </w:rPr>
        <w:t>:</w:t>
      </w:r>
    </w:p>
    <w:p w:rsidR="00120F3E" w:rsidRPr="00120F3E" w:rsidRDefault="00120F3E" w:rsidP="00120F3E">
      <w:r>
        <w:rPr>
          <w:noProof/>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0F3E" w:rsidRPr="00120F3E" w:rsidRDefault="00120F3E" w:rsidP="00120F3E">
      <w:pPr>
        <w:rPr>
          <w:b/>
          <w:bCs/>
        </w:rPr>
      </w:pPr>
      <w:r w:rsidRPr="00120F3E">
        <w:rPr>
          <w:b/>
          <w:bCs/>
        </w:rPr>
        <w:t>Default Rates</w:t>
      </w:r>
    </w:p>
    <w:p w:rsidR="00120F3E" w:rsidRPr="00120F3E" w:rsidRDefault="00120F3E" w:rsidP="00120F3E">
      <w:pPr>
        <w:numPr>
          <w:ilvl w:val="0"/>
          <w:numId w:val="10"/>
        </w:numPr>
      </w:pPr>
      <w:r w:rsidRPr="00120F3E">
        <w:rPr>
          <w:b/>
          <w:bCs/>
        </w:rPr>
        <w:t>Overall Default Rate</w:t>
      </w:r>
      <w:r w:rsidRPr="00120F3E">
        <w:t>: The 90+ day delinquency rate for HELOCs was approximately 0.7%.</w:t>
      </w:r>
    </w:p>
    <w:p w:rsidR="00120F3E" w:rsidRPr="00120F3E" w:rsidRDefault="00120F3E" w:rsidP="00120F3E">
      <w:pPr>
        <w:numPr>
          <w:ilvl w:val="0"/>
          <w:numId w:val="10"/>
        </w:numPr>
      </w:pPr>
      <w:r w:rsidRPr="00120F3E">
        <w:rPr>
          <w:b/>
          <w:bCs/>
        </w:rPr>
        <w:t>Foreclosure Rate</w:t>
      </w:r>
      <w:r w:rsidRPr="00120F3E">
        <w:t>: The foreclosure rate on properties with HELOCs was about 0.3%.</w:t>
      </w:r>
    </w:p>
    <w:p w:rsidR="00120F3E" w:rsidRPr="00120F3E" w:rsidRDefault="00120F3E" w:rsidP="00120F3E">
      <w:pPr>
        <w:rPr>
          <w:b/>
          <w:bCs/>
        </w:rPr>
      </w:pPr>
      <w:r w:rsidRPr="00120F3E">
        <w:rPr>
          <w:b/>
          <w:bCs/>
        </w:rPr>
        <w:t>Lender Information</w:t>
      </w:r>
    </w:p>
    <w:p w:rsidR="00120F3E" w:rsidRPr="00120F3E" w:rsidRDefault="00120F3E" w:rsidP="00120F3E">
      <w:pPr>
        <w:numPr>
          <w:ilvl w:val="0"/>
          <w:numId w:val="11"/>
        </w:numPr>
      </w:pPr>
      <w:r w:rsidRPr="00120F3E">
        <w:rPr>
          <w:b/>
          <w:bCs/>
        </w:rPr>
        <w:t>Market Share</w:t>
      </w:r>
      <w:r w:rsidRPr="00120F3E">
        <w:t>: The top 5 HELOC lenders accounted for approximately 35% of all HELOC originations.</w:t>
      </w:r>
    </w:p>
    <w:p w:rsidR="00120F3E" w:rsidRPr="00120F3E" w:rsidRDefault="00120F3E" w:rsidP="00120F3E">
      <w:pPr>
        <w:numPr>
          <w:ilvl w:val="0"/>
          <w:numId w:val="11"/>
        </w:numPr>
      </w:pPr>
      <w:r w:rsidRPr="00120F3E">
        <w:rPr>
          <w:b/>
          <w:bCs/>
        </w:rPr>
        <w:t>Average Approval Time</w:t>
      </w:r>
      <w:r w:rsidRPr="00120F3E">
        <w:t>: The average time from application to approval was 14 days.</w:t>
      </w:r>
    </w:p>
    <w:p w:rsidR="00120F3E" w:rsidRPr="00120F3E" w:rsidRDefault="00120F3E" w:rsidP="00120F3E">
      <w:pPr>
        <w:numPr>
          <w:ilvl w:val="0"/>
          <w:numId w:val="11"/>
        </w:numPr>
      </w:pPr>
      <w:r w:rsidRPr="00120F3E">
        <w:rPr>
          <w:b/>
          <w:bCs/>
        </w:rPr>
        <w:lastRenderedPageBreak/>
        <w:t>Digital Adoption</w:t>
      </w:r>
      <w:r w:rsidRPr="00120F3E">
        <w:t>: About 60% of HELOC applications were initiated online.</w:t>
      </w:r>
    </w:p>
    <w:p w:rsidR="00120F3E" w:rsidRPr="000A552C" w:rsidRDefault="00120F3E" w:rsidP="00120F3E">
      <w:pPr>
        <w:rPr>
          <w:b/>
        </w:rPr>
      </w:pPr>
      <w:r>
        <w:rPr>
          <w:b/>
        </w:rPr>
        <w:t>Advantages and Disadvantages:</w:t>
      </w:r>
    </w:p>
    <w:tbl>
      <w:tblPr>
        <w:tblStyle w:val="TableGrid"/>
        <w:tblW w:w="9390" w:type="dxa"/>
        <w:tblLook w:val="04A0" w:firstRow="1" w:lastRow="0" w:firstColumn="1" w:lastColumn="0" w:noHBand="0" w:noVBand="1"/>
      </w:tblPr>
      <w:tblGrid>
        <w:gridCol w:w="4091"/>
        <w:gridCol w:w="5299"/>
      </w:tblGrid>
      <w:tr w:rsidR="00120F3E" w:rsidRPr="00B76AAF" w:rsidTr="001C583A">
        <w:trPr>
          <w:trHeight w:val="432"/>
        </w:trPr>
        <w:tc>
          <w:tcPr>
            <w:tcW w:w="4091" w:type="dxa"/>
            <w:noWrap/>
            <w:vAlign w:val="center"/>
            <w:hideMark/>
          </w:tcPr>
          <w:p w:rsidR="00120F3E" w:rsidRPr="0068543F" w:rsidRDefault="00120F3E" w:rsidP="001C583A">
            <w:pPr>
              <w:jc w:val="center"/>
              <w:rPr>
                <w:b/>
              </w:rPr>
            </w:pPr>
            <w:r w:rsidRPr="0068543F">
              <w:rPr>
                <w:b/>
              </w:rPr>
              <w:t>Pros</w:t>
            </w:r>
          </w:p>
        </w:tc>
        <w:tc>
          <w:tcPr>
            <w:tcW w:w="5299" w:type="dxa"/>
            <w:noWrap/>
            <w:vAlign w:val="center"/>
            <w:hideMark/>
          </w:tcPr>
          <w:p w:rsidR="00120F3E" w:rsidRPr="0068543F" w:rsidRDefault="00120F3E" w:rsidP="001C583A">
            <w:pPr>
              <w:jc w:val="center"/>
              <w:rPr>
                <w:b/>
              </w:rPr>
            </w:pPr>
            <w:r w:rsidRPr="0068543F">
              <w:rPr>
                <w:b/>
              </w:rPr>
              <w:t>Cons</w:t>
            </w:r>
          </w:p>
        </w:tc>
      </w:tr>
      <w:tr w:rsidR="00120F3E" w:rsidRPr="00B76AAF" w:rsidTr="001C583A">
        <w:trPr>
          <w:trHeight w:val="300"/>
        </w:trPr>
        <w:tc>
          <w:tcPr>
            <w:tcW w:w="4091" w:type="dxa"/>
            <w:noWrap/>
          </w:tcPr>
          <w:p w:rsidR="00120F3E" w:rsidRPr="00120F3E" w:rsidRDefault="00A35C0A" w:rsidP="00120F3E">
            <w:pPr>
              <w:pStyle w:val="NormalWeb"/>
              <w:numPr>
                <w:ilvl w:val="0"/>
                <w:numId w:val="12"/>
              </w:numPr>
              <w:shd w:val="clear" w:color="auto" w:fill="FFFFFF"/>
              <w:rPr>
                <w:rFonts w:asciiTheme="minorHAnsi" w:hAnsiTheme="minorHAnsi" w:cstheme="minorHAnsi"/>
                <w:color w:val="111111"/>
                <w:spacing w:val="1"/>
                <w:sz w:val="22"/>
                <w:szCs w:val="22"/>
              </w:rPr>
            </w:pPr>
            <w:r>
              <w:rPr>
                <w:rFonts w:asciiTheme="minorHAnsi" w:hAnsiTheme="minorHAnsi" w:cstheme="minorHAnsi"/>
                <w:color w:val="111111"/>
                <w:spacing w:val="1"/>
                <w:sz w:val="22"/>
                <w:szCs w:val="22"/>
              </w:rPr>
              <w:t>Flexible Access to Funds</w:t>
            </w:r>
          </w:p>
          <w:p w:rsidR="00A35C0A" w:rsidRDefault="00120F3E" w:rsidP="00120F3E">
            <w:pPr>
              <w:pStyle w:val="NormalWeb"/>
              <w:numPr>
                <w:ilvl w:val="0"/>
                <w:numId w:val="12"/>
              </w:numPr>
              <w:shd w:val="clear" w:color="auto" w:fill="FFFFFF"/>
              <w:rPr>
                <w:rFonts w:asciiTheme="minorHAnsi" w:hAnsiTheme="minorHAnsi" w:cstheme="minorHAnsi"/>
                <w:color w:val="111111"/>
                <w:spacing w:val="1"/>
                <w:sz w:val="22"/>
                <w:szCs w:val="22"/>
              </w:rPr>
            </w:pPr>
            <w:r w:rsidRPr="00A35C0A">
              <w:rPr>
                <w:rFonts w:asciiTheme="minorHAnsi" w:hAnsiTheme="minorHAnsi" w:cstheme="minorHAnsi"/>
                <w:color w:val="111111"/>
                <w:spacing w:val="1"/>
                <w:sz w:val="22"/>
                <w:szCs w:val="22"/>
              </w:rPr>
              <w:t>Interest-Only Payments</w:t>
            </w:r>
          </w:p>
          <w:p w:rsidR="00120F3E" w:rsidRPr="00A35C0A" w:rsidRDefault="00120F3E" w:rsidP="00120F3E">
            <w:pPr>
              <w:pStyle w:val="NormalWeb"/>
              <w:numPr>
                <w:ilvl w:val="0"/>
                <w:numId w:val="12"/>
              </w:numPr>
              <w:shd w:val="clear" w:color="auto" w:fill="FFFFFF"/>
              <w:rPr>
                <w:rFonts w:asciiTheme="minorHAnsi" w:hAnsiTheme="minorHAnsi" w:cstheme="minorHAnsi"/>
                <w:color w:val="111111"/>
                <w:spacing w:val="1"/>
                <w:sz w:val="22"/>
                <w:szCs w:val="22"/>
              </w:rPr>
            </w:pPr>
            <w:r w:rsidRPr="00A35C0A">
              <w:rPr>
                <w:rFonts w:asciiTheme="minorHAnsi" w:hAnsiTheme="minorHAnsi" w:cstheme="minorHAnsi"/>
                <w:color w:val="111111"/>
                <w:spacing w:val="1"/>
                <w:sz w:val="22"/>
                <w:szCs w:val="22"/>
              </w:rPr>
              <w:t>Lower Interest Rates</w:t>
            </w:r>
          </w:p>
          <w:p w:rsidR="00120F3E" w:rsidRPr="0068543F" w:rsidRDefault="00120F3E" w:rsidP="00A35C0A">
            <w:pPr>
              <w:pStyle w:val="NormalWeb"/>
              <w:numPr>
                <w:ilvl w:val="0"/>
                <w:numId w:val="12"/>
              </w:numPr>
              <w:shd w:val="clear" w:color="auto" w:fill="FFFFFF"/>
              <w:spacing w:before="0" w:beforeAutospacing="0"/>
              <w:rPr>
                <w:rFonts w:asciiTheme="minorHAnsi" w:hAnsiTheme="minorHAnsi" w:cstheme="minorHAnsi"/>
                <w:color w:val="111111"/>
                <w:spacing w:val="1"/>
                <w:sz w:val="22"/>
                <w:szCs w:val="22"/>
              </w:rPr>
            </w:pPr>
            <w:r w:rsidRPr="00120F3E">
              <w:rPr>
                <w:rFonts w:asciiTheme="minorHAnsi" w:hAnsiTheme="minorHAnsi" w:cstheme="minorHAnsi"/>
                <w:color w:val="111111"/>
                <w:spacing w:val="1"/>
                <w:sz w:val="22"/>
                <w:szCs w:val="22"/>
              </w:rPr>
              <w:t>Tax Deductible Interest</w:t>
            </w:r>
          </w:p>
        </w:tc>
        <w:tc>
          <w:tcPr>
            <w:tcW w:w="5299" w:type="dxa"/>
            <w:noWrap/>
          </w:tcPr>
          <w:p w:rsidR="00A35C0A" w:rsidRPr="00A35C0A" w:rsidRDefault="00A35C0A" w:rsidP="00A35C0A">
            <w:pPr>
              <w:pStyle w:val="NormalWeb"/>
              <w:numPr>
                <w:ilvl w:val="0"/>
                <w:numId w:val="13"/>
              </w:numPr>
              <w:shd w:val="clear" w:color="auto" w:fill="FFFFFF"/>
              <w:rPr>
                <w:rFonts w:asciiTheme="minorHAnsi" w:hAnsiTheme="minorHAnsi" w:cstheme="minorHAnsi"/>
                <w:color w:val="111111"/>
                <w:spacing w:val="1"/>
                <w:sz w:val="22"/>
                <w:szCs w:val="22"/>
              </w:rPr>
            </w:pPr>
            <w:r w:rsidRPr="00A35C0A">
              <w:rPr>
                <w:rFonts w:asciiTheme="minorHAnsi" w:hAnsiTheme="minorHAnsi" w:cstheme="minorHAnsi"/>
                <w:color w:val="111111"/>
                <w:spacing w:val="1"/>
                <w:sz w:val="22"/>
                <w:szCs w:val="22"/>
              </w:rPr>
              <w:t>Variable Interest Rates</w:t>
            </w:r>
          </w:p>
          <w:p w:rsidR="00A35C0A" w:rsidRPr="00A35C0A" w:rsidRDefault="00A35C0A" w:rsidP="00A35C0A">
            <w:pPr>
              <w:pStyle w:val="NormalWeb"/>
              <w:numPr>
                <w:ilvl w:val="0"/>
                <w:numId w:val="13"/>
              </w:numPr>
              <w:shd w:val="clear" w:color="auto" w:fill="FFFFFF"/>
              <w:rPr>
                <w:rFonts w:asciiTheme="minorHAnsi" w:hAnsiTheme="minorHAnsi" w:cstheme="minorHAnsi"/>
                <w:color w:val="111111"/>
                <w:spacing w:val="1"/>
                <w:sz w:val="22"/>
                <w:szCs w:val="22"/>
              </w:rPr>
            </w:pPr>
            <w:r w:rsidRPr="00A35C0A">
              <w:rPr>
                <w:rFonts w:asciiTheme="minorHAnsi" w:hAnsiTheme="minorHAnsi" w:cstheme="minorHAnsi"/>
                <w:color w:val="111111"/>
                <w:spacing w:val="1"/>
                <w:sz w:val="22"/>
                <w:szCs w:val="22"/>
              </w:rPr>
              <w:t>Risk of Foreclosure</w:t>
            </w:r>
          </w:p>
          <w:p w:rsidR="00A35C0A" w:rsidRPr="00A35C0A" w:rsidRDefault="00A35C0A" w:rsidP="00A35C0A">
            <w:pPr>
              <w:pStyle w:val="NormalWeb"/>
              <w:numPr>
                <w:ilvl w:val="0"/>
                <w:numId w:val="13"/>
              </w:numPr>
              <w:shd w:val="clear" w:color="auto" w:fill="FFFFFF"/>
              <w:rPr>
                <w:rFonts w:asciiTheme="minorHAnsi" w:hAnsiTheme="minorHAnsi" w:cstheme="minorHAnsi"/>
                <w:color w:val="111111"/>
                <w:spacing w:val="1"/>
                <w:sz w:val="22"/>
                <w:szCs w:val="22"/>
              </w:rPr>
            </w:pPr>
            <w:r w:rsidRPr="00A35C0A">
              <w:rPr>
                <w:rFonts w:asciiTheme="minorHAnsi" w:hAnsiTheme="minorHAnsi" w:cstheme="minorHAnsi"/>
                <w:color w:val="111111"/>
                <w:spacing w:val="1"/>
                <w:sz w:val="22"/>
                <w:szCs w:val="22"/>
              </w:rPr>
              <w:t>Potential for Over-Borrowing</w:t>
            </w:r>
          </w:p>
          <w:p w:rsidR="00120F3E" w:rsidRPr="0068543F" w:rsidRDefault="00A35C0A" w:rsidP="00A35C0A">
            <w:pPr>
              <w:pStyle w:val="NormalWeb"/>
              <w:numPr>
                <w:ilvl w:val="0"/>
                <w:numId w:val="13"/>
              </w:numPr>
              <w:shd w:val="clear" w:color="auto" w:fill="FFFFFF"/>
              <w:spacing w:before="0" w:beforeAutospacing="0"/>
              <w:rPr>
                <w:rFonts w:asciiTheme="minorHAnsi" w:hAnsiTheme="minorHAnsi" w:cstheme="minorHAnsi"/>
                <w:color w:val="111111"/>
                <w:spacing w:val="1"/>
                <w:sz w:val="22"/>
                <w:szCs w:val="22"/>
              </w:rPr>
            </w:pPr>
            <w:r w:rsidRPr="00A35C0A">
              <w:rPr>
                <w:rFonts w:asciiTheme="minorHAnsi" w:hAnsiTheme="minorHAnsi" w:cstheme="minorHAnsi"/>
                <w:color w:val="111111"/>
                <w:spacing w:val="1"/>
                <w:sz w:val="22"/>
                <w:szCs w:val="22"/>
              </w:rPr>
              <w:t>Equity Reduction</w:t>
            </w:r>
          </w:p>
        </w:tc>
      </w:tr>
    </w:tbl>
    <w:p w:rsidR="00677EA5" w:rsidRDefault="00677EA5" w:rsidP="00FD09B4">
      <w:pPr>
        <w:rPr>
          <w:noProof/>
        </w:rPr>
      </w:pPr>
    </w:p>
    <w:p w:rsidR="00677EA5" w:rsidRPr="006E1605" w:rsidRDefault="006E1605" w:rsidP="00FD09B4">
      <w:pPr>
        <w:rPr>
          <w:b/>
          <w:noProof/>
        </w:rPr>
      </w:pPr>
      <w:r w:rsidRPr="006E1605">
        <w:rPr>
          <w:b/>
        </w:rPr>
        <w:t>Interest rates for three types of home equity borrowing options:</w:t>
      </w:r>
    </w:p>
    <w:p w:rsidR="00677EA5" w:rsidRDefault="00677EA5" w:rsidP="00FD09B4">
      <w:r>
        <w:rPr>
          <w:noProof/>
        </w:rPr>
        <w:drawing>
          <wp:inline distT="0" distB="0" distL="0" distR="0">
            <wp:extent cx="6309651" cy="2351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0).png"/>
                    <pic:cNvPicPr/>
                  </pic:nvPicPr>
                  <pic:blipFill rotWithShape="1">
                    <a:blip r:embed="rId9">
                      <a:extLst>
                        <a:ext uri="{28A0092B-C50C-407E-A947-70E740481C1C}">
                          <a14:useLocalDpi xmlns:a14="http://schemas.microsoft.com/office/drawing/2010/main" val="0"/>
                        </a:ext>
                      </a:extLst>
                    </a:blip>
                    <a:srcRect l="32967" t="33499" r="2564" b="23766"/>
                    <a:stretch/>
                  </pic:blipFill>
                  <pic:spPr bwMode="auto">
                    <a:xfrm>
                      <a:off x="0" y="0"/>
                      <a:ext cx="6309651" cy="2351315"/>
                    </a:xfrm>
                    <a:prstGeom prst="rect">
                      <a:avLst/>
                    </a:prstGeom>
                    <a:ln>
                      <a:noFill/>
                    </a:ln>
                    <a:extLst>
                      <a:ext uri="{53640926-AAD7-44D8-BBD7-CCE9431645EC}">
                        <a14:shadowObscured xmlns:a14="http://schemas.microsoft.com/office/drawing/2010/main"/>
                      </a:ext>
                    </a:extLst>
                  </pic:spPr>
                </pic:pic>
              </a:graphicData>
            </a:graphic>
          </wp:inline>
        </w:drawing>
      </w:r>
    </w:p>
    <w:p w:rsidR="00677EA5" w:rsidRPr="00677EA5" w:rsidRDefault="00677EA5" w:rsidP="00677EA5">
      <w:r w:rsidRPr="00677EA5">
        <w:t xml:space="preserve">This graph compares the interest rates for three types of home equity borrowing options over time: Home Equity Lines of Credit (HELOCs), 10-year home equity loans, and 15-year home equity loans. The rates are based on an average $30,000 credit line or loan. </w:t>
      </w:r>
      <w:r>
        <w:t>K</w:t>
      </w:r>
      <w:r w:rsidRPr="00677EA5">
        <w:t>ey points:</w:t>
      </w:r>
    </w:p>
    <w:p w:rsidR="00677EA5" w:rsidRPr="00677EA5" w:rsidRDefault="00677EA5" w:rsidP="00677EA5">
      <w:pPr>
        <w:numPr>
          <w:ilvl w:val="0"/>
          <w:numId w:val="14"/>
        </w:numPr>
      </w:pPr>
      <w:r w:rsidRPr="00677EA5">
        <w:t>Volatility: HELOCs (shown in red) demonstrate the most volatility in interest rates, with several noticeable spikes and dips over the period.</w:t>
      </w:r>
    </w:p>
    <w:p w:rsidR="00677EA5" w:rsidRPr="00677EA5" w:rsidRDefault="00677EA5" w:rsidP="00677EA5">
      <w:pPr>
        <w:numPr>
          <w:ilvl w:val="0"/>
          <w:numId w:val="14"/>
        </w:numPr>
      </w:pPr>
      <w:r w:rsidRPr="00677EA5">
        <w:t>Stability of fixed-rate options: Both the 10-year (dark blue) and 15-year (light blue) home equity loans show more stable rates over time, with gradual changes rather than sharp fluctuations.</w:t>
      </w:r>
    </w:p>
    <w:p w:rsidR="00677EA5" w:rsidRPr="00677EA5" w:rsidRDefault="00677EA5" w:rsidP="00677EA5">
      <w:pPr>
        <w:numPr>
          <w:ilvl w:val="0"/>
          <w:numId w:val="14"/>
        </w:numPr>
      </w:pPr>
      <w:r w:rsidRPr="00677EA5">
        <w:t>Recent trends: Towards the end of the period shown, all three options seem to stabilize, with HELOCs settling slightly higher than the fixed-rate loans.</w:t>
      </w:r>
    </w:p>
    <w:p w:rsidR="00677EA5" w:rsidRPr="00677EA5" w:rsidRDefault="00677EA5" w:rsidP="00677EA5">
      <w:pPr>
        <w:numPr>
          <w:ilvl w:val="0"/>
          <w:numId w:val="14"/>
        </w:numPr>
      </w:pPr>
      <w:r w:rsidRPr="00677EA5">
        <w:t>Rate comparison: For most of the period, HELOCs have higher interest rates than the fixed-rate options, though this gap narrows towards the end.</w:t>
      </w:r>
    </w:p>
    <w:p w:rsidR="00677EA5" w:rsidRPr="00677EA5" w:rsidRDefault="00677EA5" w:rsidP="00677EA5">
      <w:pPr>
        <w:numPr>
          <w:ilvl w:val="0"/>
          <w:numId w:val="14"/>
        </w:numPr>
      </w:pPr>
      <w:r w:rsidRPr="00677EA5">
        <w:t>Long-term vs. short-term loans: The 15-year home equity loan generally maintains the lowest interest rate throughout the period, followed closely by the 10-year option.</w:t>
      </w:r>
    </w:p>
    <w:p w:rsidR="00677EA5" w:rsidRPr="00677EA5" w:rsidRDefault="00677EA5" w:rsidP="00677EA5">
      <w:pPr>
        <w:numPr>
          <w:ilvl w:val="0"/>
          <w:numId w:val="14"/>
        </w:numPr>
      </w:pPr>
      <w:r w:rsidRPr="00677EA5">
        <w:lastRenderedPageBreak/>
        <w:t>Range of rates: The interest rates for all products generally fall between 8.5% and 10.5% for most of the period shown.</w:t>
      </w:r>
    </w:p>
    <w:p w:rsidR="00532CAF" w:rsidRDefault="00677EA5" w:rsidP="00532CAF">
      <w:pPr>
        <w:numPr>
          <w:ilvl w:val="0"/>
          <w:numId w:val="14"/>
        </w:numPr>
      </w:pPr>
      <w:r w:rsidRPr="00677EA5">
        <w:t>Market responsiveness: The HELOC rates appear more responsive to market conditions, likely due to their variable rate nature, while the fixed-rate loans show more inertia.</w:t>
      </w:r>
    </w:p>
    <w:p w:rsidR="00677EA5" w:rsidRPr="006E1605" w:rsidRDefault="00532CAF" w:rsidP="00532CAF">
      <w:pPr>
        <w:rPr>
          <w:b/>
        </w:rPr>
      </w:pPr>
      <w:r w:rsidRPr="006E1605">
        <w:rPr>
          <w:b/>
        </w:rPr>
        <w:t>Best home equity line of credit (HELOC) rates in June 2024:</w:t>
      </w:r>
    </w:p>
    <w:tbl>
      <w:tblPr>
        <w:tblStyle w:val="TableGrid"/>
        <w:tblpPr w:leftFromText="180" w:rightFromText="180" w:vertAnchor="page" w:horzAnchor="margin" w:tblpXSpec="center" w:tblpY="4030"/>
        <w:tblW w:w="9918" w:type="dxa"/>
        <w:tblLook w:val="04A0" w:firstRow="1" w:lastRow="0" w:firstColumn="1" w:lastColumn="0" w:noHBand="0" w:noVBand="1"/>
      </w:tblPr>
      <w:tblGrid>
        <w:gridCol w:w="2755"/>
        <w:gridCol w:w="2213"/>
        <w:gridCol w:w="2970"/>
        <w:gridCol w:w="1980"/>
      </w:tblGrid>
      <w:tr w:rsidR="00677EA5" w:rsidTr="00532CAF">
        <w:trPr>
          <w:trHeight w:val="247"/>
        </w:trPr>
        <w:tc>
          <w:tcPr>
            <w:tcW w:w="2755" w:type="dxa"/>
            <w:vAlign w:val="center"/>
            <w:hideMark/>
          </w:tcPr>
          <w:p w:rsidR="00677EA5" w:rsidRPr="00532CAF" w:rsidRDefault="00677EA5" w:rsidP="00532CAF">
            <w:pPr>
              <w:jc w:val="center"/>
              <w:rPr>
                <w:b/>
              </w:rPr>
            </w:pPr>
            <w:r w:rsidRPr="00532CAF">
              <w:rPr>
                <w:b/>
              </w:rPr>
              <w:t>LOAN TYPE</w:t>
            </w:r>
          </w:p>
        </w:tc>
        <w:tc>
          <w:tcPr>
            <w:tcW w:w="2213" w:type="dxa"/>
            <w:vAlign w:val="center"/>
            <w:hideMark/>
          </w:tcPr>
          <w:p w:rsidR="00677EA5" w:rsidRPr="00532CAF" w:rsidRDefault="00677EA5" w:rsidP="00532CAF">
            <w:pPr>
              <w:jc w:val="center"/>
              <w:rPr>
                <w:b/>
              </w:rPr>
            </w:pPr>
            <w:r w:rsidRPr="00532CAF">
              <w:rPr>
                <w:b/>
              </w:rPr>
              <w:t>CREDIT LINE AMOUNT</w:t>
            </w:r>
          </w:p>
        </w:tc>
        <w:tc>
          <w:tcPr>
            <w:tcW w:w="2970" w:type="dxa"/>
            <w:vAlign w:val="center"/>
            <w:hideMark/>
          </w:tcPr>
          <w:p w:rsidR="00677EA5" w:rsidRPr="00532CAF" w:rsidRDefault="00677EA5" w:rsidP="00532CAF">
            <w:pPr>
              <w:jc w:val="center"/>
              <w:rPr>
                <w:b/>
              </w:rPr>
            </w:pPr>
            <w:r w:rsidRPr="00532CAF">
              <w:rPr>
                <w:b/>
              </w:rPr>
              <w:t>TERM PERIOD</w:t>
            </w:r>
          </w:p>
        </w:tc>
        <w:tc>
          <w:tcPr>
            <w:tcW w:w="1980" w:type="dxa"/>
            <w:vAlign w:val="center"/>
            <w:hideMark/>
          </w:tcPr>
          <w:p w:rsidR="00677EA5" w:rsidRPr="00532CAF" w:rsidRDefault="00677EA5" w:rsidP="00532CAF">
            <w:pPr>
              <w:jc w:val="center"/>
              <w:rPr>
                <w:b/>
              </w:rPr>
            </w:pPr>
            <w:r w:rsidRPr="00532CAF">
              <w:rPr>
                <w:b/>
              </w:rPr>
              <w:t>CURRENT APR</w:t>
            </w:r>
          </w:p>
        </w:tc>
      </w:tr>
      <w:tr w:rsidR="00677EA5" w:rsidTr="00532CAF">
        <w:trPr>
          <w:trHeight w:val="247"/>
        </w:trPr>
        <w:tc>
          <w:tcPr>
            <w:tcW w:w="2755" w:type="dxa"/>
            <w:vAlign w:val="center"/>
            <w:hideMark/>
          </w:tcPr>
          <w:p w:rsidR="00677EA5" w:rsidRPr="00543641" w:rsidRDefault="00677EA5" w:rsidP="00532CAF">
            <w:pPr>
              <w:jc w:val="center"/>
            </w:pPr>
            <w:r w:rsidRPr="00543641">
              <w:t>Comerica Bank</w:t>
            </w:r>
          </w:p>
        </w:tc>
        <w:tc>
          <w:tcPr>
            <w:tcW w:w="2213" w:type="dxa"/>
            <w:vAlign w:val="center"/>
            <w:hideMark/>
          </w:tcPr>
          <w:p w:rsidR="00677EA5" w:rsidRPr="00543641" w:rsidRDefault="00677EA5" w:rsidP="00532CAF">
            <w:pPr>
              <w:jc w:val="center"/>
            </w:pPr>
            <w:r w:rsidRPr="00543641">
              <w:t>$10,000–$500,000</w:t>
            </w:r>
          </w:p>
        </w:tc>
        <w:tc>
          <w:tcPr>
            <w:tcW w:w="2970" w:type="dxa"/>
            <w:vAlign w:val="center"/>
            <w:hideMark/>
          </w:tcPr>
          <w:p w:rsidR="00677EA5" w:rsidRPr="00543641" w:rsidRDefault="00677EA5" w:rsidP="00532CAF">
            <w:pPr>
              <w:jc w:val="center"/>
            </w:pPr>
            <w:r w:rsidRPr="00543641">
              <w:t>30 years</w:t>
            </w:r>
          </w:p>
        </w:tc>
        <w:tc>
          <w:tcPr>
            <w:tcW w:w="1980" w:type="dxa"/>
            <w:vAlign w:val="center"/>
            <w:hideMark/>
          </w:tcPr>
          <w:p w:rsidR="00677EA5" w:rsidRPr="00543641" w:rsidRDefault="00677EA5" w:rsidP="00532CAF">
            <w:pPr>
              <w:jc w:val="center"/>
            </w:pPr>
            <w:r w:rsidRPr="00543641">
              <w:t>6.49%</w:t>
            </w:r>
          </w:p>
        </w:tc>
      </w:tr>
      <w:tr w:rsidR="00677EA5" w:rsidTr="00532CAF">
        <w:trPr>
          <w:trHeight w:val="264"/>
        </w:trPr>
        <w:tc>
          <w:tcPr>
            <w:tcW w:w="2755" w:type="dxa"/>
            <w:vAlign w:val="center"/>
            <w:hideMark/>
          </w:tcPr>
          <w:p w:rsidR="00677EA5" w:rsidRPr="00543641" w:rsidRDefault="00677EA5" w:rsidP="00532CAF">
            <w:pPr>
              <w:jc w:val="center"/>
            </w:pPr>
            <w:r w:rsidRPr="00543641">
              <w:t>Bethpage Federal Credit Union</w:t>
            </w:r>
          </w:p>
        </w:tc>
        <w:tc>
          <w:tcPr>
            <w:tcW w:w="2213" w:type="dxa"/>
            <w:vAlign w:val="center"/>
            <w:hideMark/>
          </w:tcPr>
          <w:p w:rsidR="00677EA5" w:rsidRPr="00543641" w:rsidRDefault="00677EA5" w:rsidP="00532CAF">
            <w:pPr>
              <w:jc w:val="center"/>
            </w:pPr>
            <w:r w:rsidRPr="00543641">
              <w:t>Up to $500,000</w:t>
            </w:r>
          </w:p>
        </w:tc>
        <w:tc>
          <w:tcPr>
            <w:tcW w:w="2970" w:type="dxa"/>
            <w:vAlign w:val="center"/>
            <w:hideMark/>
          </w:tcPr>
          <w:p w:rsidR="00677EA5" w:rsidRPr="00543641" w:rsidRDefault="00677EA5" w:rsidP="00532CAF">
            <w:pPr>
              <w:jc w:val="center"/>
            </w:pPr>
            <w:r w:rsidRPr="00543641">
              <w:t>10-year draw, 20-year repay</w:t>
            </w:r>
          </w:p>
        </w:tc>
        <w:tc>
          <w:tcPr>
            <w:tcW w:w="1980" w:type="dxa"/>
            <w:vAlign w:val="center"/>
            <w:hideMark/>
          </w:tcPr>
          <w:p w:rsidR="00677EA5" w:rsidRPr="00543641" w:rsidRDefault="00677EA5" w:rsidP="00532CAF">
            <w:pPr>
              <w:jc w:val="center"/>
            </w:pPr>
            <w:r w:rsidRPr="00543641">
              <w:t>6.99%</w:t>
            </w:r>
          </w:p>
        </w:tc>
      </w:tr>
      <w:tr w:rsidR="00677EA5" w:rsidTr="00532CAF">
        <w:trPr>
          <w:trHeight w:val="247"/>
        </w:trPr>
        <w:tc>
          <w:tcPr>
            <w:tcW w:w="2755" w:type="dxa"/>
            <w:vAlign w:val="center"/>
            <w:hideMark/>
          </w:tcPr>
          <w:p w:rsidR="00677EA5" w:rsidRPr="00543641" w:rsidRDefault="00677EA5" w:rsidP="00532CAF">
            <w:pPr>
              <w:jc w:val="center"/>
            </w:pPr>
            <w:r w:rsidRPr="00543641">
              <w:t>Bank of America</w:t>
            </w:r>
          </w:p>
        </w:tc>
        <w:tc>
          <w:tcPr>
            <w:tcW w:w="2213" w:type="dxa"/>
            <w:vAlign w:val="center"/>
            <w:hideMark/>
          </w:tcPr>
          <w:p w:rsidR="00677EA5" w:rsidRPr="00543641" w:rsidRDefault="00677EA5" w:rsidP="00532CAF">
            <w:pPr>
              <w:jc w:val="center"/>
            </w:pPr>
            <w:r w:rsidRPr="00543641">
              <w:t>$15,000–$1 million</w:t>
            </w:r>
          </w:p>
        </w:tc>
        <w:tc>
          <w:tcPr>
            <w:tcW w:w="2970" w:type="dxa"/>
            <w:vAlign w:val="center"/>
            <w:hideMark/>
          </w:tcPr>
          <w:p w:rsidR="00677EA5" w:rsidRPr="00543641" w:rsidRDefault="00677EA5" w:rsidP="00532CAF">
            <w:pPr>
              <w:jc w:val="center"/>
            </w:pPr>
            <w:r w:rsidRPr="00543641">
              <w:t>10-year draw, 20-year repay</w:t>
            </w:r>
          </w:p>
        </w:tc>
        <w:tc>
          <w:tcPr>
            <w:tcW w:w="1980" w:type="dxa"/>
            <w:vAlign w:val="center"/>
            <w:hideMark/>
          </w:tcPr>
          <w:p w:rsidR="00677EA5" w:rsidRPr="00543641" w:rsidRDefault="00677EA5" w:rsidP="00532CAF">
            <w:pPr>
              <w:jc w:val="center"/>
            </w:pPr>
            <w:r w:rsidRPr="00543641">
              <w:t>7.49%</w:t>
            </w:r>
          </w:p>
        </w:tc>
      </w:tr>
      <w:tr w:rsidR="00677EA5" w:rsidTr="00532CAF">
        <w:trPr>
          <w:trHeight w:val="247"/>
        </w:trPr>
        <w:tc>
          <w:tcPr>
            <w:tcW w:w="2755" w:type="dxa"/>
            <w:vAlign w:val="center"/>
          </w:tcPr>
          <w:p w:rsidR="00677EA5" w:rsidRPr="00543641" w:rsidRDefault="00677EA5" w:rsidP="00532CAF">
            <w:pPr>
              <w:jc w:val="center"/>
            </w:pPr>
            <w:r w:rsidRPr="00543641">
              <w:t>Third Federal Savings</w:t>
            </w:r>
          </w:p>
        </w:tc>
        <w:tc>
          <w:tcPr>
            <w:tcW w:w="2213" w:type="dxa"/>
            <w:vAlign w:val="center"/>
            <w:hideMark/>
          </w:tcPr>
          <w:p w:rsidR="00677EA5" w:rsidRPr="00543641" w:rsidRDefault="00677EA5" w:rsidP="00532CAF">
            <w:pPr>
              <w:jc w:val="center"/>
            </w:pPr>
            <w:r w:rsidRPr="00677EA5">
              <w:t>$10,000–$200,000</w:t>
            </w:r>
          </w:p>
        </w:tc>
        <w:tc>
          <w:tcPr>
            <w:tcW w:w="2970" w:type="dxa"/>
            <w:vAlign w:val="center"/>
            <w:hideMark/>
          </w:tcPr>
          <w:p w:rsidR="00677EA5" w:rsidRPr="00543641" w:rsidRDefault="00677EA5" w:rsidP="00532CAF">
            <w:pPr>
              <w:jc w:val="center"/>
            </w:pPr>
            <w:r w:rsidRPr="00677EA5">
              <w:t>30 years</w:t>
            </w:r>
          </w:p>
        </w:tc>
        <w:tc>
          <w:tcPr>
            <w:tcW w:w="1980" w:type="dxa"/>
            <w:vAlign w:val="center"/>
            <w:hideMark/>
          </w:tcPr>
          <w:p w:rsidR="00677EA5" w:rsidRPr="00543641" w:rsidRDefault="00532CAF" w:rsidP="00532CAF">
            <w:pPr>
              <w:jc w:val="center"/>
            </w:pPr>
            <w:r w:rsidRPr="00677EA5">
              <w:t>7.49%</w:t>
            </w:r>
          </w:p>
        </w:tc>
      </w:tr>
      <w:tr w:rsidR="00677EA5" w:rsidTr="00532CAF">
        <w:trPr>
          <w:trHeight w:val="247"/>
        </w:trPr>
        <w:tc>
          <w:tcPr>
            <w:tcW w:w="2755" w:type="dxa"/>
            <w:vAlign w:val="center"/>
            <w:hideMark/>
          </w:tcPr>
          <w:p w:rsidR="00677EA5" w:rsidRPr="00543641" w:rsidRDefault="00532CAF" w:rsidP="00532CAF">
            <w:pPr>
              <w:jc w:val="center"/>
            </w:pPr>
            <w:r>
              <w:t>BMO</w:t>
            </w:r>
          </w:p>
        </w:tc>
        <w:tc>
          <w:tcPr>
            <w:tcW w:w="2213" w:type="dxa"/>
            <w:vAlign w:val="center"/>
            <w:hideMark/>
          </w:tcPr>
          <w:p w:rsidR="00677EA5" w:rsidRPr="00543641" w:rsidRDefault="00532CAF" w:rsidP="00532CAF">
            <w:pPr>
              <w:jc w:val="center"/>
            </w:pPr>
            <w:r>
              <w:t>$25,000-$150,000</w:t>
            </w:r>
          </w:p>
        </w:tc>
        <w:tc>
          <w:tcPr>
            <w:tcW w:w="2970" w:type="dxa"/>
            <w:vAlign w:val="center"/>
            <w:hideMark/>
          </w:tcPr>
          <w:p w:rsidR="00677EA5" w:rsidRPr="00543641" w:rsidRDefault="00532CAF" w:rsidP="00532CAF">
            <w:pPr>
              <w:jc w:val="center"/>
            </w:pPr>
            <w:r>
              <w:t>10-year draw/ 20-year repay for variable-rate HELOC; 5-20 year repay for fixed-rate HELOC</w:t>
            </w:r>
          </w:p>
        </w:tc>
        <w:tc>
          <w:tcPr>
            <w:tcW w:w="1980" w:type="dxa"/>
            <w:vAlign w:val="center"/>
            <w:hideMark/>
          </w:tcPr>
          <w:p w:rsidR="00677EA5" w:rsidRPr="00543641" w:rsidRDefault="00532CAF" w:rsidP="00532CAF">
            <w:pPr>
              <w:jc w:val="center"/>
            </w:pPr>
            <w:r>
              <w:t>6.99% (fixed) / 8.24% (variable)</w:t>
            </w:r>
          </w:p>
        </w:tc>
      </w:tr>
      <w:tr w:rsidR="00677EA5" w:rsidTr="00532CAF">
        <w:trPr>
          <w:trHeight w:val="264"/>
        </w:trPr>
        <w:tc>
          <w:tcPr>
            <w:tcW w:w="2755" w:type="dxa"/>
            <w:vAlign w:val="center"/>
            <w:hideMark/>
          </w:tcPr>
          <w:p w:rsidR="00677EA5" w:rsidRPr="00543641" w:rsidRDefault="00532CAF" w:rsidP="00532CAF">
            <w:pPr>
              <w:jc w:val="center"/>
            </w:pPr>
            <w:r>
              <w:t>TD Bank</w:t>
            </w:r>
          </w:p>
        </w:tc>
        <w:tc>
          <w:tcPr>
            <w:tcW w:w="2213" w:type="dxa"/>
            <w:vAlign w:val="center"/>
            <w:hideMark/>
          </w:tcPr>
          <w:p w:rsidR="00677EA5" w:rsidRPr="00543641" w:rsidRDefault="00532CAF" w:rsidP="00532CAF">
            <w:pPr>
              <w:jc w:val="center"/>
            </w:pPr>
            <w:r>
              <w:t>Starting at $25,000</w:t>
            </w:r>
          </w:p>
        </w:tc>
        <w:tc>
          <w:tcPr>
            <w:tcW w:w="2970" w:type="dxa"/>
            <w:vAlign w:val="center"/>
            <w:hideMark/>
          </w:tcPr>
          <w:p w:rsidR="00677EA5" w:rsidRPr="00543641" w:rsidRDefault="00532CAF" w:rsidP="00532CAF">
            <w:pPr>
              <w:jc w:val="center"/>
            </w:pPr>
            <w:r>
              <w:t>Not Specified</w:t>
            </w:r>
          </w:p>
        </w:tc>
        <w:tc>
          <w:tcPr>
            <w:tcW w:w="1980" w:type="dxa"/>
            <w:vAlign w:val="center"/>
            <w:hideMark/>
          </w:tcPr>
          <w:p w:rsidR="00677EA5" w:rsidRPr="00543641" w:rsidRDefault="00532CAF" w:rsidP="00532CAF">
            <w:pPr>
              <w:jc w:val="center"/>
            </w:pPr>
            <w:r>
              <w:t>8.24%</w:t>
            </w:r>
          </w:p>
        </w:tc>
      </w:tr>
      <w:tr w:rsidR="00677EA5" w:rsidTr="00532CAF">
        <w:trPr>
          <w:trHeight w:val="247"/>
        </w:trPr>
        <w:tc>
          <w:tcPr>
            <w:tcW w:w="2755" w:type="dxa"/>
            <w:vAlign w:val="center"/>
            <w:hideMark/>
          </w:tcPr>
          <w:p w:rsidR="00677EA5" w:rsidRPr="00543641" w:rsidRDefault="00532CAF" w:rsidP="00532CAF">
            <w:pPr>
              <w:jc w:val="center"/>
            </w:pPr>
            <w:r>
              <w:t>Guaranteed Rate</w:t>
            </w:r>
          </w:p>
        </w:tc>
        <w:tc>
          <w:tcPr>
            <w:tcW w:w="2213" w:type="dxa"/>
            <w:vAlign w:val="center"/>
            <w:hideMark/>
          </w:tcPr>
          <w:p w:rsidR="00677EA5" w:rsidRPr="00543641" w:rsidRDefault="00532CAF" w:rsidP="00532CAF">
            <w:pPr>
              <w:jc w:val="center"/>
            </w:pPr>
            <w:r>
              <w:t>$20,000–$400,000</w:t>
            </w:r>
          </w:p>
        </w:tc>
        <w:tc>
          <w:tcPr>
            <w:tcW w:w="2970" w:type="dxa"/>
            <w:vAlign w:val="center"/>
            <w:hideMark/>
          </w:tcPr>
          <w:p w:rsidR="00677EA5" w:rsidRPr="00543641" w:rsidRDefault="00532CAF" w:rsidP="00532CAF">
            <w:pPr>
              <w:jc w:val="center"/>
            </w:pPr>
            <w:r>
              <w:t>Up to 30 years</w:t>
            </w:r>
          </w:p>
        </w:tc>
        <w:tc>
          <w:tcPr>
            <w:tcW w:w="1980" w:type="dxa"/>
            <w:vAlign w:val="center"/>
            <w:hideMark/>
          </w:tcPr>
          <w:p w:rsidR="00677EA5" w:rsidRPr="00543641" w:rsidRDefault="00532CAF" w:rsidP="00532CAF">
            <w:pPr>
              <w:jc w:val="center"/>
            </w:pPr>
            <w:r>
              <w:t>9.10%</w:t>
            </w:r>
          </w:p>
        </w:tc>
      </w:tr>
      <w:tr w:rsidR="00532CAF" w:rsidTr="00532CAF">
        <w:trPr>
          <w:trHeight w:val="247"/>
        </w:trPr>
        <w:tc>
          <w:tcPr>
            <w:tcW w:w="2755" w:type="dxa"/>
            <w:vAlign w:val="center"/>
          </w:tcPr>
          <w:p w:rsidR="00532CAF" w:rsidRDefault="00532CAF" w:rsidP="00532CAF">
            <w:pPr>
              <w:jc w:val="center"/>
            </w:pPr>
            <w:proofErr w:type="spellStart"/>
            <w:r>
              <w:t>Connexus</w:t>
            </w:r>
            <w:proofErr w:type="spellEnd"/>
            <w:r>
              <w:t xml:space="preserve"> Credit Union</w:t>
            </w:r>
          </w:p>
        </w:tc>
        <w:tc>
          <w:tcPr>
            <w:tcW w:w="2213" w:type="dxa"/>
            <w:vAlign w:val="center"/>
          </w:tcPr>
          <w:p w:rsidR="00532CAF" w:rsidRDefault="00532CAF" w:rsidP="00532CAF">
            <w:pPr>
              <w:jc w:val="center"/>
            </w:pPr>
            <w:r>
              <w:t>Starting at $5,000</w:t>
            </w:r>
          </w:p>
        </w:tc>
        <w:tc>
          <w:tcPr>
            <w:tcW w:w="2970" w:type="dxa"/>
            <w:vAlign w:val="center"/>
          </w:tcPr>
          <w:p w:rsidR="00532CAF" w:rsidRDefault="00532CAF" w:rsidP="00532CAF">
            <w:pPr>
              <w:jc w:val="center"/>
            </w:pPr>
            <w:r>
              <w:t>15-year draw, 15-year pay</w:t>
            </w:r>
          </w:p>
        </w:tc>
        <w:tc>
          <w:tcPr>
            <w:tcW w:w="1980" w:type="dxa"/>
            <w:vAlign w:val="center"/>
          </w:tcPr>
          <w:p w:rsidR="00532CAF" w:rsidRDefault="00532CAF" w:rsidP="00532CAF">
            <w:pPr>
              <w:jc w:val="center"/>
            </w:pPr>
            <w:r>
              <w:t>8.74%</w:t>
            </w:r>
          </w:p>
        </w:tc>
      </w:tr>
    </w:tbl>
    <w:p w:rsidR="00120F3E" w:rsidRDefault="00120F3E" w:rsidP="00677EA5"/>
    <w:p w:rsidR="003A0783" w:rsidRDefault="003A0783" w:rsidP="00677EA5"/>
    <w:p w:rsidR="003A0783" w:rsidRDefault="003A0783" w:rsidP="003A0783">
      <w:r>
        <w:br w:type="page"/>
      </w:r>
    </w:p>
    <w:p w:rsidR="006E1605" w:rsidRDefault="007B1573" w:rsidP="007B1573">
      <w:pPr>
        <w:pStyle w:val="Heading1"/>
        <w:jc w:val="center"/>
      </w:pPr>
      <w:bookmarkStart w:id="50" w:name="_Toc170475967"/>
      <w:r>
        <w:lastRenderedPageBreak/>
        <w:t>Credit Card</w:t>
      </w:r>
      <w:bookmarkEnd w:id="50"/>
    </w:p>
    <w:p w:rsidR="007B1573" w:rsidRDefault="007B1573" w:rsidP="007B1573">
      <w:r w:rsidRPr="007B1573">
        <w:t>A credit card is a financial tool issued by banks or financial institutions that allows cardholders to borrow funds for purchases, with the agreement to pay back the borrowed amount along with any applicable interest and fees. Credit cards offer convenience, security, and various benefits, but they also come with risks and responsibilities.</w:t>
      </w:r>
    </w:p>
    <w:p w:rsidR="007B1573" w:rsidRDefault="002D63D7" w:rsidP="002D63D7">
      <w:r>
        <w:t>By law, credit card issuers must offer a grace period of at least 21 days before interest on purchases can begin to accrue.</w:t>
      </w:r>
    </w:p>
    <w:p w:rsidR="007B1573" w:rsidRPr="007B1573" w:rsidRDefault="007B1573" w:rsidP="007B1573">
      <w:pPr>
        <w:rPr>
          <w:b/>
          <w:bCs/>
        </w:rPr>
      </w:pPr>
      <w:r w:rsidRPr="007B1573">
        <w:rPr>
          <w:b/>
          <w:bCs/>
        </w:rPr>
        <w:t>Key Features</w:t>
      </w:r>
      <w:r>
        <w:rPr>
          <w:b/>
          <w:bCs/>
        </w:rPr>
        <w:t>:</w:t>
      </w:r>
    </w:p>
    <w:p w:rsidR="007B1573" w:rsidRPr="007B1573" w:rsidRDefault="007B1573" w:rsidP="007B1573">
      <w:pPr>
        <w:numPr>
          <w:ilvl w:val="0"/>
          <w:numId w:val="16"/>
        </w:numPr>
      </w:pPr>
      <w:r w:rsidRPr="007B1573">
        <w:rPr>
          <w:b/>
          <w:bCs/>
        </w:rPr>
        <w:t>Revolving Credit</w:t>
      </w:r>
      <w:r w:rsidRPr="007B1573">
        <w:t>: Users can borrow up to a certain limit and carry a balance from month to month.</w:t>
      </w:r>
    </w:p>
    <w:p w:rsidR="007B1573" w:rsidRPr="007B1573" w:rsidRDefault="007B1573" w:rsidP="007B1573">
      <w:pPr>
        <w:numPr>
          <w:ilvl w:val="0"/>
          <w:numId w:val="16"/>
        </w:numPr>
      </w:pPr>
      <w:r w:rsidRPr="007B1573">
        <w:rPr>
          <w:b/>
          <w:bCs/>
        </w:rPr>
        <w:t>Grace Period</w:t>
      </w:r>
      <w:r w:rsidRPr="007B1573">
        <w:t>: Most cards offer an interest-free period if the full balance is paid each month.</w:t>
      </w:r>
    </w:p>
    <w:p w:rsidR="007B1573" w:rsidRPr="007B1573" w:rsidRDefault="007B1573" w:rsidP="007B1573">
      <w:pPr>
        <w:numPr>
          <w:ilvl w:val="0"/>
          <w:numId w:val="16"/>
        </w:numPr>
      </w:pPr>
      <w:r w:rsidRPr="007B1573">
        <w:rPr>
          <w:b/>
          <w:bCs/>
        </w:rPr>
        <w:t>Minimum Payments</w:t>
      </w:r>
      <w:r w:rsidRPr="007B1573">
        <w:t>: Cardholders must make at least a minimum payment each month.</w:t>
      </w:r>
    </w:p>
    <w:p w:rsidR="007B1573" w:rsidRPr="007B1573" w:rsidRDefault="007B1573" w:rsidP="007B1573">
      <w:pPr>
        <w:numPr>
          <w:ilvl w:val="0"/>
          <w:numId w:val="16"/>
        </w:numPr>
      </w:pPr>
      <w:r w:rsidRPr="007B1573">
        <w:rPr>
          <w:b/>
          <w:bCs/>
        </w:rPr>
        <w:t>Interest Charges</w:t>
      </w:r>
      <w:r w:rsidRPr="007B1573">
        <w:t>: If the full balance isn't paid, interest is charged on the remaining amount.</w:t>
      </w:r>
    </w:p>
    <w:p w:rsidR="007B1573" w:rsidRPr="007B1573" w:rsidRDefault="007B1573" w:rsidP="007B1573">
      <w:pPr>
        <w:numPr>
          <w:ilvl w:val="0"/>
          <w:numId w:val="16"/>
        </w:numPr>
      </w:pPr>
      <w:r w:rsidRPr="007B1573">
        <w:rPr>
          <w:b/>
          <w:bCs/>
        </w:rPr>
        <w:t>Rewards Programs</w:t>
      </w:r>
      <w:r w:rsidRPr="007B1573">
        <w:t>: Many cards offer cash back, points, or miles on purchases.</w:t>
      </w:r>
    </w:p>
    <w:p w:rsidR="007B1573" w:rsidRPr="007B1573" w:rsidRDefault="007B1573" w:rsidP="007B1573">
      <w:pPr>
        <w:numPr>
          <w:ilvl w:val="0"/>
          <w:numId w:val="16"/>
        </w:numPr>
      </w:pPr>
      <w:r w:rsidRPr="007B1573">
        <w:rPr>
          <w:b/>
          <w:bCs/>
        </w:rPr>
        <w:t>Fees</w:t>
      </w:r>
      <w:r w:rsidRPr="007B1573">
        <w:t>: May include annual fees, late payment fees, foreign transaction fees, etc.</w:t>
      </w:r>
    </w:p>
    <w:p w:rsidR="002D63D7" w:rsidRDefault="002D63D7" w:rsidP="007B1573">
      <w:pPr>
        <w:rPr>
          <w:b/>
          <w:bCs/>
          <w:noProof/>
        </w:rPr>
      </w:pPr>
      <w:r>
        <w:rPr>
          <w:b/>
          <w:bCs/>
          <w:noProof/>
        </w:rPr>
        <w:drawing>
          <wp:anchor distT="0" distB="0" distL="114300" distR="114300" simplePos="0" relativeHeight="251658240" behindDoc="1" locked="0" layoutInCell="1" allowOverlap="1" wp14:anchorId="3A84AABC" wp14:editId="0E96CD4F">
            <wp:simplePos x="0" y="0"/>
            <wp:positionH relativeFrom="column">
              <wp:posOffset>0</wp:posOffset>
            </wp:positionH>
            <wp:positionV relativeFrom="paragraph">
              <wp:posOffset>160020</wp:posOffset>
            </wp:positionV>
            <wp:extent cx="5943600" cy="3254375"/>
            <wp:effectExtent l="0" t="0" r="0" b="3175"/>
            <wp:wrapTight wrapText="bothSides">
              <wp:wrapPolygon edited="0">
                <wp:start x="0" y="0"/>
                <wp:lineTo x="0" y="21495"/>
                <wp:lineTo x="21531" y="2149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ebp"/>
                    <pic:cNvPicPr/>
                  </pic:nvPicPr>
                  <pic:blipFill rotWithShape="1">
                    <a:blip r:embed="rId10">
                      <a:extLst>
                        <a:ext uri="{28A0092B-C50C-407E-A947-70E740481C1C}">
                          <a14:useLocalDpi xmlns:a14="http://schemas.microsoft.com/office/drawing/2010/main" val="0"/>
                        </a:ext>
                      </a:extLst>
                    </a:blip>
                    <a:srcRect t="6074" b="7461"/>
                    <a:stretch/>
                  </pic:blipFill>
                  <pic:spPr bwMode="auto">
                    <a:xfrm>
                      <a:off x="0" y="0"/>
                      <a:ext cx="5943600" cy="325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D63D7" w:rsidRDefault="002D63D7" w:rsidP="002D63D7">
      <w:pPr>
        <w:rPr>
          <w:bCs/>
        </w:rPr>
      </w:pPr>
    </w:p>
    <w:p w:rsidR="002D63D7" w:rsidRPr="002D63D7" w:rsidRDefault="002D63D7" w:rsidP="002D63D7">
      <w:pPr>
        <w:rPr>
          <w:bCs/>
        </w:rPr>
      </w:pPr>
      <w:r w:rsidRPr="002D63D7">
        <w:rPr>
          <w:bCs/>
        </w:rPr>
        <w:lastRenderedPageBreak/>
        <w:t>Front of the card:</w:t>
      </w:r>
    </w:p>
    <w:p w:rsidR="002D63D7" w:rsidRPr="002D63D7" w:rsidRDefault="002D63D7" w:rsidP="002D63D7">
      <w:pPr>
        <w:numPr>
          <w:ilvl w:val="0"/>
          <w:numId w:val="21"/>
        </w:numPr>
        <w:rPr>
          <w:bCs/>
        </w:rPr>
      </w:pPr>
      <w:r w:rsidRPr="002D63D7">
        <w:rPr>
          <w:bCs/>
        </w:rPr>
        <w:t>Chip: This is an EMV (</w:t>
      </w:r>
      <w:proofErr w:type="spellStart"/>
      <w:r w:rsidRPr="002D63D7">
        <w:rPr>
          <w:bCs/>
        </w:rPr>
        <w:t>Europay</w:t>
      </w:r>
      <w:proofErr w:type="spellEnd"/>
      <w:r w:rsidRPr="002D63D7">
        <w:rPr>
          <w:bCs/>
        </w:rPr>
        <w:t xml:space="preserve">, </w:t>
      </w:r>
      <w:proofErr w:type="spellStart"/>
      <w:r w:rsidRPr="002D63D7">
        <w:rPr>
          <w:bCs/>
        </w:rPr>
        <w:t>Mastercard</w:t>
      </w:r>
      <w:proofErr w:type="spellEnd"/>
      <w:r w:rsidRPr="002D63D7">
        <w:rPr>
          <w:bCs/>
        </w:rPr>
        <w:t>, and Visa) chip that provides enhanced security for transactions.</w:t>
      </w:r>
    </w:p>
    <w:p w:rsidR="002D63D7" w:rsidRPr="002D63D7" w:rsidRDefault="002D63D7" w:rsidP="002D63D7">
      <w:pPr>
        <w:numPr>
          <w:ilvl w:val="0"/>
          <w:numId w:val="21"/>
        </w:numPr>
        <w:rPr>
          <w:bCs/>
        </w:rPr>
      </w:pPr>
      <w:r w:rsidRPr="002D63D7">
        <w:rPr>
          <w:bCs/>
        </w:rPr>
        <w:t>Card number: A 16-digit number unique to this card, used to identify the account during transactions.</w:t>
      </w:r>
    </w:p>
    <w:p w:rsidR="002D63D7" w:rsidRPr="002D63D7" w:rsidRDefault="002D63D7" w:rsidP="002D63D7">
      <w:pPr>
        <w:numPr>
          <w:ilvl w:val="0"/>
          <w:numId w:val="21"/>
        </w:numPr>
        <w:rPr>
          <w:bCs/>
        </w:rPr>
      </w:pPr>
      <w:r w:rsidRPr="002D63D7">
        <w:rPr>
          <w:bCs/>
        </w:rPr>
        <w:t>Expiration date: The date after which the card is no longer valid and needs to be replaced.</w:t>
      </w:r>
    </w:p>
    <w:p w:rsidR="002D63D7" w:rsidRPr="002D63D7" w:rsidRDefault="002D63D7" w:rsidP="002D63D7">
      <w:pPr>
        <w:numPr>
          <w:ilvl w:val="0"/>
          <w:numId w:val="21"/>
        </w:numPr>
        <w:rPr>
          <w:bCs/>
        </w:rPr>
      </w:pPr>
      <w:r w:rsidRPr="002D63D7">
        <w:rPr>
          <w:bCs/>
        </w:rPr>
        <w:t>Cardholder name: The name of the person authorized to use the card.</w:t>
      </w:r>
    </w:p>
    <w:p w:rsidR="002D63D7" w:rsidRPr="002D63D7" w:rsidRDefault="002D63D7" w:rsidP="002D63D7">
      <w:pPr>
        <w:numPr>
          <w:ilvl w:val="0"/>
          <w:numId w:val="21"/>
        </w:numPr>
        <w:rPr>
          <w:bCs/>
        </w:rPr>
      </w:pPr>
      <w:r w:rsidRPr="002D63D7">
        <w:rPr>
          <w:bCs/>
        </w:rPr>
        <w:t>Bank: The name of the issuing bank or financial institution (not labeled but typically present).</w:t>
      </w:r>
    </w:p>
    <w:p w:rsidR="002D63D7" w:rsidRPr="002D63D7" w:rsidRDefault="002D63D7" w:rsidP="002D63D7">
      <w:pPr>
        <w:rPr>
          <w:bCs/>
        </w:rPr>
      </w:pPr>
      <w:r w:rsidRPr="002D63D7">
        <w:rPr>
          <w:bCs/>
        </w:rPr>
        <w:t>Back of the card:</w:t>
      </w:r>
    </w:p>
    <w:p w:rsidR="002D63D7" w:rsidRPr="002D63D7" w:rsidRDefault="002D63D7" w:rsidP="002D63D7">
      <w:pPr>
        <w:numPr>
          <w:ilvl w:val="0"/>
          <w:numId w:val="22"/>
        </w:numPr>
        <w:rPr>
          <w:bCs/>
        </w:rPr>
      </w:pPr>
      <w:r w:rsidRPr="002D63D7">
        <w:rPr>
          <w:bCs/>
        </w:rPr>
        <w:t>Magnetic strip: Contains encoded information about the card and account, used for swiping transactions.</w:t>
      </w:r>
    </w:p>
    <w:p w:rsidR="002D63D7" w:rsidRPr="002D63D7" w:rsidRDefault="002D63D7" w:rsidP="002D63D7">
      <w:pPr>
        <w:numPr>
          <w:ilvl w:val="0"/>
          <w:numId w:val="22"/>
        </w:numPr>
        <w:rPr>
          <w:bCs/>
        </w:rPr>
      </w:pPr>
      <w:r w:rsidRPr="002D63D7">
        <w:rPr>
          <w:bCs/>
        </w:rPr>
        <w:t>Signature: A space for the cardholder's signature, which can be used to verify identity during in-person transactions.</w:t>
      </w:r>
    </w:p>
    <w:p w:rsidR="002D63D7" w:rsidRPr="002D63D7" w:rsidRDefault="002D63D7" w:rsidP="002D63D7">
      <w:pPr>
        <w:numPr>
          <w:ilvl w:val="0"/>
          <w:numId w:val="22"/>
        </w:numPr>
        <w:rPr>
          <w:bCs/>
        </w:rPr>
      </w:pPr>
      <w:r w:rsidRPr="002D63D7">
        <w:rPr>
          <w:bCs/>
        </w:rPr>
        <w:t>CVC code: The Card Verification Code (also known as CVV), a 3-digit security code used for online or phone transactions.</w:t>
      </w:r>
    </w:p>
    <w:p w:rsidR="002D63D7" w:rsidRPr="002D63D7" w:rsidRDefault="002D63D7" w:rsidP="002D63D7">
      <w:pPr>
        <w:numPr>
          <w:ilvl w:val="0"/>
          <w:numId w:val="22"/>
        </w:numPr>
        <w:rPr>
          <w:bCs/>
        </w:rPr>
      </w:pPr>
      <w:r w:rsidRPr="002D63D7">
        <w:rPr>
          <w:bCs/>
        </w:rPr>
        <w:t xml:space="preserve">Hologram: A security feature that helps </w:t>
      </w:r>
      <w:r>
        <w:rPr>
          <w:bCs/>
        </w:rPr>
        <w:t xml:space="preserve">to </w:t>
      </w:r>
      <w:r w:rsidRPr="002D63D7">
        <w:rPr>
          <w:bCs/>
        </w:rPr>
        <w:t>prevent counterfeiting (shown as a star symbol in this image).</w:t>
      </w:r>
    </w:p>
    <w:p w:rsidR="007B1573" w:rsidRPr="007B1573" w:rsidRDefault="007B1573" w:rsidP="007B1573">
      <w:pPr>
        <w:rPr>
          <w:b/>
          <w:bCs/>
        </w:rPr>
      </w:pPr>
      <w:r w:rsidRPr="007B1573">
        <w:rPr>
          <w:b/>
          <w:bCs/>
        </w:rPr>
        <w:t>Types of Credit Cards</w:t>
      </w:r>
      <w:r>
        <w:rPr>
          <w:b/>
          <w:bCs/>
        </w:rPr>
        <w:t>:</w:t>
      </w:r>
    </w:p>
    <w:p w:rsidR="007B1573" w:rsidRPr="007B1573" w:rsidRDefault="007B1573" w:rsidP="007B1573">
      <w:pPr>
        <w:numPr>
          <w:ilvl w:val="0"/>
          <w:numId w:val="15"/>
        </w:numPr>
      </w:pPr>
      <w:r w:rsidRPr="007B1573">
        <w:rPr>
          <w:b/>
          <w:bCs/>
        </w:rPr>
        <w:t>Standard Credit Cards</w:t>
      </w:r>
      <w:r w:rsidRPr="007B1573">
        <w:t>:</w:t>
      </w:r>
    </w:p>
    <w:p w:rsidR="007B1573" w:rsidRPr="007B1573" w:rsidRDefault="007B1573" w:rsidP="007B1573">
      <w:pPr>
        <w:numPr>
          <w:ilvl w:val="1"/>
          <w:numId w:val="15"/>
        </w:numPr>
      </w:pPr>
      <w:r w:rsidRPr="007B1573">
        <w:t>Basic credit cards with no additional features.</w:t>
      </w:r>
    </w:p>
    <w:p w:rsidR="007B1573" w:rsidRPr="007B1573" w:rsidRDefault="007B1573" w:rsidP="007B1573">
      <w:pPr>
        <w:numPr>
          <w:ilvl w:val="1"/>
          <w:numId w:val="15"/>
        </w:numPr>
      </w:pPr>
      <w:r w:rsidRPr="007B1573">
        <w:t>Suitable for straightforward spending and credit building.</w:t>
      </w:r>
    </w:p>
    <w:p w:rsidR="007B1573" w:rsidRPr="007B1573" w:rsidRDefault="007B1573" w:rsidP="007B1573">
      <w:pPr>
        <w:numPr>
          <w:ilvl w:val="0"/>
          <w:numId w:val="15"/>
        </w:numPr>
      </w:pPr>
      <w:r w:rsidRPr="007B1573">
        <w:rPr>
          <w:b/>
          <w:bCs/>
        </w:rPr>
        <w:t>Rewards Credit Cards</w:t>
      </w:r>
      <w:r w:rsidRPr="007B1573">
        <w:t>:</w:t>
      </w:r>
    </w:p>
    <w:p w:rsidR="007B1573" w:rsidRPr="007B1573" w:rsidRDefault="007B1573" w:rsidP="007B1573">
      <w:pPr>
        <w:numPr>
          <w:ilvl w:val="1"/>
          <w:numId w:val="15"/>
        </w:numPr>
      </w:pPr>
      <w:r w:rsidRPr="007B1573">
        <w:t>Offer rewards like cash back, points, or miles for purchases.</w:t>
      </w:r>
    </w:p>
    <w:p w:rsidR="007B1573" w:rsidRPr="007B1573" w:rsidRDefault="007B1573" w:rsidP="007B1573">
      <w:pPr>
        <w:numPr>
          <w:ilvl w:val="1"/>
          <w:numId w:val="15"/>
        </w:numPr>
      </w:pPr>
      <w:r w:rsidRPr="007B1573">
        <w:t>Categories may include travel, dining, groceries, and more.</w:t>
      </w:r>
    </w:p>
    <w:p w:rsidR="007B1573" w:rsidRPr="007B1573" w:rsidRDefault="007B1573" w:rsidP="007B1573">
      <w:pPr>
        <w:numPr>
          <w:ilvl w:val="0"/>
          <w:numId w:val="15"/>
        </w:numPr>
      </w:pPr>
      <w:r w:rsidRPr="007B1573">
        <w:rPr>
          <w:b/>
          <w:bCs/>
        </w:rPr>
        <w:t>Secured Credit Cards</w:t>
      </w:r>
      <w:r w:rsidRPr="007B1573">
        <w:t>:</w:t>
      </w:r>
    </w:p>
    <w:p w:rsidR="007B1573" w:rsidRPr="007B1573" w:rsidRDefault="007B1573" w:rsidP="007B1573">
      <w:pPr>
        <w:numPr>
          <w:ilvl w:val="1"/>
          <w:numId w:val="15"/>
        </w:numPr>
      </w:pPr>
      <w:r w:rsidRPr="007B1573">
        <w:t>Require a cash deposit as collateral.</w:t>
      </w:r>
    </w:p>
    <w:p w:rsidR="007B1573" w:rsidRPr="007B1573" w:rsidRDefault="007B1573" w:rsidP="007B1573">
      <w:pPr>
        <w:numPr>
          <w:ilvl w:val="1"/>
          <w:numId w:val="15"/>
        </w:numPr>
      </w:pPr>
      <w:r w:rsidRPr="007B1573">
        <w:t>Ideal for building or rebuilding credit.</w:t>
      </w:r>
    </w:p>
    <w:p w:rsidR="007B1573" w:rsidRPr="007B1573" w:rsidRDefault="007B1573" w:rsidP="007B1573">
      <w:pPr>
        <w:numPr>
          <w:ilvl w:val="0"/>
          <w:numId w:val="15"/>
        </w:numPr>
      </w:pPr>
      <w:r w:rsidRPr="007B1573">
        <w:rPr>
          <w:b/>
          <w:bCs/>
        </w:rPr>
        <w:t>Student Credit Cards</w:t>
      </w:r>
      <w:r w:rsidRPr="007B1573">
        <w:t>:</w:t>
      </w:r>
    </w:p>
    <w:p w:rsidR="007B1573" w:rsidRPr="007B1573" w:rsidRDefault="007B1573" w:rsidP="007B1573">
      <w:pPr>
        <w:numPr>
          <w:ilvl w:val="1"/>
          <w:numId w:val="15"/>
        </w:numPr>
      </w:pPr>
      <w:r w:rsidRPr="007B1573">
        <w:lastRenderedPageBreak/>
        <w:t>Designed for college students with limited credit history.</w:t>
      </w:r>
    </w:p>
    <w:p w:rsidR="007B1573" w:rsidRPr="007B1573" w:rsidRDefault="007B1573" w:rsidP="007B1573">
      <w:pPr>
        <w:numPr>
          <w:ilvl w:val="1"/>
          <w:numId w:val="15"/>
        </w:numPr>
      </w:pPr>
      <w:r w:rsidRPr="007B1573">
        <w:t>Often have lower credit limits and simpler rewards.</w:t>
      </w:r>
    </w:p>
    <w:p w:rsidR="007B1573" w:rsidRPr="007B1573" w:rsidRDefault="007B1573" w:rsidP="007B1573">
      <w:pPr>
        <w:numPr>
          <w:ilvl w:val="0"/>
          <w:numId w:val="15"/>
        </w:numPr>
      </w:pPr>
      <w:r w:rsidRPr="007B1573">
        <w:rPr>
          <w:b/>
          <w:bCs/>
        </w:rPr>
        <w:t>Business Credit Cards</w:t>
      </w:r>
      <w:r w:rsidRPr="007B1573">
        <w:t>:</w:t>
      </w:r>
    </w:p>
    <w:p w:rsidR="007B1573" w:rsidRPr="007B1573" w:rsidRDefault="007B1573" w:rsidP="007B1573">
      <w:pPr>
        <w:numPr>
          <w:ilvl w:val="1"/>
          <w:numId w:val="15"/>
        </w:numPr>
      </w:pPr>
      <w:r w:rsidRPr="007B1573">
        <w:t>Tailored for business expenses and often offer business-related rewards and benefits.</w:t>
      </w:r>
    </w:p>
    <w:p w:rsidR="007B1573" w:rsidRPr="007B1573" w:rsidRDefault="007B1573" w:rsidP="007B1573">
      <w:pPr>
        <w:numPr>
          <w:ilvl w:val="1"/>
          <w:numId w:val="15"/>
        </w:numPr>
      </w:pPr>
      <w:r w:rsidRPr="007B1573">
        <w:t>Can help separate personal and business finances.</w:t>
      </w:r>
    </w:p>
    <w:p w:rsidR="007B1573" w:rsidRPr="007B1573" w:rsidRDefault="007B1573" w:rsidP="007B1573">
      <w:pPr>
        <w:numPr>
          <w:ilvl w:val="0"/>
          <w:numId w:val="15"/>
        </w:numPr>
      </w:pPr>
      <w:r w:rsidRPr="007B1573">
        <w:rPr>
          <w:b/>
          <w:bCs/>
        </w:rPr>
        <w:t>Balance Transfer Credit Cards</w:t>
      </w:r>
      <w:r w:rsidRPr="007B1573">
        <w:t>:</w:t>
      </w:r>
    </w:p>
    <w:p w:rsidR="007B1573" w:rsidRPr="007B1573" w:rsidRDefault="007B1573" w:rsidP="007B1573">
      <w:pPr>
        <w:numPr>
          <w:ilvl w:val="1"/>
          <w:numId w:val="15"/>
        </w:numPr>
      </w:pPr>
      <w:r w:rsidRPr="007B1573">
        <w:t>Offer low or 0% introductory APR on balance transfers.</w:t>
      </w:r>
    </w:p>
    <w:p w:rsidR="007B1573" w:rsidRPr="007B1573" w:rsidRDefault="007B1573" w:rsidP="007B1573">
      <w:pPr>
        <w:numPr>
          <w:ilvl w:val="1"/>
          <w:numId w:val="15"/>
        </w:numPr>
      </w:pPr>
      <w:r w:rsidRPr="007B1573">
        <w:t>Useful for paying off high-interest debt.</w:t>
      </w:r>
    </w:p>
    <w:p w:rsidR="007B1573" w:rsidRPr="007B1573" w:rsidRDefault="007B1573" w:rsidP="007B1573">
      <w:pPr>
        <w:numPr>
          <w:ilvl w:val="0"/>
          <w:numId w:val="15"/>
        </w:numPr>
      </w:pPr>
      <w:r w:rsidRPr="007B1573">
        <w:rPr>
          <w:b/>
          <w:bCs/>
        </w:rPr>
        <w:t>Low-Interest Credit Cards</w:t>
      </w:r>
      <w:r w:rsidRPr="007B1573">
        <w:t>:</w:t>
      </w:r>
    </w:p>
    <w:p w:rsidR="007B1573" w:rsidRPr="007B1573" w:rsidRDefault="007B1573" w:rsidP="007B1573">
      <w:pPr>
        <w:numPr>
          <w:ilvl w:val="1"/>
          <w:numId w:val="15"/>
        </w:numPr>
      </w:pPr>
      <w:r w:rsidRPr="007B1573">
        <w:t>Offer lower APRs on purchases.</w:t>
      </w:r>
    </w:p>
    <w:p w:rsidR="007B1573" w:rsidRPr="007B1573" w:rsidRDefault="007B1573" w:rsidP="007B1573">
      <w:pPr>
        <w:numPr>
          <w:ilvl w:val="1"/>
          <w:numId w:val="15"/>
        </w:numPr>
      </w:pPr>
      <w:r w:rsidRPr="007B1573">
        <w:t>Beneficial for carrying a balance month-to-month.</w:t>
      </w:r>
    </w:p>
    <w:p w:rsidR="007B1573" w:rsidRPr="007B1573" w:rsidRDefault="007B1573" w:rsidP="007B1573">
      <w:pPr>
        <w:numPr>
          <w:ilvl w:val="0"/>
          <w:numId w:val="15"/>
        </w:numPr>
      </w:pPr>
      <w:r w:rsidRPr="007B1573">
        <w:rPr>
          <w:b/>
          <w:bCs/>
        </w:rPr>
        <w:t>Travel Credit Cards</w:t>
      </w:r>
      <w:r w:rsidRPr="007B1573">
        <w:t>:</w:t>
      </w:r>
    </w:p>
    <w:p w:rsidR="007B1573" w:rsidRPr="007B1573" w:rsidRDefault="007B1573" w:rsidP="007B1573">
      <w:pPr>
        <w:numPr>
          <w:ilvl w:val="1"/>
          <w:numId w:val="15"/>
        </w:numPr>
      </w:pPr>
      <w:r w:rsidRPr="007B1573">
        <w:t>Provide travel-related rewards and benefits, such as miles, travel insurance, and no foreign transaction fees.</w:t>
      </w:r>
    </w:p>
    <w:p w:rsidR="007B1573" w:rsidRPr="007B1573" w:rsidRDefault="007B1573" w:rsidP="007B1573">
      <w:pPr>
        <w:rPr>
          <w:b/>
          <w:bCs/>
        </w:rPr>
      </w:pPr>
      <w:r w:rsidRPr="007B1573">
        <w:rPr>
          <w:b/>
          <w:bCs/>
        </w:rPr>
        <w:t>Key Statistics (as of early 2024)</w:t>
      </w:r>
    </w:p>
    <w:p w:rsidR="007B1573" w:rsidRPr="007B1573" w:rsidRDefault="007B1573" w:rsidP="007B1573">
      <w:pPr>
        <w:numPr>
          <w:ilvl w:val="0"/>
          <w:numId w:val="18"/>
        </w:numPr>
      </w:pPr>
      <w:r w:rsidRPr="007B1573">
        <w:rPr>
          <w:b/>
          <w:bCs/>
        </w:rPr>
        <w:t>Number of Cards</w:t>
      </w:r>
      <w:r w:rsidRPr="007B1573">
        <w:t>: Approximately 1.1 billion credit cards in circulation in the U.S.</w:t>
      </w:r>
    </w:p>
    <w:p w:rsidR="007B1573" w:rsidRPr="007B1573" w:rsidRDefault="007B1573" w:rsidP="007B1573">
      <w:pPr>
        <w:numPr>
          <w:ilvl w:val="0"/>
          <w:numId w:val="18"/>
        </w:numPr>
      </w:pPr>
      <w:r w:rsidRPr="007B1573">
        <w:rPr>
          <w:b/>
          <w:bCs/>
        </w:rPr>
        <w:t>Average Number per Person</w:t>
      </w:r>
      <w:r w:rsidRPr="007B1573">
        <w:t xml:space="preserve">: The average American has 3.8 </w:t>
      </w:r>
      <w:r w:rsidR="00C401AF">
        <w:t xml:space="preserve">(4) </w:t>
      </w:r>
      <w:r w:rsidRPr="007B1573">
        <w:t>credit cards.</w:t>
      </w:r>
    </w:p>
    <w:p w:rsidR="007B1573" w:rsidRPr="007B1573" w:rsidRDefault="007B1573" w:rsidP="007B1573">
      <w:pPr>
        <w:numPr>
          <w:ilvl w:val="0"/>
          <w:numId w:val="18"/>
        </w:numPr>
      </w:pPr>
      <w:r w:rsidRPr="007B1573">
        <w:rPr>
          <w:b/>
          <w:bCs/>
        </w:rPr>
        <w:t>Average Credit Card Debt</w:t>
      </w:r>
      <w:r w:rsidRPr="007B1573">
        <w:t>: $6,365 per cardholder.</w:t>
      </w:r>
    </w:p>
    <w:p w:rsidR="007B1573" w:rsidRPr="007B1573" w:rsidRDefault="007B1573" w:rsidP="007B1573">
      <w:pPr>
        <w:numPr>
          <w:ilvl w:val="0"/>
          <w:numId w:val="18"/>
        </w:numPr>
      </w:pPr>
      <w:r w:rsidRPr="007B1573">
        <w:rPr>
          <w:b/>
          <w:bCs/>
        </w:rPr>
        <w:t>Total Credit Card Debt</w:t>
      </w:r>
      <w:r w:rsidRPr="007B1573">
        <w:t>: U.S. credit card debt surpassed $1 trillion in 2023.</w:t>
      </w:r>
    </w:p>
    <w:p w:rsidR="007B1573" w:rsidRPr="007B1573" w:rsidRDefault="007B1573" w:rsidP="007B1573">
      <w:pPr>
        <w:numPr>
          <w:ilvl w:val="0"/>
          <w:numId w:val="18"/>
        </w:numPr>
      </w:pPr>
      <w:r w:rsidRPr="007B1573">
        <w:rPr>
          <w:b/>
          <w:bCs/>
        </w:rPr>
        <w:t>Average APR</w:t>
      </w:r>
      <w:r w:rsidRPr="007B1573">
        <w:t>: The average credit card APR is around 2</w:t>
      </w:r>
      <w:r w:rsidR="002D63D7">
        <w:t>7</w:t>
      </w:r>
      <w:r w:rsidRPr="007B1573">
        <w:t>.7</w:t>
      </w:r>
      <w:r w:rsidR="002D63D7">
        <w:t>0</w:t>
      </w:r>
      <w:r w:rsidR="00E27C27">
        <w:t>% (as of June,2024)</w:t>
      </w:r>
    </w:p>
    <w:p w:rsidR="007B1573" w:rsidRPr="007B1573" w:rsidRDefault="007B1573" w:rsidP="007B1573">
      <w:pPr>
        <w:numPr>
          <w:ilvl w:val="0"/>
          <w:numId w:val="18"/>
        </w:numPr>
      </w:pPr>
      <w:r w:rsidRPr="007B1573">
        <w:rPr>
          <w:b/>
          <w:bCs/>
        </w:rPr>
        <w:t>Rewards Value</w:t>
      </w:r>
      <w:r w:rsidRPr="007B1573">
        <w:t>: The average cash back rate is 1.5% to 2%.</w:t>
      </w:r>
    </w:p>
    <w:p w:rsidR="007B1573" w:rsidRPr="007B1573" w:rsidRDefault="007B1573" w:rsidP="007B1573">
      <w:pPr>
        <w:rPr>
          <w:b/>
          <w:bCs/>
        </w:rPr>
      </w:pPr>
      <w:r w:rsidRPr="007B1573">
        <w:rPr>
          <w:b/>
          <w:bCs/>
        </w:rPr>
        <w:t>Impact of Economic Conditions</w:t>
      </w:r>
    </w:p>
    <w:p w:rsidR="007B1573" w:rsidRPr="007B1573" w:rsidRDefault="007B1573" w:rsidP="007B1573">
      <w:pPr>
        <w:numPr>
          <w:ilvl w:val="0"/>
          <w:numId w:val="19"/>
        </w:numPr>
      </w:pPr>
      <w:r w:rsidRPr="007B1573">
        <w:rPr>
          <w:b/>
          <w:bCs/>
        </w:rPr>
        <w:t>Interest Rates</w:t>
      </w:r>
      <w:r w:rsidRPr="007B1573">
        <w:t>: Credit card APRs have risen in response to Federal Reserve rate hikes.</w:t>
      </w:r>
    </w:p>
    <w:p w:rsidR="007B1573" w:rsidRPr="007B1573" w:rsidRDefault="007B1573" w:rsidP="007B1573">
      <w:pPr>
        <w:numPr>
          <w:ilvl w:val="0"/>
          <w:numId w:val="19"/>
        </w:numPr>
      </w:pPr>
      <w:r w:rsidRPr="007B1573">
        <w:rPr>
          <w:b/>
          <w:bCs/>
        </w:rPr>
        <w:t>Spending Patterns</w:t>
      </w:r>
      <w:r w:rsidRPr="007B1573">
        <w:t>: Post-pandemic, there's been an increase in credit card usage for both essential and discretionary spending.</w:t>
      </w:r>
    </w:p>
    <w:p w:rsidR="00484593" w:rsidRDefault="007B1573" w:rsidP="00DC38FE">
      <w:pPr>
        <w:numPr>
          <w:ilvl w:val="0"/>
          <w:numId w:val="19"/>
        </w:numPr>
      </w:pPr>
      <w:r w:rsidRPr="007B1573">
        <w:rPr>
          <w:b/>
          <w:bCs/>
        </w:rPr>
        <w:t>Credit Standards</w:t>
      </w:r>
      <w:r w:rsidRPr="007B1573">
        <w:t>: Some issuers have tightened approval requirements due to economic uncertainties.</w:t>
      </w:r>
    </w:p>
    <w:p w:rsidR="00484593" w:rsidRPr="00484593" w:rsidRDefault="00484593" w:rsidP="00484593">
      <w:pPr>
        <w:pStyle w:val="Heading3"/>
        <w:spacing w:before="327" w:after="163"/>
        <w:rPr>
          <w:rFonts w:asciiTheme="minorHAnsi" w:hAnsiTheme="minorHAnsi" w:cstheme="minorHAnsi"/>
          <w:bCs w:val="0"/>
          <w:color w:val="101820"/>
        </w:rPr>
      </w:pPr>
      <w:bookmarkStart w:id="51" w:name="_Toc170475968"/>
      <w:r w:rsidRPr="00484593">
        <w:rPr>
          <w:rFonts w:asciiTheme="minorHAnsi" w:hAnsiTheme="minorHAnsi" w:cstheme="minorHAnsi"/>
          <w:bCs w:val="0"/>
          <w:color w:val="101820"/>
        </w:rPr>
        <w:lastRenderedPageBreak/>
        <w:t>Average APRs on Accounts Assessed Interest and Average Prime Rate at Year End</w:t>
      </w:r>
      <w:r>
        <w:rPr>
          <w:rFonts w:asciiTheme="minorHAnsi" w:hAnsiTheme="minorHAnsi" w:cstheme="minorHAnsi"/>
          <w:bCs w:val="0"/>
          <w:color w:val="101820"/>
        </w:rPr>
        <w:t>:</w:t>
      </w:r>
      <w:bookmarkEnd w:id="51"/>
    </w:p>
    <w:p w:rsidR="00E91463" w:rsidRPr="00E91463" w:rsidRDefault="00484593" w:rsidP="00E91463">
      <w:r>
        <w:rPr>
          <w:noProof/>
        </w:rPr>
        <w:drawing>
          <wp:anchor distT="0" distB="0" distL="114300" distR="114300" simplePos="0" relativeHeight="251659264" behindDoc="1" locked="0" layoutInCell="1" allowOverlap="1" wp14:anchorId="4F57F859" wp14:editId="7CDF5E32">
            <wp:simplePos x="0" y="0"/>
            <wp:positionH relativeFrom="column">
              <wp:posOffset>3810</wp:posOffset>
            </wp:positionH>
            <wp:positionV relativeFrom="paragraph">
              <wp:posOffset>163830</wp:posOffset>
            </wp:positionV>
            <wp:extent cx="5943600" cy="2606675"/>
            <wp:effectExtent l="0" t="0" r="0" b="3175"/>
            <wp:wrapTight wrapText="bothSides">
              <wp:wrapPolygon edited="0">
                <wp:start x="0" y="0"/>
                <wp:lineTo x="0" y="21468"/>
                <wp:lineTo x="21531" y="21468"/>
                <wp:lineTo x="21531" y="0"/>
                <wp:lineTo x="0" y="0"/>
              </wp:wrapPolygon>
            </wp:wrapTight>
            <wp:docPr id="6" name="Picture 6" descr="Figure 1 is a bar graph that shows the average APRs at year end from 2013 to 2023. Each year has the average APR broken down by the prime rate and APR margin. Generally, from 2013 to 2023 the APR margin has increased from 9.6 percent to 14.3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 is a bar graph that shows the average APRs at year end from 2013 to 2023. Each year has the average APR broken down by the prime rate and APR margin. Generally, from 2013 to 2023 the APR margin has increased from 9.6 percent to 14.3 perc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0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1463" w:rsidRPr="00E91463">
        <w:t xml:space="preserve">The image shows a chart tracking </w:t>
      </w:r>
      <w:r w:rsidR="00E91463" w:rsidRPr="00E91463">
        <w:t>APR margin (green bars)</w:t>
      </w:r>
      <w:r w:rsidR="00E91463">
        <w:t xml:space="preserve"> and </w:t>
      </w:r>
      <w:r w:rsidR="00E91463" w:rsidRPr="00E91463">
        <w:t>Prime Rate (gray bars)</w:t>
      </w:r>
      <w:r w:rsidR="00E91463">
        <w:t xml:space="preserve"> from 2013 to 2023.</w:t>
      </w:r>
    </w:p>
    <w:p w:rsidR="00E91463" w:rsidRPr="00E91463" w:rsidRDefault="00E91463" w:rsidP="00E91463">
      <w:r w:rsidRPr="00E91463">
        <w:t>Key observations:</w:t>
      </w:r>
    </w:p>
    <w:p w:rsidR="00E91463" w:rsidRPr="00E91463" w:rsidRDefault="00E91463" w:rsidP="00E91463">
      <w:pPr>
        <w:numPr>
          <w:ilvl w:val="0"/>
          <w:numId w:val="24"/>
        </w:numPr>
      </w:pPr>
      <w:r w:rsidRPr="00E91463">
        <w:t>Overall trend: Both metrics have generally increased over the 10-year period.</w:t>
      </w:r>
    </w:p>
    <w:p w:rsidR="00E91463" w:rsidRPr="00E91463" w:rsidRDefault="00E91463" w:rsidP="00E91463">
      <w:pPr>
        <w:numPr>
          <w:ilvl w:val="0"/>
          <w:numId w:val="24"/>
        </w:numPr>
      </w:pPr>
      <w:r w:rsidRPr="00E91463">
        <w:t xml:space="preserve">APR margin: </w:t>
      </w:r>
    </w:p>
    <w:p w:rsidR="00E91463" w:rsidRPr="00E91463" w:rsidRDefault="00E91463" w:rsidP="00E91463">
      <w:pPr>
        <w:numPr>
          <w:ilvl w:val="1"/>
          <w:numId w:val="24"/>
        </w:numPr>
      </w:pPr>
      <w:r w:rsidRPr="00E91463">
        <w:t>Started at 9.6% in 2013</w:t>
      </w:r>
    </w:p>
    <w:p w:rsidR="00E91463" w:rsidRPr="00E91463" w:rsidRDefault="00E91463" w:rsidP="00E91463">
      <w:pPr>
        <w:numPr>
          <w:ilvl w:val="1"/>
          <w:numId w:val="24"/>
        </w:numPr>
      </w:pPr>
      <w:r w:rsidRPr="00E91463">
        <w:t>Steadily increased to 14.3% in 2023</w:t>
      </w:r>
    </w:p>
    <w:p w:rsidR="00E91463" w:rsidRPr="00E91463" w:rsidRDefault="00E91463" w:rsidP="00E91463">
      <w:pPr>
        <w:numPr>
          <w:ilvl w:val="1"/>
          <w:numId w:val="24"/>
        </w:numPr>
      </w:pPr>
      <w:r w:rsidRPr="00E91463">
        <w:t>Shows consistent year-over-year growth</w:t>
      </w:r>
    </w:p>
    <w:p w:rsidR="00E91463" w:rsidRPr="00E91463" w:rsidRDefault="00E91463" w:rsidP="00E91463">
      <w:pPr>
        <w:numPr>
          <w:ilvl w:val="0"/>
          <w:numId w:val="24"/>
        </w:numPr>
      </w:pPr>
      <w:r w:rsidRPr="00E91463">
        <w:t xml:space="preserve">Prime Rate: </w:t>
      </w:r>
    </w:p>
    <w:p w:rsidR="00E91463" w:rsidRPr="00E91463" w:rsidRDefault="00E91463" w:rsidP="00E91463">
      <w:pPr>
        <w:numPr>
          <w:ilvl w:val="1"/>
          <w:numId w:val="24"/>
        </w:numPr>
      </w:pPr>
      <w:r w:rsidRPr="00E91463">
        <w:t>More volatile than APR margin</w:t>
      </w:r>
    </w:p>
    <w:p w:rsidR="00E91463" w:rsidRPr="00E91463" w:rsidRDefault="00E91463" w:rsidP="00E91463">
      <w:pPr>
        <w:numPr>
          <w:ilvl w:val="1"/>
          <w:numId w:val="24"/>
        </w:numPr>
      </w:pPr>
      <w:r w:rsidRPr="00E91463">
        <w:t>Remained relatively stable (3.3%-3.5%) from 2013 to 2016</w:t>
      </w:r>
    </w:p>
    <w:p w:rsidR="00E91463" w:rsidRPr="00E91463" w:rsidRDefault="00E91463" w:rsidP="00E91463">
      <w:pPr>
        <w:numPr>
          <w:ilvl w:val="1"/>
          <w:numId w:val="24"/>
        </w:numPr>
      </w:pPr>
      <w:r w:rsidRPr="00E91463">
        <w:t>Began increasing in 2017, reaching 8.5% in 2023</w:t>
      </w:r>
    </w:p>
    <w:p w:rsidR="00E91463" w:rsidRPr="00E91463" w:rsidRDefault="00E91463" w:rsidP="00E91463">
      <w:pPr>
        <w:numPr>
          <w:ilvl w:val="0"/>
          <w:numId w:val="24"/>
        </w:numPr>
      </w:pPr>
      <w:r w:rsidRPr="00E91463">
        <w:t xml:space="preserve">Total percentage (combined APR margin and Prime Rate): </w:t>
      </w:r>
    </w:p>
    <w:p w:rsidR="00E91463" w:rsidRDefault="00E91463" w:rsidP="00E91463">
      <w:pPr>
        <w:numPr>
          <w:ilvl w:val="1"/>
          <w:numId w:val="24"/>
        </w:numPr>
      </w:pPr>
      <w:r w:rsidRPr="00E91463">
        <w:t>Increased from 12.9% in 2013 to 22.8% in 2023</w:t>
      </w:r>
      <w:r>
        <w:t xml:space="preserve"> (almost double)</w:t>
      </w:r>
    </w:p>
    <w:p w:rsidR="00E91463" w:rsidRPr="00E91463" w:rsidRDefault="00E91463" w:rsidP="00E91463">
      <w:pPr>
        <w:numPr>
          <w:ilvl w:val="1"/>
          <w:numId w:val="24"/>
        </w:numPr>
      </w:pPr>
      <w:r>
        <w:t>T</w:t>
      </w:r>
      <w:r w:rsidRPr="00E91463">
        <w:t xml:space="preserve">he </w:t>
      </w:r>
      <w:r>
        <w:t xml:space="preserve">2023 data was the </w:t>
      </w:r>
      <w:r w:rsidRPr="00E91463">
        <w:t xml:space="preserve">highest level recorded since the Federal Reserve began collecting this </w:t>
      </w:r>
      <w:proofErr w:type="gramStart"/>
      <w:r w:rsidRPr="00E91463">
        <w:t>data  in</w:t>
      </w:r>
      <w:proofErr w:type="gramEnd"/>
      <w:r w:rsidRPr="00E91463">
        <w:t xml:space="preserve"> 1994.</w:t>
      </w:r>
    </w:p>
    <w:p w:rsidR="00E91463" w:rsidRPr="00E91463" w:rsidRDefault="00E91463" w:rsidP="00E91463">
      <w:r w:rsidRPr="00E91463">
        <w:lastRenderedPageBreak/>
        <w:t>Possible reasons for these trends:</w:t>
      </w:r>
    </w:p>
    <w:p w:rsidR="00E91463" w:rsidRPr="00E91463" w:rsidRDefault="00E91463" w:rsidP="00E91463">
      <w:pPr>
        <w:numPr>
          <w:ilvl w:val="0"/>
          <w:numId w:val="25"/>
        </w:numPr>
      </w:pPr>
      <w:r w:rsidRPr="00E91463">
        <w:t>Economic recovery: The steady increase in both metrics may reflect the overall economic recovery following the 2008 financial crisis.</w:t>
      </w:r>
    </w:p>
    <w:p w:rsidR="00E91463" w:rsidRPr="00E91463" w:rsidRDefault="00E91463" w:rsidP="00E91463">
      <w:pPr>
        <w:numPr>
          <w:ilvl w:val="0"/>
          <w:numId w:val="25"/>
        </w:numPr>
      </w:pPr>
      <w:r w:rsidRPr="00E91463">
        <w:t>Federal Reserve policies: Changes in the Federal Reserve's monetary policy, particularly interest rate hikes, directly impact the Prime Rate.</w:t>
      </w:r>
    </w:p>
    <w:p w:rsidR="00E91463" w:rsidRPr="00E91463" w:rsidRDefault="00E91463" w:rsidP="00E91463">
      <w:pPr>
        <w:numPr>
          <w:ilvl w:val="0"/>
          <w:numId w:val="25"/>
        </w:numPr>
      </w:pPr>
      <w:r w:rsidRPr="00E91463">
        <w:t>Increased demand for credit: Growing consumer confidence and spending may have allowed lenders to increase their APR margins.</w:t>
      </w:r>
    </w:p>
    <w:p w:rsidR="00E91463" w:rsidRPr="00E91463" w:rsidRDefault="00E91463" w:rsidP="00E91463">
      <w:pPr>
        <w:numPr>
          <w:ilvl w:val="0"/>
          <w:numId w:val="25"/>
        </w:numPr>
      </w:pPr>
      <w:r w:rsidRPr="00E91463">
        <w:t>Risk management: Banks might be increasing their APR margins to compensate for potential risks in the lending market.</w:t>
      </w:r>
    </w:p>
    <w:p w:rsidR="00E91463" w:rsidRPr="00E91463" w:rsidRDefault="00E91463" w:rsidP="00E91463">
      <w:pPr>
        <w:numPr>
          <w:ilvl w:val="0"/>
          <w:numId w:val="25"/>
        </w:numPr>
      </w:pPr>
      <w:r w:rsidRPr="00E91463">
        <w:t>Inflation: Rising inflation rates could be contributing to the increase in both the Prime Rate and APR margins.</w:t>
      </w:r>
    </w:p>
    <w:p w:rsidR="00E91463" w:rsidRPr="00E91463" w:rsidRDefault="00E91463" w:rsidP="00E91463">
      <w:pPr>
        <w:numPr>
          <w:ilvl w:val="0"/>
          <w:numId w:val="25"/>
        </w:numPr>
      </w:pPr>
      <w:r w:rsidRPr="00E91463">
        <w:t>Competitive pressures: The banking industry's competitive landscape may influence how institutions set their APR margins.</w:t>
      </w:r>
    </w:p>
    <w:p w:rsidR="00E91463" w:rsidRPr="00E91463" w:rsidRDefault="00E91463" w:rsidP="00E91463">
      <w:pPr>
        <w:numPr>
          <w:ilvl w:val="0"/>
          <w:numId w:val="25"/>
        </w:numPr>
      </w:pPr>
      <w:r w:rsidRPr="00E91463">
        <w:t>Regulatory changes: New financial regulations implemented over this period could have impacted how banks price their loans and credit products.</w:t>
      </w:r>
    </w:p>
    <w:p w:rsidR="00E91463" w:rsidRPr="00E91463" w:rsidRDefault="00E91463" w:rsidP="00E91463">
      <w:r w:rsidRPr="00E91463">
        <w:t>The consistent rise in APR margin suggests that lenders have been able to maintain or increase their profitability on loans, while the more volatile Prime Rate reflects broader economic conditions and monetary policy decisions.</w:t>
      </w:r>
    </w:p>
    <w:p w:rsidR="00E91463" w:rsidRPr="00E91463" w:rsidRDefault="00E91463" w:rsidP="00484593">
      <w:pPr>
        <w:rPr>
          <w:b/>
        </w:rPr>
      </w:pPr>
    </w:p>
    <w:p w:rsidR="00E91463" w:rsidRPr="007B1573" w:rsidRDefault="00E91463" w:rsidP="00484593">
      <w:r>
        <w:br w:type="page"/>
      </w:r>
    </w:p>
    <w:p w:rsidR="00DC38FE" w:rsidRDefault="00B526D4" w:rsidP="00DC38FE">
      <w:pPr>
        <w:rPr>
          <w:b/>
        </w:rPr>
      </w:pPr>
      <w:r>
        <w:rPr>
          <w:b/>
        </w:rPr>
        <w:lastRenderedPageBreak/>
        <w:t>Best Credit Cards 2024:</w:t>
      </w:r>
    </w:p>
    <w:tbl>
      <w:tblPr>
        <w:tblStyle w:val="TableGrid"/>
        <w:tblpPr w:leftFromText="180" w:rightFromText="180" w:vertAnchor="page" w:horzAnchor="margin" w:tblpY="1956"/>
        <w:tblW w:w="10151" w:type="dxa"/>
        <w:tblLook w:val="04A0" w:firstRow="1" w:lastRow="0" w:firstColumn="1" w:lastColumn="0" w:noHBand="0" w:noVBand="1"/>
      </w:tblPr>
      <w:tblGrid>
        <w:gridCol w:w="2755"/>
        <w:gridCol w:w="2213"/>
        <w:gridCol w:w="2213"/>
        <w:gridCol w:w="2970"/>
      </w:tblGrid>
      <w:tr w:rsidR="00DC38FE" w:rsidTr="00DC38FE">
        <w:trPr>
          <w:trHeight w:val="247"/>
        </w:trPr>
        <w:tc>
          <w:tcPr>
            <w:tcW w:w="2755" w:type="dxa"/>
            <w:vAlign w:val="center"/>
            <w:hideMark/>
          </w:tcPr>
          <w:p w:rsidR="00DC38FE" w:rsidRPr="00532CAF" w:rsidRDefault="00DC38FE" w:rsidP="00DC38FE">
            <w:pPr>
              <w:jc w:val="center"/>
              <w:rPr>
                <w:b/>
              </w:rPr>
            </w:pPr>
            <w:r>
              <w:rPr>
                <w:b/>
              </w:rPr>
              <w:t>Card</w:t>
            </w:r>
          </w:p>
        </w:tc>
        <w:tc>
          <w:tcPr>
            <w:tcW w:w="2213" w:type="dxa"/>
          </w:tcPr>
          <w:p w:rsidR="00DC38FE" w:rsidRPr="00532CAF" w:rsidRDefault="00DC38FE" w:rsidP="00DC38FE">
            <w:pPr>
              <w:jc w:val="center"/>
              <w:rPr>
                <w:b/>
              </w:rPr>
            </w:pPr>
            <w:r>
              <w:rPr>
                <w:b/>
              </w:rPr>
              <w:t>Best For</w:t>
            </w:r>
          </w:p>
        </w:tc>
        <w:tc>
          <w:tcPr>
            <w:tcW w:w="2213" w:type="dxa"/>
            <w:vAlign w:val="center"/>
            <w:hideMark/>
          </w:tcPr>
          <w:p w:rsidR="00DC38FE" w:rsidRPr="00532CAF" w:rsidRDefault="00DC38FE" w:rsidP="00DC38FE">
            <w:pPr>
              <w:jc w:val="center"/>
              <w:rPr>
                <w:b/>
              </w:rPr>
            </w:pPr>
            <w:proofErr w:type="spellStart"/>
            <w:r>
              <w:rPr>
                <w:b/>
              </w:rPr>
              <w:t>CreditScore</w:t>
            </w:r>
            <w:proofErr w:type="spellEnd"/>
          </w:p>
        </w:tc>
        <w:tc>
          <w:tcPr>
            <w:tcW w:w="2970" w:type="dxa"/>
            <w:vAlign w:val="center"/>
            <w:hideMark/>
          </w:tcPr>
          <w:p w:rsidR="00DC38FE" w:rsidRPr="00532CAF" w:rsidRDefault="00DC38FE" w:rsidP="00DC38FE">
            <w:pPr>
              <w:jc w:val="center"/>
              <w:rPr>
                <w:b/>
              </w:rPr>
            </w:pPr>
            <w:r>
              <w:rPr>
                <w:b/>
              </w:rPr>
              <w:t>Annual Fee</w:t>
            </w:r>
          </w:p>
        </w:tc>
      </w:tr>
      <w:tr w:rsidR="00DC38FE" w:rsidTr="00DC38FE">
        <w:trPr>
          <w:trHeight w:val="247"/>
        </w:trPr>
        <w:tc>
          <w:tcPr>
            <w:tcW w:w="2755" w:type="dxa"/>
            <w:vAlign w:val="center"/>
          </w:tcPr>
          <w:p w:rsidR="00DC38FE" w:rsidRPr="00543641" w:rsidRDefault="00DC38FE" w:rsidP="00DC38FE">
            <w:r>
              <w:t>Capital One Quicksilver Cash Rewards Credit Card</w:t>
            </w:r>
          </w:p>
        </w:tc>
        <w:tc>
          <w:tcPr>
            <w:tcW w:w="2213" w:type="dxa"/>
          </w:tcPr>
          <w:p w:rsidR="00DC38FE" w:rsidRPr="00543641" w:rsidRDefault="00DC38FE" w:rsidP="00DC38FE">
            <w:pPr>
              <w:jc w:val="center"/>
            </w:pPr>
            <w:r>
              <w:t>Best Overall, Best Cash Back Credit Card</w:t>
            </w:r>
          </w:p>
        </w:tc>
        <w:tc>
          <w:tcPr>
            <w:tcW w:w="2213" w:type="dxa"/>
            <w:vAlign w:val="center"/>
          </w:tcPr>
          <w:p w:rsidR="00DC38FE" w:rsidRPr="00543641" w:rsidRDefault="00DC38FE" w:rsidP="00DC38FE">
            <w:pPr>
              <w:jc w:val="center"/>
            </w:pPr>
            <w:r>
              <w:t>670-850</w:t>
            </w:r>
          </w:p>
        </w:tc>
        <w:tc>
          <w:tcPr>
            <w:tcW w:w="2970" w:type="dxa"/>
            <w:vAlign w:val="center"/>
          </w:tcPr>
          <w:p w:rsidR="00DC38FE" w:rsidRPr="00543641" w:rsidRDefault="00DC38FE" w:rsidP="00DC38FE">
            <w:pPr>
              <w:jc w:val="center"/>
            </w:pPr>
            <w:r>
              <w:t>$0</w:t>
            </w:r>
          </w:p>
        </w:tc>
      </w:tr>
      <w:tr w:rsidR="00DC38FE" w:rsidTr="00DC38FE">
        <w:trPr>
          <w:trHeight w:val="264"/>
        </w:trPr>
        <w:tc>
          <w:tcPr>
            <w:tcW w:w="2755" w:type="dxa"/>
            <w:vAlign w:val="center"/>
          </w:tcPr>
          <w:p w:rsidR="00DC38FE" w:rsidRPr="00543641" w:rsidRDefault="00DC38FE" w:rsidP="00DC38FE">
            <w:pPr>
              <w:jc w:val="center"/>
            </w:pPr>
            <w:r>
              <w:t>Chase Sapphire Reserve</w:t>
            </w:r>
          </w:p>
        </w:tc>
        <w:tc>
          <w:tcPr>
            <w:tcW w:w="2213" w:type="dxa"/>
          </w:tcPr>
          <w:p w:rsidR="00DC38FE" w:rsidRPr="00543641" w:rsidRDefault="00DC38FE" w:rsidP="00DC38FE">
            <w:pPr>
              <w:jc w:val="center"/>
            </w:pPr>
            <w:r>
              <w:t>Best Travel, Best Rewards Credit Card</w:t>
            </w:r>
          </w:p>
        </w:tc>
        <w:tc>
          <w:tcPr>
            <w:tcW w:w="2213" w:type="dxa"/>
            <w:vAlign w:val="center"/>
          </w:tcPr>
          <w:p w:rsidR="00DC38FE" w:rsidRPr="00543641" w:rsidRDefault="00DC38FE" w:rsidP="00DC38FE">
            <w:pPr>
              <w:jc w:val="center"/>
            </w:pPr>
            <w:r>
              <w:t>800-850</w:t>
            </w:r>
          </w:p>
        </w:tc>
        <w:tc>
          <w:tcPr>
            <w:tcW w:w="2970" w:type="dxa"/>
            <w:vAlign w:val="center"/>
          </w:tcPr>
          <w:p w:rsidR="00DC38FE" w:rsidRPr="00543641" w:rsidRDefault="00DC38FE" w:rsidP="00DC38FE">
            <w:pPr>
              <w:jc w:val="center"/>
            </w:pPr>
            <w:r>
              <w:t>$550</w:t>
            </w:r>
          </w:p>
        </w:tc>
      </w:tr>
      <w:tr w:rsidR="00DC38FE" w:rsidTr="00DC38FE">
        <w:trPr>
          <w:trHeight w:val="247"/>
        </w:trPr>
        <w:tc>
          <w:tcPr>
            <w:tcW w:w="2755" w:type="dxa"/>
            <w:vAlign w:val="center"/>
          </w:tcPr>
          <w:p w:rsidR="00DC38FE" w:rsidRPr="00543641" w:rsidRDefault="00DC38FE" w:rsidP="00DC38FE">
            <w:pPr>
              <w:jc w:val="center"/>
            </w:pPr>
            <w:r>
              <w:t>United℠ Explorer</w:t>
            </w:r>
          </w:p>
        </w:tc>
        <w:tc>
          <w:tcPr>
            <w:tcW w:w="2213" w:type="dxa"/>
          </w:tcPr>
          <w:p w:rsidR="00DC38FE" w:rsidRPr="00543641" w:rsidRDefault="00DC38FE" w:rsidP="00DC38FE">
            <w:pPr>
              <w:jc w:val="center"/>
            </w:pPr>
            <w:r>
              <w:t>Best Airline Credit Card</w:t>
            </w:r>
          </w:p>
        </w:tc>
        <w:tc>
          <w:tcPr>
            <w:tcW w:w="2213" w:type="dxa"/>
            <w:vAlign w:val="center"/>
          </w:tcPr>
          <w:p w:rsidR="00DC38FE" w:rsidRPr="00543641" w:rsidRDefault="00DC38FE" w:rsidP="00DC38FE">
            <w:pPr>
              <w:jc w:val="center"/>
            </w:pPr>
            <w:r>
              <w:t>670-850</w:t>
            </w:r>
          </w:p>
        </w:tc>
        <w:tc>
          <w:tcPr>
            <w:tcW w:w="2970" w:type="dxa"/>
          </w:tcPr>
          <w:p w:rsidR="00DC38FE" w:rsidRDefault="00DC38FE" w:rsidP="00DC38FE">
            <w:pPr>
              <w:jc w:val="center"/>
            </w:pPr>
            <w:r w:rsidRPr="0008172E">
              <w:t>$0 for the first year, then $95</w:t>
            </w:r>
          </w:p>
        </w:tc>
      </w:tr>
      <w:tr w:rsidR="00DC38FE" w:rsidTr="00DC38FE">
        <w:trPr>
          <w:trHeight w:val="247"/>
        </w:trPr>
        <w:tc>
          <w:tcPr>
            <w:tcW w:w="2755" w:type="dxa"/>
            <w:vAlign w:val="center"/>
          </w:tcPr>
          <w:p w:rsidR="00DC38FE" w:rsidRPr="00543641" w:rsidRDefault="00DC38FE" w:rsidP="00DC38FE">
            <w:pPr>
              <w:jc w:val="center"/>
            </w:pPr>
            <w:r>
              <w:t>World of Hyatt Credit Card</w:t>
            </w:r>
          </w:p>
        </w:tc>
        <w:tc>
          <w:tcPr>
            <w:tcW w:w="2213" w:type="dxa"/>
          </w:tcPr>
          <w:p w:rsidR="00DC38FE" w:rsidRPr="00677EA5" w:rsidRDefault="00DC38FE" w:rsidP="00DC38FE">
            <w:pPr>
              <w:jc w:val="center"/>
            </w:pPr>
            <w:r>
              <w:t>Best Hotel Credit Card</w:t>
            </w:r>
          </w:p>
        </w:tc>
        <w:tc>
          <w:tcPr>
            <w:tcW w:w="2213" w:type="dxa"/>
            <w:vAlign w:val="center"/>
          </w:tcPr>
          <w:p w:rsidR="00DC38FE" w:rsidRPr="00543641" w:rsidRDefault="00DC38FE" w:rsidP="00DC38FE">
            <w:pPr>
              <w:jc w:val="center"/>
            </w:pPr>
            <w:r>
              <w:t>670-850</w:t>
            </w:r>
          </w:p>
        </w:tc>
        <w:tc>
          <w:tcPr>
            <w:tcW w:w="2970" w:type="dxa"/>
          </w:tcPr>
          <w:p w:rsidR="00DC38FE" w:rsidRDefault="00DC38FE" w:rsidP="00DC38FE">
            <w:pPr>
              <w:jc w:val="center"/>
            </w:pPr>
            <w:r w:rsidRPr="00663BF9">
              <w:t>$</w:t>
            </w:r>
            <w:r>
              <w:t>9</w:t>
            </w:r>
            <w:r w:rsidRPr="00663BF9">
              <w:t>5</w:t>
            </w:r>
          </w:p>
        </w:tc>
      </w:tr>
      <w:tr w:rsidR="00DC38FE" w:rsidTr="00DC38FE">
        <w:trPr>
          <w:trHeight w:val="247"/>
        </w:trPr>
        <w:tc>
          <w:tcPr>
            <w:tcW w:w="2755" w:type="dxa"/>
            <w:vAlign w:val="center"/>
          </w:tcPr>
          <w:p w:rsidR="00DC38FE" w:rsidRPr="00543641" w:rsidRDefault="00DC38FE" w:rsidP="00DC38FE">
            <w:pPr>
              <w:jc w:val="center"/>
            </w:pPr>
            <w:r>
              <w:t>Citi Diamond Preferred Credit Card</w:t>
            </w:r>
          </w:p>
        </w:tc>
        <w:tc>
          <w:tcPr>
            <w:tcW w:w="2213" w:type="dxa"/>
          </w:tcPr>
          <w:p w:rsidR="00DC38FE" w:rsidRDefault="00DC38FE" w:rsidP="00DC38FE">
            <w:pPr>
              <w:jc w:val="center"/>
            </w:pPr>
            <w:r>
              <w:t>Best Balance Transfer Credit Card</w:t>
            </w:r>
          </w:p>
        </w:tc>
        <w:tc>
          <w:tcPr>
            <w:tcW w:w="2213" w:type="dxa"/>
            <w:vAlign w:val="center"/>
          </w:tcPr>
          <w:p w:rsidR="00DC38FE" w:rsidRPr="00543641" w:rsidRDefault="00DC38FE" w:rsidP="00DC38FE">
            <w:pPr>
              <w:jc w:val="center"/>
            </w:pPr>
            <w:r>
              <w:t>670-850</w:t>
            </w:r>
          </w:p>
        </w:tc>
        <w:tc>
          <w:tcPr>
            <w:tcW w:w="2970" w:type="dxa"/>
          </w:tcPr>
          <w:p w:rsidR="00DC38FE" w:rsidRDefault="00DC38FE" w:rsidP="00DC38FE">
            <w:pPr>
              <w:jc w:val="center"/>
            </w:pPr>
            <w:r w:rsidRPr="00663BF9">
              <w:t>$0</w:t>
            </w:r>
          </w:p>
        </w:tc>
      </w:tr>
      <w:tr w:rsidR="00DC38FE" w:rsidTr="00DC38FE">
        <w:trPr>
          <w:trHeight w:val="264"/>
        </w:trPr>
        <w:tc>
          <w:tcPr>
            <w:tcW w:w="2755" w:type="dxa"/>
            <w:vAlign w:val="center"/>
          </w:tcPr>
          <w:p w:rsidR="00DC38FE" w:rsidRPr="00543641" w:rsidRDefault="00DC38FE" w:rsidP="00DC38FE">
            <w:pPr>
              <w:jc w:val="center"/>
            </w:pPr>
            <w:r>
              <w:t>Bank of America Travel Rewards for Students</w:t>
            </w:r>
          </w:p>
        </w:tc>
        <w:tc>
          <w:tcPr>
            <w:tcW w:w="2213" w:type="dxa"/>
            <w:vAlign w:val="center"/>
          </w:tcPr>
          <w:p w:rsidR="00DC38FE" w:rsidRPr="00543641" w:rsidRDefault="00DC38FE" w:rsidP="00DC38FE">
            <w:pPr>
              <w:jc w:val="center"/>
            </w:pPr>
            <w:r>
              <w:t>Best Student Credit Card</w:t>
            </w:r>
          </w:p>
        </w:tc>
        <w:tc>
          <w:tcPr>
            <w:tcW w:w="2213" w:type="dxa"/>
            <w:vAlign w:val="center"/>
          </w:tcPr>
          <w:p w:rsidR="00DC38FE" w:rsidRPr="00543641" w:rsidRDefault="00DC38FE" w:rsidP="00DC38FE">
            <w:pPr>
              <w:jc w:val="center"/>
            </w:pPr>
            <w:r>
              <w:t>670-850</w:t>
            </w:r>
          </w:p>
        </w:tc>
        <w:tc>
          <w:tcPr>
            <w:tcW w:w="2970" w:type="dxa"/>
          </w:tcPr>
          <w:p w:rsidR="00DC38FE" w:rsidRDefault="00DC38FE" w:rsidP="00DC38FE">
            <w:pPr>
              <w:jc w:val="center"/>
            </w:pPr>
            <w:r w:rsidRPr="00663BF9">
              <w:t>$0</w:t>
            </w:r>
          </w:p>
        </w:tc>
      </w:tr>
      <w:tr w:rsidR="00DC38FE" w:rsidTr="00DC38FE">
        <w:trPr>
          <w:trHeight w:val="247"/>
        </w:trPr>
        <w:tc>
          <w:tcPr>
            <w:tcW w:w="2755" w:type="dxa"/>
            <w:vAlign w:val="center"/>
          </w:tcPr>
          <w:p w:rsidR="00DC38FE" w:rsidRPr="00543641" w:rsidRDefault="00DC38FE" w:rsidP="00DC38FE">
            <w:pPr>
              <w:jc w:val="center"/>
            </w:pPr>
            <w:r>
              <w:t>Ink Business Preferred Credit Card</w:t>
            </w:r>
          </w:p>
        </w:tc>
        <w:tc>
          <w:tcPr>
            <w:tcW w:w="2213" w:type="dxa"/>
            <w:vAlign w:val="center"/>
          </w:tcPr>
          <w:p w:rsidR="00DC38FE" w:rsidRPr="00543641" w:rsidRDefault="00DC38FE" w:rsidP="00DC38FE">
            <w:pPr>
              <w:jc w:val="center"/>
            </w:pPr>
            <w:r>
              <w:t>Best Business Credit Card</w:t>
            </w:r>
          </w:p>
        </w:tc>
        <w:tc>
          <w:tcPr>
            <w:tcW w:w="2213" w:type="dxa"/>
            <w:vAlign w:val="center"/>
          </w:tcPr>
          <w:p w:rsidR="00DC38FE" w:rsidRPr="00543641" w:rsidRDefault="00DC38FE" w:rsidP="00DC38FE">
            <w:pPr>
              <w:jc w:val="center"/>
            </w:pPr>
            <w:r>
              <w:t>670-850</w:t>
            </w:r>
          </w:p>
        </w:tc>
        <w:tc>
          <w:tcPr>
            <w:tcW w:w="2970" w:type="dxa"/>
          </w:tcPr>
          <w:p w:rsidR="00DC38FE" w:rsidRDefault="00DC38FE" w:rsidP="00DC38FE">
            <w:pPr>
              <w:jc w:val="center"/>
            </w:pPr>
            <w:r w:rsidRPr="00663BF9">
              <w:t>$</w:t>
            </w:r>
            <w:r>
              <w:t>9</w:t>
            </w:r>
            <w:r w:rsidRPr="00663BF9">
              <w:t>5</w:t>
            </w:r>
          </w:p>
        </w:tc>
      </w:tr>
      <w:tr w:rsidR="00DC38FE" w:rsidTr="00DC38FE">
        <w:trPr>
          <w:trHeight w:val="247"/>
        </w:trPr>
        <w:tc>
          <w:tcPr>
            <w:tcW w:w="2755" w:type="dxa"/>
            <w:vAlign w:val="center"/>
          </w:tcPr>
          <w:p w:rsidR="00DC38FE" w:rsidRDefault="00DC38FE" w:rsidP="00DC38FE">
            <w:pPr>
              <w:jc w:val="center"/>
            </w:pPr>
            <w:r>
              <w:t>Blue Cash Preferred Card from American Express</w:t>
            </w:r>
          </w:p>
        </w:tc>
        <w:tc>
          <w:tcPr>
            <w:tcW w:w="2213" w:type="dxa"/>
            <w:vAlign w:val="center"/>
          </w:tcPr>
          <w:p w:rsidR="00DC38FE" w:rsidRDefault="00DC38FE" w:rsidP="00DC38FE">
            <w:pPr>
              <w:jc w:val="center"/>
            </w:pPr>
            <w:r>
              <w:t>Best Groceries Credit Card</w:t>
            </w:r>
          </w:p>
          <w:p w:rsidR="00DC38FE" w:rsidRDefault="00DC38FE" w:rsidP="00DC38FE">
            <w:pPr>
              <w:jc w:val="center"/>
            </w:pPr>
          </w:p>
        </w:tc>
        <w:tc>
          <w:tcPr>
            <w:tcW w:w="2213" w:type="dxa"/>
            <w:vAlign w:val="center"/>
          </w:tcPr>
          <w:p w:rsidR="00DC38FE" w:rsidRPr="00543641" w:rsidRDefault="00DC38FE" w:rsidP="00DC38FE">
            <w:pPr>
              <w:jc w:val="center"/>
            </w:pPr>
            <w:r>
              <w:t>670-850</w:t>
            </w:r>
          </w:p>
        </w:tc>
        <w:tc>
          <w:tcPr>
            <w:tcW w:w="2970" w:type="dxa"/>
          </w:tcPr>
          <w:p w:rsidR="00DC38FE" w:rsidRDefault="00DC38FE" w:rsidP="00DC38FE">
            <w:pPr>
              <w:jc w:val="center"/>
            </w:pPr>
            <w:r w:rsidRPr="00663BF9">
              <w:t>$</w:t>
            </w:r>
            <w:r>
              <w:t>95</w:t>
            </w:r>
          </w:p>
        </w:tc>
      </w:tr>
      <w:tr w:rsidR="00DC38FE" w:rsidTr="00DC38FE">
        <w:trPr>
          <w:trHeight w:val="247"/>
        </w:trPr>
        <w:tc>
          <w:tcPr>
            <w:tcW w:w="2755" w:type="dxa"/>
            <w:vAlign w:val="center"/>
          </w:tcPr>
          <w:p w:rsidR="00DC38FE" w:rsidRDefault="00DC38FE" w:rsidP="00DC38FE">
            <w:pPr>
              <w:jc w:val="center"/>
            </w:pPr>
            <w:r>
              <w:t xml:space="preserve">Capital One </w:t>
            </w:r>
            <w:proofErr w:type="spellStart"/>
            <w:r>
              <w:t>SavorOne</w:t>
            </w:r>
            <w:proofErr w:type="spellEnd"/>
            <w:r>
              <w:t xml:space="preserve"> Cash Rewards Credit Card</w:t>
            </w:r>
          </w:p>
          <w:p w:rsidR="00DC38FE" w:rsidRDefault="00DC38FE" w:rsidP="00DC38FE">
            <w:pPr>
              <w:jc w:val="center"/>
            </w:pPr>
          </w:p>
        </w:tc>
        <w:tc>
          <w:tcPr>
            <w:tcW w:w="2213" w:type="dxa"/>
            <w:vAlign w:val="center"/>
          </w:tcPr>
          <w:p w:rsidR="00DC38FE" w:rsidRDefault="00DC38FE" w:rsidP="00DC38FE">
            <w:pPr>
              <w:jc w:val="center"/>
            </w:pPr>
            <w:r>
              <w:t>Best Online Shopping Credit Card</w:t>
            </w:r>
          </w:p>
        </w:tc>
        <w:tc>
          <w:tcPr>
            <w:tcW w:w="2213" w:type="dxa"/>
            <w:vAlign w:val="center"/>
          </w:tcPr>
          <w:p w:rsidR="00DC38FE" w:rsidRPr="00543641" w:rsidRDefault="00DC38FE" w:rsidP="00DC38FE">
            <w:pPr>
              <w:jc w:val="center"/>
            </w:pPr>
            <w:r>
              <w:t>670-850</w:t>
            </w:r>
          </w:p>
        </w:tc>
        <w:tc>
          <w:tcPr>
            <w:tcW w:w="2970" w:type="dxa"/>
          </w:tcPr>
          <w:p w:rsidR="00DC38FE" w:rsidRDefault="00DC38FE" w:rsidP="00DC38FE">
            <w:pPr>
              <w:jc w:val="center"/>
            </w:pPr>
            <w:r w:rsidRPr="00663BF9">
              <w:t>$0</w:t>
            </w:r>
          </w:p>
        </w:tc>
      </w:tr>
      <w:tr w:rsidR="00DC38FE" w:rsidTr="00DC38FE">
        <w:trPr>
          <w:trHeight w:val="247"/>
        </w:trPr>
        <w:tc>
          <w:tcPr>
            <w:tcW w:w="2755" w:type="dxa"/>
            <w:vAlign w:val="center"/>
          </w:tcPr>
          <w:p w:rsidR="00DC38FE" w:rsidRDefault="00DC38FE" w:rsidP="00DC38FE">
            <w:pPr>
              <w:jc w:val="center"/>
            </w:pPr>
            <w:r>
              <w:t>Capital One Platinum Secured</w:t>
            </w:r>
          </w:p>
        </w:tc>
        <w:tc>
          <w:tcPr>
            <w:tcW w:w="2213" w:type="dxa"/>
            <w:vAlign w:val="center"/>
          </w:tcPr>
          <w:p w:rsidR="00DC38FE" w:rsidRDefault="00DC38FE" w:rsidP="00DC38FE">
            <w:pPr>
              <w:jc w:val="center"/>
            </w:pPr>
            <w:r>
              <w:t>Best Secured Credit Card</w:t>
            </w:r>
          </w:p>
        </w:tc>
        <w:tc>
          <w:tcPr>
            <w:tcW w:w="2213" w:type="dxa"/>
            <w:vAlign w:val="center"/>
          </w:tcPr>
          <w:p w:rsidR="00DC38FE" w:rsidRPr="00543641" w:rsidRDefault="00DC38FE" w:rsidP="00DC38FE">
            <w:pPr>
              <w:jc w:val="center"/>
            </w:pPr>
            <w:r>
              <w:t>350-850</w:t>
            </w:r>
          </w:p>
        </w:tc>
        <w:tc>
          <w:tcPr>
            <w:tcW w:w="2970" w:type="dxa"/>
          </w:tcPr>
          <w:p w:rsidR="00DC38FE" w:rsidRDefault="00DC38FE" w:rsidP="00DC38FE">
            <w:pPr>
              <w:jc w:val="center"/>
            </w:pPr>
            <w:r w:rsidRPr="00663BF9">
              <w:t>$0</w:t>
            </w:r>
          </w:p>
        </w:tc>
      </w:tr>
    </w:tbl>
    <w:p w:rsidR="00DC38FE" w:rsidRDefault="00DC38FE" w:rsidP="00DC38FE">
      <w:pPr>
        <w:rPr>
          <w:b/>
        </w:rPr>
      </w:pPr>
    </w:p>
    <w:p w:rsidR="00DC38FE" w:rsidRPr="00DC38FE" w:rsidRDefault="00DC38FE" w:rsidP="00DC38FE">
      <w:pPr>
        <w:rPr>
          <w:b/>
          <w:bCs/>
        </w:rPr>
      </w:pPr>
      <w:r w:rsidRPr="00DC38FE">
        <w:rPr>
          <w:b/>
          <w:bCs/>
        </w:rPr>
        <w:t>Exclusive Credit Cards That Require an Invitation</w:t>
      </w:r>
      <w:r>
        <w:rPr>
          <w:b/>
          <w:bCs/>
        </w:rPr>
        <w:t>:</w:t>
      </w:r>
    </w:p>
    <w:p w:rsidR="00DC38FE" w:rsidRPr="00DC38FE" w:rsidRDefault="00DC38FE" w:rsidP="00DC38FE">
      <w:r w:rsidRPr="00DC38FE">
        <w:t xml:space="preserve">These ultra-exclusive credit cards are designed for the wealthiest individuals and offer unmatched luxury and privileges. </w:t>
      </w:r>
    </w:p>
    <w:tbl>
      <w:tblPr>
        <w:tblStyle w:val="TableGrid"/>
        <w:tblW w:w="10008" w:type="dxa"/>
        <w:tblInd w:w="-432" w:type="dxa"/>
        <w:tblLook w:val="04A0" w:firstRow="1" w:lastRow="0" w:firstColumn="1" w:lastColumn="0" w:noHBand="0" w:noVBand="1"/>
      </w:tblPr>
      <w:tblGrid>
        <w:gridCol w:w="1633"/>
        <w:gridCol w:w="3187"/>
        <w:gridCol w:w="1039"/>
        <w:gridCol w:w="4149"/>
      </w:tblGrid>
      <w:tr w:rsidR="00DC38FE" w:rsidRPr="00DC38FE" w:rsidTr="00DC38FE">
        <w:trPr>
          <w:trHeight w:val="300"/>
        </w:trPr>
        <w:tc>
          <w:tcPr>
            <w:tcW w:w="1634" w:type="dxa"/>
            <w:noWrap/>
            <w:hideMark/>
          </w:tcPr>
          <w:p w:rsidR="00DC38FE" w:rsidRPr="00DC38FE" w:rsidRDefault="00DC38FE" w:rsidP="00DC38FE">
            <w:pPr>
              <w:spacing w:after="200" w:line="276" w:lineRule="auto"/>
              <w:rPr>
                <w:b/>
                <w:bCs/>
              </w:rPr>
            </w:pPr>
            <w:r w:rsidRPr="00DC38FE">
              <w:rPr>
                <w:b/>
                <w:bCs/>
              </w:rPr>
              <w:t>Card Name</w:t>
            </w:r>
          </w:p>
        </w:tc>
        <w:tc>
          <w:tcPr>
            <w:tcW w:w="3188" w:type="dxa"/>
            <w:noWrap/>
            <w:hideMark/>
          </w:tcPr>
          <w:p w:rsidR="00DC38FE" w:rsidRPr="00DC38FE" w:rsidRDefault="00DC38FE" w:rsidP="00DC38FE">
            <w:pPr>
              <w:spacing w:after="200" w:line="276" w:lineRule="auto"/>
              <w:rPr>
                <w:b/>
                <w:bCs/>
              </w:rPr>
            </w:pPr>
            <w:r w:rsidRPr="00DC38FE">
              <w:rPr>
                <w:b/>
                <w:bCs/>
              </w:rPr>
              <w:t>Eligibility</w:t>
            </w:r>
          </w:p>
        </w:tc>
        <w:tc>
          <w:tcPr>
            <w:tcW w:w="1036" w:type="dxa"/>
            <w:noWrap/>
            <w:hideMark/>
          </w:tcPr>
          <w:p w:rsidR="00DC38FE" w:rsidRPr="00DC38FE" w:rsidRDefault="00DC38FE" w:rsidP="00DC38FE">
            <w:pPr>
              <w:spacing w:after="200" w:line="276" w:lineRule="auto"/>
              <w:rPr>
                <w:b/>
                <w:bCs/>
              </w:rPr>
            </w:pPr>
            <w:r w:rsidRPr="00DC38FE">
              <w:rPr>
                <w:b/>
                <w:bCs/>
              </w:rPr>
              <w:t>Annual Fee</w:t>
            </w:r>
          </w:p>
        </w:tc>
        <w:tc>
          <w:tcPr>
            <w:tcW w:w="4150" w:type="dxa"/>
            <w:noWrap/>
            <w:hideMark/>
          </w:tcPr>
          <w:p w:rsidR="00DC38FE" w:rsidRPr="00DC38FE" w:rsidRDefault="00DC38FE" w:rsidP="00DC38FE">
            <w:pPr>
              <w:spacing w:after="200" w:line="276" w:lineRule="auto"/>
              <w:rPr>
                <w:b/>
                <w:bCs/>
              </w:rPr>
            </w:pPr>
            <w:r w:rsidRPr="00DC38FE">
              <w:rPr>
                <w:b/>
                <w:bCs/>
              </w:rPr>
              <w:t>Perks</w:t>
            </w:r>
          </w:p>
        </w:tc>
      </w:tr>
      <w:tr w:rsidR="00DC38FE" w:rsidRPr="00DC38FE" w:rsidTr="00DC38FE">
        <w:trPr>
          <w:trHeight w:val="300"/>
        </w:trPr>
        <w:tc>
          <w:tcPr>
            <w:tcW w:w="1634" w:type="dxa"/>
            <w:noWrap/>
            <w:hideMark/>
          </w:tcPr>
          <w:p w:rsidR="00DC38FE" w:rsidRPr="00DC38FE" w:rsidRDefault="00DC38FE" w:rsidP="00DC38FE">
            <w:pPr>
              <w:spacing w:after="200" w:line="276" w:lineRule="auto"/>
            </w:pPr>
            <w:r w:rsidRPr="00DC38FE">
              <w:t>Centurion® Card from American Express</w:t>
            </w:r>
          </w:p>
        </w:tc>
        <w:tc>
          <w:tcPr>
            <w:tcW w:w="3188" w:type="dxa"/>
            <w:noWrap/>
            <w:hideMark/>
          </w:tcPr>
          <w:p w:rsidR="00DC38FE" w:rsidRPr="00DC38FE" w:rsidRDefault="00DC38FE" w:rsidP="00DC38FE">
            <w:pPr>
              <w:spacing w:after="200" w:line="276" w:lineRule="auto"/>
            </w:pPr>
            <w:r w:rsidRPr="00DC38FE">
              <w:t>By invitation only, typically extended to high-net-worth individuals who are long-standing American Express cardholders with significant annual spending.</w:t>
            </w:r>
          </w:p>
        </w:tc>
        <w:tc>
          <w:tcPr>
            <w:tcW w:w="1036" w:type="dxa"/>
            <w:noWrap/>
            <w:hideMark/>
          </w:tcPr>
          <w:p w:rsidR="00DC38FE" w:rsidRPr="00DC38FE" w:rsidRDefault="00DC38FE" w:rsidP="00DC38FE">
            <w:pPr>
              <w:spacing w:after="200" w:line="276" w:lineRule="auto"/>
            </w:pPr>
            <w:r w:rsidRPr="00DC38FE">
              <w:t>$5,000 with a $10,000 initiation fee</w:t>
            </w:r>
          </w:p>
        </w:tc>
        <w:tc>
          <w:tcPr>
            <w:tcW w:w="4150" w:type="dxa"/>
            <w:noWrap/>
            <w:hideMark/>
          </w:tcPr>
          <w:p w:rsidR="00DC38FE" w:rsidRPr="00DC38FE" w:rsidRDefault="00DC38FE" w:rsidP="00DC38FE">
            <w:pPr>
              <w:spacing w:after="200" w:line="276" w:lineRule="auto"/>
            </w:pPr>
            <w:r w:rsidRPr="00DC38FE">
              <w:t>Personal concierge service available 24/7, access to exclusive events and experiences, complimentary elite status with various airlines and hotels, access to private jet services and luxury travel benefits</w:t>
            </w:r>
          </w:p>
        </w:tc>
      </w:tr>
      <w:tr w:rsidR="00DC38FE" w:rsidRPr="00DC38FE" w:rsidTr="00DC38FE">
        <w:trPr>
          <w:trHeight w:val="300"/>
        </w:trPr>
        <w:tc>
          <w:tcPr>
            <w:tcW w:w="1634" w:type="dxa"/>
            <w:noWrap/>
            <w:hideMark/>
          </w:tcPr>
          <w:p w:rsidR="00DC38FE" w:rsidRPr="00DC38FE" w:rsidRDefault="00DC38FE" w:rsidP="00DC38FE">
            <w:pPr>
              <w:spacing w:after="200" w:line="276" w:lineRule="auto"/>
            </w:pPr>
            <w:r w:rsidRPr="00DC38FE">
              <w:t>JP Morgan Reserve Card</w:t>
            </w:r>
          </w:p>
        </w:tc>
        <w:tc>
          <w:tcPr>
            <w:tcW w:w="3188" w:type="dxa"/>
            <w:noWrap/>
            <w:hideMark/>
          </w:tcPr>
          <w:p w:rsidR="00DC38FE" w:rsidRPr="00DC38FE" w:rsidRDefault="00DC38FE" w:rsidP="00DC38FE">
            <w:pPr>
              <w:spacing w:after="200" w:line="276" w:lineRule="auto"/>
            </w:pPr>
            <w:r w:rsidRPr="00DC38FE">
              <w:t>By invitation only, usually offered to clients with at least $10 million in assets managed by JP Morgan.</w:t>
            </w:r>
          </w:p>
        </w:tc>
        <w:tc>
          <w:tcPr>
            <w:tcW w:w="1036" w:type="dxa"/>
            <w:noWrap/>
            <w:hideMark/>
          </w:tcPr>
          <w:p w:rsidR="00DC38FE" w:rsidRPr="00DC38FE" w:rsidRDefault="00DC38FE" w:rsidP="00DC38FE">
            <w:pPr>
              <w:spacing w:after="200" w:line="276" w:lineRule="auto"/>
            </w:pPr>
            <w:r w:rsidRPr="00DC38FE">
              <w:t>$595</w:t>
            </w:r>
          </w:p>
        </w:tc>
        <w:tc>
          <w:tcPr>
            <w:tcW w:w="4150" w:type="dxa"/>
            <w:noWrap/>
            <w:hideMark/>
          </w:tcPr>
          <w:p w:rsidR="00DC38FE" w:rsidRPr="00DC38FE" w:rsidRDefault="00DC38FE" w:rsidP="00DC38FE">
            <w:pPr>
              <w:spacing w:after="200" w:line="276" w:lineRule="auto"/>
            </w:pPr>
            <w:r w:rsidRPr="00DC38FE">
              <w:t>3x points on travel and dining, access to airport lounges via Priority Pass Select, travel and purchase protection benefits, comprehensive concierge services</w:t>
            </w:r>
          </w:p>
        </w:tc>
      </w:tr>
      <w:tr w:rsidR="00DC38FE" w:rsidRPr="00DC38FE" w:rsidTr="00DC38FE">
        <w:trPr>
          <w:trHeight w:val="300"/>
        </w:trPr>
        <w:tc>
          <w:tcPr>
            <w:tcW w:w="1634" w:type="dxa"/>
            <w:noWrap/>
            <w:hideMark/>
          </w:tcPr>
          <w:p w:rsidR="00DC38FE" w:rsidRPr="00DC38FE" w:rsidRDefault="00DC38FE" w:rsidP="00DC38FE">
            <w:pPr>
              <w:spacing w:after="200" w:line="276" w:lineRule="auto"/>
            </w:pPr>
            <w:r w:rsidRPr="00DC38FE">
              <w:lastRenderedPageBreak/>
              <w:t xml:space="preserve">Dubai First Royale </w:t>
            </w:r>
            <w:proofErr w:type="spellStart"/>
            <w:r w:rsidRPr="00DC38FE">
              <w:t>Mastercard</w:t>
            </w:r>
            <w:proofErr w:type="spellEnd"/>
          </w:p>
        </w:tc>
        <w:tc>
          <w:tcPr>
            <w:tcW w:w="3188" w:type="dxa"/>
            <w:noWrap/>
            <w:hideMark/>
          </w:tcPr>
          <w:p w:rsidR="00DC38FE" w:rsidRPr="00DC38FE" w:rsidRDefault="00DC38FE" w:rsidP="00DC38FE">
            <w:pPr>
              <w:spacing w:after="200" w:line="276" w:lineRule="auto"/>
            </w:pPr>
            <w:r w:rsidRPr="00DC38FE">
              <w:t>By invitation only, typically reserved for the ultra-wealthy in the UAE and other high-profile individuals globally.</w:t>
            </w:r>
          </w:p>
        </w:tc>
        <w:tc>
          <w:tcPr>
            <w:tcW w:w="1036" w:type="dxa"/>
            <w:noWrap/>
            <w:hideMark/>
          </w:tcPr>
          <w:p w:rsidR="00DC38FE" w:rsidRPr="00DC38FE" w:rsidRDefault="00DC38FE" w:rsidP="00DC38FE">
            <w:pPr>
              <w:spacing w:after="200" w:line="276" w:lineRule="auto"/>
            </w:pPr>
            <w:r w:rsidRPr="00DC38FE">
              <w:t>Not publicly disclosed</w:t>
            </w:r>
          </w:p>
        </w:tc>
        <w:tc>
          <w:tcPr>
            <w:tcW w:w="4150" w:type="dxa"/>
            <w:noWrap/>
            <w:hideMark/>
          </w:tcPr>
          <w:p w:rsidR="00DC38FE" w:rsidRPr="00DC38FE" w:rsidRDefault="00DC38FE" w:rsidP="00DC38FE">
            <w:pPr>
              <w:spacing w:after="200" w:line="276" w:lineRule="auto"/>
            </w:pPr>
            <w:r w:rsidRPr="00DC38FE">
              <w:t>Unlimited credit limit, personal relationship manager, access to a bespoke lifestyle management program, exclusive access to events and experiences</w:t>
            </w:r>
          </w:p>
        </w:tc>
      </w:tr>
      <w:tr w:rsidR="00DC38FE" w:rsidRPr="00DC38FE" w:rsidTr="00DC38FE">
        <w:trPr>
          <w:trHeight w:val="300"/>
        </w:trPr>
        <w:tc>
          <w:tcPr>
            <w:tcW w:w="1634" w:type="dxa"/>
            <w:noWrap/>
            <w:hideMark/>
          </w:tcPr>
          <w:p w:rsidR="00DC38FE" w:rsidRPr="00DC38FE" w:rsidRDefault="00DC38FE" w:rsidP="00DC38FE">
            <w:pPr>
              <w:spacing w:after="200" w:line="276" w:lineRule="auto"/>
            </w:pPr>
            <w:r w:rsidRPr="00DC38FE">
              <w:t>Coutts Silk Charge Card</w:t>
            </w:r>
          </w:p>
        </w:tc>
        <w:tc>
          <w:tcPr>
            <w:tcW w:w="3188" w:type="dxa"/>
            <w:noWrap/>
            <w:hideMark/>
          </w:tcPr>
          <w:p w:rsidR="00DC38FE" w:rsidRPr="00DC38FE" w:rsidRDefault="00DC38FE" w:rsidP="00DC38FE">
            <w:pPr>
              <w:spacing w:after="200" w:line="276" w:lineRule="auto"/>
            </w:pPr>
            <w:r w:rsidRPr="00DC38FE">
              <w:t>By invitation only, primarily offered to Coutts banking clients, including members of the British royal family.</w:t>
            </w:r>
          </w:p>
        </w:tc>
        <w:tc>
          <w:tcPr>
            <w:tcW w:w="1036" w:type="dxa"/>
            <w:noWrap/>
            <w:hideMark/>
          </w:tcPr>
          <w:p w:rsidR="00DC38FE" w:rsidRPr="00DC38FE" w:rsidRDefault="00DC38FE" w:rsidP="00DC38FE">
            <w:pPr>
              <w:spacing w:after="200" w:line="276" w:lineRule="auto"/>
            </w:pPr>
            <w:r w:rsidRPr="00DC38FE">
              <w:t>Not publicly disclosed</w:t>
            </w:r>
          </w:p>
        </w:tc>
        <w:tc>
          <w:tcPr>
            <w:tcW w:w="4150" w:type="dxa"/>
            <w:noWrap/>
            <w:hideMark/>
          </w:tcPr>
          <w:p w:rsidR="00DC38FE" w:rsidRPr="00DC38FE" w:rsidRDefault="00DC38FE" w:rsidP="00DC38FE">
            <w:pPr>
              <w:spacing w:after="200" w:line="276" w:lineRule="auto"/>
            </w:pPr>
            <w:r w:rsidRPr="00DC38FE">
              <w:t>Personalized concierge services, access to exclusive events and experiences, travel and lifestyle benefits, high spending limits and luxury perks</w:t>
            </w:r>
          </w:p>
        </w:tc>
      </w:tr>
      <w:tr w:rsidR="00DC38FE" w:rsidRPr="00DC38FE" w:rsidTr="00DC38FE">
        <w:trPr>
          <w:trHeight w:val="300"/>
        </w:trPr>
        <w:tc>
          <w:tcPr>
            <w:tcW w:w="1634" w:type="dxa"/>
            <w:noWrap/>
            <w:hideMark/>
          </w:tcPr>
          <w:p w:rsidR="00DC38FE" w:rsidRPr="00DC38FE" w:rsidRDefault="00DC38FE" w:rsidP="00DC38FE">
            <w:pPr>
              <w:spacing w:after="200" w:line="276" w:lineRule="auto"/>
            </w:pPr>
            <w:r w:rsidRPr="00DC38FE">
              <w:t>Citigroup Chairman American Express Card</w:t>
            </w:r>
          </w:p>
        </w:tc>
        <w:tc>
          <w:tcPr>
            <w:tcW w:w="3188" w:type="dxa"/>
            <w:noWrap/>
            <w:hideMark/>
          </w:tcPr>
          <w:p w:rsidR="00DC38FE" w:rsidRPr="00DC38FE" w:rsidRDefault="00DC38FE" w:rsidP="00DC38FE">
            <w:pPr>
              <w:spacing w:after="200" w:line="276" w:lineRule="auto"/>
            </w:pPr>
            <w:r w:rsidRPr="00DC38FE">
              <w:t>By invitation only, generally extended to clients with significant assets under management.</w:t>
            </w:r>
          </w:p>
        </w:tc>
        <w:tc>
          <w:tcPr>
            <w:tcW w:w="1036" w:type="dxa"/>
            <w:noWrap/>
            <w:hideMark/>
          </w:tcPr>
          <w:p w:rsidR="00DC38FE" w:rsidRPr="00DC38FE" w:rsidRDefault="00DC38FE" w:rsidP="00DC38FE">
            <w:pPr>
              <w:spacing w:after="200" w:line="276" w:lineRule="auto"/>
            </w:pPr>
            <w:r w:rsidRPr="00DC38FE">
              <w:t>Not publicly disclosed</w:t>
            </w:r>
          </w:p>
        </w:tc>
        <w:tc>
          <w:tcPr>
            <w:tcW w:w="4150" w:type="dxa"/>
            <w:noWrap/>
            <w:hideMark/>
          </w:tcPr>
          <w:p w:rsidR="00DC38FE" w:rsidRPr="00DC38FE" w:rsidRDefault="00DC38FE" w:rsidP="00DC38FE">
            <w:pPr>
              <w:spacing w:after="200" w:line="276" w:lineRule="auto"/>
            </w:pPr>
            <w:r w:rsidRPr="00DC38FE">
              <w:t>High reward rates on purchases, access to exclusive events and experiences, personalized concierge services, comprehensive travel benefits and insurance</w:t>
            </w:r>
          </w:p>
        </w:tc>
      </w:tr>
    </w:tbl>
    <w:p w:rsidR="00DC38FE" w:rsidRPr="00DC38FE" w:rsidRDefault="00DC38FE" w:rsidP="00DC38FE"/>
    <w:p w:rsidR="00DC38FE" w:rsidRPr="00DC38FE" w:rsidRDefault="00DC38FE" w:rsidP="00DC38FE"/>
    <w:p w:rsidR="00DC38FE" w:rsidRPr="00DC38FE" w:rsidRDefault="00DC38FE" w:rsidP="00DC38FE"/>
    <w:p w:rsidR="00DC38FE" w:rsidRPr="00DC38FE" w:rsidRDefault="00DC38FE" w:rsidP="00DC38FE"/>
    <w:p w:rsidR="00C401AF" w:rsidRDefault="00C401AF" w:rsidP="00C401AF">
      <w:pPr>
        <w:pStyle w:val="Title"/>
        <w:jc w:val="right"/>
      </w:pPr>
    </w:p>
    <w:p w:rsidR="00C401AF" w:rsidRDefault="00C401AF" w:rsidP="00C401AF">
      <w:pPr>
        <w:pStyle w:val="Title"/>
        <w:jc w:val="right"/>
      </w:pPr>
    </w:p>
    <w:p w:rsidR="00C401AF" w:rsidRDefault="00C401AF" w:rsidP="00C401AF">
      <w:pPr>
        <w:pStyle w:val="Title"/>
        <w:jc w:val="right"/>
      </w:pPr>
    </w:p>
    <w:p w:rsidR="00C401AF" w:rsidRDefault="00C401AF" w:rsidP="00C401AF">
      <w:pPr>
        <w:pStyle w:val="Title"/>
        <w:jc w:val="right"/>
      </w:pPr>
    </w:p>
    <w:p w:rsidR="00C401AF" w:rsidRDefault="00C401AF" w:rsidP="00C401AF">
      <w:pPr>
        <w:pStyle w:val="Title"/>
        <w:jc w:val="right"/>
      </w:pPr>
    </w:p>
    <w:p w:rsidR="00C401AF" w:rsidRDefault="00C401AF" w:rsidP="00C401AF">
      <w:pPr>
        <w:pStyle w:val="Title"/>
        <w:jc w:val="right"/>
      </w:pPr>
    </w:p>
    <w:p w:rsidR="00C401AF" w:rsidRDefault="00C401AF" w:rsidP="00C401AF">
      <w:pPr>
        <w:pStyle w:val="Title"/>
        <w:jc w:val="right"/>
      </w:pPr>
    </w:p>
    <w:p w:rsidR="00C401AF" w:rsidRDefault="00C401AF" w:rsidP="00C401AF">
      <w:pPr>
        <w:pStyle w:val="Title"/>
        <w:jc w:val="right"/>
      </w:pPr>
    </w:p>
    <w:p w:rsidR="007B1573" w:rsidRPr="00DC38FE" w:rsidRDefault="00C401AF" w:rsidP="00C401AF">
      <w:pPr>
        <w:pStyle w:val="Title"/>
        <w:jc w:val="right"/>
      </w:pPr>
      <w:r>
        <w:t>Thank You</w:t>
      </w:r>
    </w:p>
    <w:sectPr w:rsidR="007B1573" w:rsidRPr="00DC3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37EBA"/>
    <w:multiLevelType w:val="multilevel"/>
    <w:tmpl w:val="D590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36429"/>
    <w:multiLevelType w:val="multilevel"/>
    <w:tmpl w:val="9104C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A6290"/>
    <w:multiLevelType w:val="multilevel"/>
    <w:tmpl w:val="0C54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411F24"/>
    <w:multiLevelType w:val="multilevel"/>
    <w:tmpl w:val="9F24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AA284C"/>
    <w:multiLevelType w:val="multilevel"/>
    <w:tmpl w:val="4B9A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761DC"/>
    <w:multiLevelType w:val="multilevel"/>
    <w:tmpl w:val="159AF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8B3921"/>
    <w:multiLevelType w:val="multilevel"/>
    <w:tmpl w:val="D964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1B6731"/>
    <w:multiLevelType w:val="multilevel"/>
    <w:tmpl w:val="0DD6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CA29DA"/>
    <w:multiLevelType w:val="multilevel"/>
    <w:tmpl w:val="838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371588"/>
    <w:multiLevelType w:val="multilevel"/>
    <w:tmpl w:val="9052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253972"/>
    <w:multiLevelType w:val="multilevel"/>
    <w:tmpl w:val="F988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8D57E9"/>
    <w:multiLevelType w:val="multilevel"/>
    <w:tmpl w:val="94E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621D6A"/>
    <w:multiLevelType w:val="hybridMultilevel"/>
    <w:tmpl w:val="5C267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B91898"/>
    <w:multiLevelType w:val="multilevel"/>
    <w:tmpl w:val="5216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DB3F30"/>
    <w:multiLevelType w:val="multilevel"/>
    <w:tmpl w:val="B97E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9A42E8"/>
    <w:multiLevelType w:val="multilevel"/>
    <w:tmpl w:val="E4CE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D7709E"/>
    <w:multiLevelType w:val="multilevel"/>
    <w:tmpl w:val="7E7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B35E64"/>
    <w:multiLevelType w:val="multilevel"/>
    <w:tmpl w:val="BFD29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313D17"/>
    <w:multiLevelType w:val="multilevel"/>
    <w:tmpl w:val="9228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B35810"/>
    <w:multiLevelType w:val="multilevel"/>
    <w:tmpl w:val="586A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F00846"/>
    <w:multiLevelType w:val="multilevel"/>
    <w:tmpl w:val="395E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394BEF"/>
    <w:multiLevelType w:val="hybridMultilevel"/>
    <w:tmpl w:val="A29E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FE14BD"/>
    <w:multiLevelType w:val="multilevel"/>
    <w:tmpl w:val="7212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9A5FAF"/>
    <w:multiLevelType w:val="multilevel"/>
    <w:tmpl w:val="0B28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F546A4"/>
    <w:multiLevelType w:val="multilevel"/>
    <w:tmpl w:val="AB38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1"/>
  </w:num>
  <w:num w:numId="3">
    <w:abstractNumId w:val="12"/>
  </w:num>
  <w:num w:numId="4">
    <w:abstractNumId w:val="9"/>
  </w:num>
  <w:num w:numId="5">
    <w:abstractNumId w:val="22"/>
  </w:num>
  <w:num w:numId="6">
    <w:abstractNumId w:val="6"/>
  </w:num>
  <w:num w:numId="7">
    <w:abstractNumId w:val="0"/>
  </w:num>
  <w:num w:numId="8">
    <w:abstractNumId w:val="2"/>
  </w:num>
  <w:num w:numId="9">
    <w:abstractNumId w:val="20"/>
  </w:num>
  <w:num w:numId="10">
    <w:abstractNumId w:val="18"/>
  </w:num>
  <w:num w:numId="11">
    <w:abstractNumId w:val="3"/>
  </w:num>
  <w:num w:numId="12">
    <w:abstractNumId w:val="8"/>
  </w:num>
  <w:num w:numId="13">
    <w:abstractNumId w:val="11"/>
  </w:num>
  <w:num w:numId="14">
    <w:abstractNumId w:val="4"/>
  </w:num>
  <w:num w:numId="15">
    <w:abstractNumId w:val="1"/>
  </w:num>
  <w:num w:numId="16">
    <w:abstractNumId w:val="15"/>
  </w:num>
  <w:num w:numId="17">
    <w:abstractNumId w:val="7"/>
  </w:num>
  <w:num w:numId="18">
    <w:abstractNumId w:val="16"/>
  </w:num>
  <w:num w:numId="19">
    <w:abstractNumId w:val="19"/>
  </w:num>
  <w:num w:numId="20">
    <w:abstractNumId w:val="10"/>
  </w:num>
  <w:num w:numId="21">
    <w:abstractNumId w:val="24"/>
  </w:num>
  <w:num w:numId="22">
    <w:abstractNumId w:val="23"/>
  </w:num>
  <w:num w:numId="23">
    <w:abstractNumId w:val="14"/>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9B4"/>
    <w:rsid w:val="0008172E"/>
    <w:rsid w:val="00120F3E"/>
    <w:rsid w:val="002D63D7"/>
    <w:rsid w:val="003A0783"/>
    <w:rsid w:val="00484593"/>
    <w:rsid w:val="00532CAF"/>
    <w:rsid w:val="005746B7"/>
    <w:rsid w:val="005959A6"/>
    <w:rsid w:val="006118FF"/>
    <w:rsid w:val="00677EA5"/>
    <w:rsid w:val="006E1605"/>
    <w:rsid w:val="007B1573"/>
    <w:rsid w:val="00A35C0A"/>
    <w:rsid w:val="00B526D4"/>
    <w:rsid w:val="00C401AF"/>
    <w:rsid w:val="00DC38FE"/>
    <w:rsid w:val="00E27C27"/>
    <w:rsid w:val="00E91463"/>
    <w:rsid w:val="00FD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9B4"/>
  </w:style>
  <w:style w:type="paragraph" w:styleId="Heading1">
    <w:name w:val="heading 1"/>
    <w:basedOn w:val="Normal"/>
    <w:next w:val="Normal"/>
    <w:link w:val="Heading1Char"/>
    <w:uiPriority w:val="9"/>
    <w:qFormat/>
    <w:rsid w:val="00FD0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0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D09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9B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9B4"/>
    <w:rPr>
      <w:rFonts w:ascii="Tahoma" w:hAnsi="Tahoma" w:cs="Tahoma"/>
      <w:sz w:val="16"/>
      <w:szCs w:val="16"/>
    </w:rPr>
  </w:style>
  <w:style w:type="table" w:styleId="TableGrid">
    <w:name w:val="Table Grid"/>
    <w:basedOn w:val="TableNormal"/>
    <w:uiPriority w:val="59"/>
    <w:rsid w:val="00FD0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FD09B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20F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0F3E"/>
    <w:pPr>
      <w:ind w:left="720"/>
      <w:contextualSpacing/>
    </w:pPr>
  </w:style>
  <w:style w:type="paragraph" w:styleId="NormalWeb">
    <w:name w:val="Normal (Web)"/>
    <w:basedOn w:val="Normal"/>
    <w:uiPriority w:val="99"/>
    <w:unhideWhenUsed/>
    <w:rsid w:val="00120F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7EA5"/>
    <w:rPr>
      <w:color w:val="0000FF"/>
      <w:u w:val="single"/>
    </w:rPr>
  </w:style>
  <w:style w:type="paragraph" w:styleId="Title">
    <w:name w:val="Title"/>
    <w:basedOn w:val="Normal"/>
    <w:next w:val="Normal"/>
    <w:link w:val="TitleChar"/>
    <w:uiPriority w:val="10"/>
    <w:qFormat/>
    <w:rsid w:val="00C401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01A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C401AF"/>
    <w:pPr>
      <w:outlineLvl w:val="9"/>
    </w:pPr>
    <w:rPr>
      <w:lang w:eastAsia="ja-JP"/>
    </w:rPr>
  </w:style>
  <w:style w:type="paragraph" w:styleId="TOC1">
    <w:name w:val="toc 1"/>
    <w:basedOn w:val="Normal"/>
    <w:next w:val="Normal"/>
    <w:autoRedefine/>
    <w:uiPriority w:val="39"/>
    <w:unhideWhenUsed/>
    <w:rsid w:val="00C401AF"/>
    <w:pPr>
      <w:spacing w:after="100"/>
    </w:pPr>
  </w:style>
  <w:style w:type="paragraph" w:styleId="TOC3">
    <w:name w:val="toc 3"/>
    <w:basedOn w:val="Normal"/>
    <w:next w:val="Normal"/>
    <w:autoRedefine/>
    <w:uiPriority w:val="39"/>
    <w:unhideWhenUsed/>
    <w:rsid w:val="00C401A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9B4"/>
  </w:style>
  <w:style w:type="paragraph" w:styleId="Heading1">
    <w:name w:val="heading 1"/>
    <w:basedOn w:val="Normal"/>
    <w:next w:val="Normal"/>
    <w:link w:val="Heading1Char"/>
    <w:uiPriority w:val="9"/>
    <w:qFormat/>
    <w:rsid w:val="00FD0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0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D09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9B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9B4"/>
    <w:rPr>
      <w:rFonts w:ascii="Tahoma" w:hAnsi="Tahoma" w:cs="Tahoma"/>
      <w:sz w:val="16"/>
      <w:szCs w:val="16"/>
    </w:rPr>
  </w:style>
  <w:style w:type="table" w:styleId="TableGrid">
    <w:name w:val="Table Grid"/>
    <w:basedOn w:val="TableNormal"/>
    <w:uiPriority w:val="59"/>
    <w:rsid w:val="00FD0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FD09B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20F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0F3E"/>
    <w:pPr>
      <w:ind w:left="720"/>
      <w:contextualSpacing/>
    </w:pPr>
  </w:style>
  <w:style w:type="paragraph" w:styleId="NormalWeb">
    <w:name w:val="Normal (Web)"/>
    <w:basedOn w:val="Normal"/>
    <w:uiPriority w:val="99"/>
    <w:unhideWhenUsed/>
    <w:rsid w:val="00120F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7EA5"/>
    <w:rPr>
      <w:color w:val="0000FF"/>
      <w:u w:val="single"/>
    </w:rPr>
  </w:style>
  <w:style w:type="paragraph" w:styleId="Title">
    <w:name w:val="Title"/>
    <w:basedOn w:val="Normal"/>
    <w:next w:val="Normal"/>
    <w:link w:val="TitleChar"/>
    <w:uiPriority w:val="10"/>
    <w:qFormat/>
    <w:rsid w:val="00C401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01A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C401AF"/>
    <w:pPr>
      <w:outlineLvl w:val="9"/>
    </w:pPr>
    <w:rPr>
      <w:lang w:eastAsia="ja-JP"/>
    </w:rPr>
  </w:style>
  <w:style w:type="paragraph" w:styleId="TOC1">
    <w:name w:val="toc 1"/>
    <w:basedOn w:val="Normal"/>
    <w:next w:val="Normal"/>
    <w:autoRedefine/>
    <w:uiPriority w:val="39"/>
    <w:unhideWhenUsed/>
    <w:rsid w:val="00C401AF"/>
    <w:pPr>
      <w:spacing w:after="100"/>
    </w:pPr>
  </w:style>
  <w:style w:type="paragraph" w:styleId="TOC3">
    <w:name w:val="toc 3"/>
    <w:basedOn w:val="Normal"/>
    <w:next w:val="Normal"/>
    <w:autoRedefine/>
    <w:uiPriority w:val="39"/>
    <w:unhideWhenUsed/>
    <w:rsid w:val="00C401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5700">
      <w:bodyDiv w:val="1"/>
      <w:marLeft w:val="0"/>
      <w:marRight w:val="0"/>
      <w:marTop w:val="0"/>
      <w:marBottom w:val="0"/>
      <w:divBdr>
        <w:top w:val="none" w:sz="0" w:space="0" w:color="auto"/>
        <w:left w:val="none" w:sz="0" w:space="0" w:color="auto"/>
        <w:bottom w:val="none" w:sz="0" w:space="0" w:color="auto"/>
        <w:right w:val="none" w:sz="0" w:space="0" w:color="auto"/>
      </w:divBdr>
      <w:divsChild>
        <w:div w:id="1388336080">
          <w:marLeft w:val="0"/>
          <w:marRight w:val="0"/>
          <w:marTop w:val="0"/>
          <w:marBottom w:val="0"/>
          <w:divBdr>
            <w:top w:val="single" w:sz="2" w:space="0" w:color="B1B7C5"/>
            <w:left w:val="single" w:sz="2" w:space="0" w:color="B1B7C5"/>
            <w:bottom w:val="single" w:sz="2" w:space="0" w:color="B1B7C5"/>
            <w:right w:val="single" w:sz="2" w:space="0" w:color="B1B7C5"/>
          </w:divBdr>
        </w:div>
      </w:divsChild>
    </w:div>
    <w:div w:id="107890758">
      <w:bodyDiv w:val="1"/>
      <w:marLeft w:val="0"/>
      <w:marRight w:val="0"/>
      <w:marTop w:val="0"/>
      <w:marBottom w:val="0"/>
      <w:divBdr>
        <w:top w:val="none" w:sz="0" w:space="0" w:color="auto"/>
        <w:left w:val="none" w:sz="0" w:space="0" w:color="auto"/>
        <w:bottom w:val="none" w:sz="0" w:space="0" w:color="auto"/>
        <w:right w:val="none" w:sz="0" w:space="0" w:color="auto"/>
      </w:divBdr>
    </w:div>
    <w:div w:id="184173115">
      <w:bodyDiv w:val="1"/>
      <w:marLeft w:val="0"/>
      <w:marRight w:val="0"/>
      <w:marTop w:val="0"/>
      <w:marBottom w:val="0"/>
      <w:divBdr>
        <w:top w:val="none" w:sz="0" w:space="0" w:color="auto"/>
        <w:left w:val="none" w:sz="0" w:space="0" w:color="auto"/>
        <w:bottom w:val="none" w:sz="0" w:space="0" w:color="auto"/>
        <w:right w:val="none" w:sz="0" w:space="0" w:color="auto"/>
      </w:divBdr>
    </w:div>
    <w:div w:id="220673002">
      <w:bodyDiv w:val="1"/>
      <w:marLeft w:val="0"/>
      <w:marRight w:val="0"/>
      <w:marTop w:val="0"/>
      <w:marBottom w:val="0"/>
      <w:divBdr>
        <w:top w:val="none" w:sz="0" w:space="0" w:color="auto"/>
        <w:left w:val="none" w:sz="0" w:space="0" w:color="auto"/>
        <w:bottom w:val="none" w:sz="0" w:space="0" w:color="auto"/>
        <w:right w:val="none" w:sz="0" w:space="0" w:color="auto"/>
      </w:divBdr>
    </w:div>
    <w:div w:id="222329388">
      <w:bodyDiv w:val="1"/>
      <w:marLeft w:val="0"/>
      <w:marRight w:val="0"/>
      <w:marTop w:val="0"/>
      <w:marBottom w:val="0"/>
      <w:divBdr>
        <w:top w:val="none" w:sz="0" w:space="0" w:color="auto"/>
        <w:left w:val="none" w:sz="0" w:space="0" w:color="auto"/>
        <w:bottom w:val="none" w:sz="0" w:space="0" w:color="auto"/>
        <w:right w:val="none" w:sz="0" w:space="0" w:color="auto"/>
      </w:divBdr>
    </w:div>
    <w:div w:id="232857286">
      <w:bodyDiv w:val="1"/>
      <w:marLeft w:val="0"/>
      <w:marRight w:val="0"/>
      <w:marTop w:val="0"/>
      <w:marBottom w:val="0"/>
      <w:divBdr>
        <w:top w:val="none" w:sz="0" w:space="0" w:color="auto"/>
        <w:left w:val="none" w:sz="0" w:space="0" w:color="auto"/>
        <w:bottom w:val="none" w:sz="0" w:space="0" w:color="auto"/>
        <w:right w:val="none" w:sz="0" w:space="0" w:color="auto"/>
      </w:divBdr>
    </w:div>
    <w:div w:id="302849986">
      <w:bodyDiv w:val="1"/>
      <w:marLeft w:val="0"/>
      <w:marRight w:val="0"/>
      <w:marTop w:val="0"/>
      <w:marBottom w:val="0"/>
      <w:divBdr>
        <w:top w:val="none" w:sz="0" w:space="0" w:color="auto"/>
        <w:left w:val="none" w:sz="0" w:space="0" w:color="auto"/>
        <w:bottom w:val="none" w:sz="0" w:space="0" w:color="auto"/>
        <w:right w:val="none" w:sz="0" w:space="0" w:color="auto"/>
      </w:divBdr>
    </w:div>
    <w:div w:id="397435181">
      <w:bodyDiv w:val="1"/>
      <w:marLeft w:val="0"/>
      <w:marRight w:val="0"/>
      <w:marTop w:val="0"/>
      <w:marBottom w:val="0"/>
      <w:divBdr>
        <w:top w:val="none" w:sz="0" w:space="0" w:color="auto"/>
        <w:left w:val="none" w:sz="0" w:space="0" w:color="auto"/>
        <w:bottom w:val="none" w:sz="0" w:space="0" w:color="auto"/>
        <w:right w:val="none" w:sz="0" w:space="0" w:color="auto"/>
      </w:divBdr>
    </w:div>
    <w:div w:id="428086302">
      <w:bodyDiv w:val="1"/>
      <w:marLeft w:val="0"/>
      <w:marRight w:val="0"/>
      <w:marTop w:val="0"/>
      <w:marBottom w:val="0"/>
      <w:divBdr>
        <w:top w:val="none" w:sz="0" w:space="0" w:color="auto"/>
        <w:left w:val="none" w:sz="0" w:space="0" w:color="auto"/>
        <w:bottom w:val="none" w:sz="0" w:space="0" w:color="auto"/>
        <w:right w:val="none" w:sz="0" w:space="0" w:color="auto"/>
      </w:divBdr>
    </w:div>
    <w:div w:id="428814505">
      <w:bodyDiv w:val="1"/>
      <w:marLeft w:val="0"/>
      <w:marRight w:val="0"/>
      <w:marTop w:val="0"/>
      <w:marBottom w:val="0"/>
      <w:divBdr>
        <w:top w:val="none" w:sz="0" w:space="0" w:color="auto"/>
        <w:left w:val="none" w:sz="0" w:space="0" w:color="auto"/>
        <w:bottom w:val="none" w:sz="0" w:space="0" w:color="auto"/>
        <w:right w:val="none" w:sz="0" w:space="0" w:color="auto"/>
      </w:divBdr>
    </w:div>
    <w:div w:id="494028128">
      <w:bodyDiv w:val="1"/>
      <w:marLeft w:val="0"/>
      <w:marRight w:val="0"/>
      <w:marTop w:val="0"/>
      <w:marBottom w:val="0"/>
      <w:divBdr>
        <w:top w:val="none" w:sz="0" w:space="0" w:color="auto"/>
        <w:left w:val="none" w:sz="0" w:space="0" w:color="auto"/>
        <w:bottom w:val="none" w:sz="0" w:space="0" w:color="auto"/>
        <w:right w:val="none" w:sz="0" w:space="0" w:color="auto"/>
      </w:divBdr>
    </w:div>
    <w:div w:id="510606471">
      <w:bodyDiv w:val="1"/>
      <w:marLeft w:val="0"/>
      <w:marRight w:val="0"/>
      <w:marTop w:val="0"/>
      <w:marBottom w:val="0"/>
      <w:divBdr>
        <w:top w:val="none" w:sz="0" w:space="0" w:color="auto"/>
        <w:left w:val="none" w:sz="0" w:space="0" w:color="auto"/>
        <w:bottom w:val="none" w:sz="0" w:space="0" w:color="auto"/>
        <w:right w:val="none" w:sz="0" w:space="0" w:color="auto"/>
      </w:divBdr>
      <w:divsChild>
        <w:div w:id="47074443">
          <w:marLeft w:val="0"/>
          <w:marRight w:val="0"/>
          <w:marTop w:val="0"/>
          <w:marBottom w:val="0"/>
          <w:divBdr>
            <w:top w:val="none" w:sz="0" w:space="0" w:color="auto"/>
            <w:left w:val="none" w:sz="0" w:space="0" w:color="auto"/>
            <w:bottom w:val="none" w:sz="0" w:space="0" w:color="auto"/>
            <w:right w:val="none" w:sz="0" w:space="0" w:color="auto"/>
          </w:divBdr>
          <w:divsChild>
            <w:div w:id="1452936983">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576477211">
      <w:bodyDiv w:val="1"/>
      <w:marLeft w:val="0"/>
      <w:marRight w:val="0"/>
      <w:marTop w:val="0"/>
      <w:marBottom w:val="0"/>
      <w:divBdr>
        <w:top w:val="none" w:sz="0" w:space="0" w:color="auto"/>
        <w:left w:val="none" w:sz="0" w:space="0" w:color="auto"/>
        <w:bottom w:val="none" w:sz="0" w:space="0" w:color="auto"/>
        <w:right w:val="none" w:sz="0" w:space="0" w:color="auto"/>
      </w:divBdr>
    </w:div>
    <w:div w:id="582300613">
      <w:bodyDiv w:val="1"/>
      <w:marLeft w:val="0"/>
      <w:marRight w:val="0"/>
      <w:marTop w:val="0"/>
      <w:marBottom w:val="0"/>
      <w:divBdr>
        <w:top w:val="none" w:sz="0" w:space="0" w:color="auto"/>
        <w:left w:val="none" w:sz="0" w:space="0" w:color="auto"/>
        <w:bottom w:val="none" w:sz="0" w:space="0" w:color="auto"/>
        <w:right w:val="none" w:sz="0" w:space="0" w:color="auto"/>
      </w:divBdr>
    </w:div>
    <w:div w:id="587154575">
      <w:bodyDiv w:val="1"/>
      <w:marLeft w:val="0"/>
      <w:marRight w:val="0"/>
      <w:marTop w:val="0"/>
      <w:marBottom w:val="0"/>
      <w:divBdr>
        <w:top w:val="none" w:sz="0" w:space="0" w:color="auto"/>
        <w:left w:val="none" w:sz="0" w:space="0" w:color="auto"/>
        <w:bottom w:val="none" w:sz="0" w:space="0" w:color="auto"/>
        <w:right w:val="none" w:sz="0" w:space="0" w:color="auto"/>
      </w:divBdr>
      <w:divsChild>
        <w:div w:id="115031236">
          <w:marLeft w:val="0"/>
          <w:marRight w:val="0"/>
          <w:marTop w:val="0"/>
          <w:marBottom w:val="0"/>
          <w:divBdr>
            <w:top w:val="single" w:sz="2" w:space="0" w:color="B1B7C5"/>
            <w:left w:val="single" w:sz="2" w:space="0" w:color="B1B7C5"/>
            <w:bottom w:val="single" w:sz="2" w:space="0" w:color="B1B7C5"/>
            <w:right w:val="single" w:sz="2" w:space="0" w:color="B1B7C5"/>
          </w:divBdr>
        </w:div>
        <w:div w:id="1667975421">
          <w:marLeft w:val="0"/>
          <w:marRight w:val="0"/>
          <w:marTop w:val="0"/>
          <w:marBottom w:val="0"/>
          <w:divBdr>
            <w:top w:val="single" w:sz="2" w:space="0" w:color="B1B7C5"/>
            <w:left w:val="single" w:sz="2" w:space="0" w:color="B1B7C5"/>
            <w:bottom w:val="single" w:sz="2" w:space="0" w:color="B1B7C5"/>
            <w:right w:val="single" w:sz="2" w:space="0" w:color="B1B7C5"/>
          </w:divBdr>
          <w:divsChild>
            <w:div w:id="1871870430">
              <w:marLeft w:val="0"/>
              <w:marRight w:val="0"/>
              <w:marTop w:val="0"/>
              <w:marBottom w:val="0"/>
              <w:divBdr>
                <w:top w:val="single" w:sz="2" w:space="0" w:color="B1B7C5"/>
                <w:left w:val="single" w:sz="2" w:space="0" w:color="B1B7C5"/>
                <w:bottom w:val="single" w:sz="2" w:space="0" w:color="B1B7C5"/>
                <w:right w:val="single" w:sz="2" w:space="0" w:color="B1B7C5"/>
              </w:divBdr>
              <w:divsChild>
                <w:div w:id="1050763841">
                  <w:marLeft w:val="0"/>
                  <w:marRight w:val="0"/>
                  <w:marTop w:val="0"/>
                  <w:marBottom w:val="0"/>
                  <w:divBdr>
                    <w:top w:val="single" w:sz="2" w:space="0" w:color="B1B7C5"/>
                    <w:left w:val="single" w:sz="2" w:space="0" w:color="B1B7C5"/>
                    <w:bottom w:val="single" w:sz="2" w:space="0" w:color="B1B7C5"/>
                    <w:right w:val="single" w:sz="2" w:space="0" w:color="B1B7C5"/>
                  </w:divBdr>
                </w:div>
                <w:div w:id="1865051018">
                  <w:marLeft w:val="0"/>
                  <w:marRight w:val="0"/>
                  <w:marTop w:val="0"/>
                  <w:marBottom w:val="0"/>
                  <w:divBdr>
                    <w:top w:val="single" w:sz="2" w:space="0" w:color="B1B7C5"/>
                    <w:left w:val="single" w:sz="2" w:space="0" w:color="B1B7C5"/>
                    <w:bottom w:val="single" w:sz="2" w:space="0" w:color="B1B7C5"/>
                    <w:right w:val="single" w:sz="2" w:space="0" w:color="B1B7C5"/>
                  </w:divBdr>
                </w:div>
                <w:div w:id="815536187">
                  <w:marLeft w:val="0"/>
                  <w:marRight w:val="0"/>
                  <w:marTop w:val="0"/>
                  <w:marBottom w:val="0"/>
                  <w:divBdr>
                    <w:top w:val="single" w:sz="2" w:space="0" w:color="B1B7C5"/>
                    <w:left w:val="single" w:sz="2" w:space="0" w:color="B1B7C5"/>
                    <w:bottom w:val="single" w:sz="2" w:space="0" w:color="B1B7C5"/>
                    <w:right w:val="single" w:sz="2" w:space="0" w:color="B1B7C5"/>
                  </w:divBdr>
                </w:div>
                <w:div w:id="480314404">
                  <w:marLeft w:val="0"/>
                  <w:marRight w:val="0"/>
                  <w:marTop w:val="0"/>
                  <w:marBottom w:val="0"/>
                  <w:divBdr>
                    <w:top w:val="single" w:sz="2" w:space="0" w:color="B1B7C5"/>
                    <w:left w:val="single" w:sz="2" w:space="0" w:color="B1B7C5"/>
                    <w:bottom w:val="single" w:sz="2" w:space="0" w:color="B1B7C5"/>
                    <w:right w:val="single" w:sz="2" w:space="0" w:color="B1B7C5"/>
                  </w:divBdr>
                </w:div>
                <w:div w:id="1662848193">
                  <w:marLeft w:val="0"/>
                  <w:marRight w:val="0"/>
                  <w:marTop w:val="0"/>
                  <w:marBottom w:val="0"/>
                  <w:divBdr>
                    <w:top w:val="single" w:sz="2" w:space="0" w:color="B1B7C5"/>
                    <w:left w:val="single" w:sz="2" w:space="0" w:color="B1B7C5"/>
                    <w:bottom w:val="single" w:sz="2" w:space="0" w:color="B1B7C5"/>
                    <w:right w:val="single" w:sz="2" w:space="0" w:color="B1B7C5"/>
                  </w:divBdr>
                </w:div>
                <w:div w:id="1268661456">
                  <w:marLeft w:val="0"/>
                  <w:marRight w:val="0"/>
                  <w:marTop w:val="0"/>
                  <w:marBottom w:val="0"/>
                  <w:divBdr>
                    <w:top w:val="single" w:sz="2" w:space="0" w:color="B1B7C5"/>
                    <w:left w:val="single" w:sz="2" w:space="0" w:color="B1B7C5"/>
                    <w:bottom w:val="single" w:sz="2" w:space="0" w:color="B1B7C5"/>
                    <w:right w:val="single" w:sz="2" w:space="0" w:color="B1B7C5"/>
                  </w:divBdr>
                </w:div>
                <w:div w:id="400325034">
                  <w:marLeft w:val="0"/>
                  <w:marRight w:val="0"/>
                  <w:marTop w:val="0"/>
                  <w:marBottom w:val="0"/>
                  <w:divBdr>
                    <w:top w:val="single" w:sz="2" w:space="0" w:color="B1B7C5"/>
                    <w:left w:val="single" w:sz="2" w:space="0" w:color="B1B7C5"/>
                    <w:bottom w:val="single" w:sz="2" w:space="0" w:color="B1B7C5"/>
                    <w:right w:val="single" w:sz="2" w:space="0" w:color="B1B7C5"/>
                  </w:divBdr>
                </w:div>
                <w:div w:id="454251399">
                  <w:marLeft w:val="0"/>
                  <w:marRight w:val="0"/>
                  <w:marTop w:val="0"/>
                  <w:marBottom w:val="0"/>
                  <w:divBdr>
                    <w:top w:val="single" w:sz="2" w:space="0" w:color="B1B7C5"/>
                    <w:left w:val="single" w:sz="2" w:space="0" w:color="B1B7C5"/>
                    <w:bottom w:val="single" w:sz="2" w:space="0" w:color="B1B7C5"/>
                    <w:right w:val="single" w:sz="2" w:space="0" w:color="B1B7C5"/>
                  </w:divBdr>
                </w:div>
              </w:divsChild>
            </w:div>
          </w:divsChild>
        </w:div>
      </w:divsChild>
    </w:div>
    <w:div w:id="634529076">
      <w:bodyDiv w:val="1"/>
      <w:marLeft w:val="0"/>
      <w:marRight w:val="0"/>
      <w:marTop w:val="0"/>
      <w:marBottom w:val="0"/>
      <w:divBdr>
        <w:top w:val="none" w:sz="0" w:space="0" w:color="auto"/>
        <w:left w:val="none" w:sz="0" w:space="0" w:color="auto"/>
        <w:bottom w:val="none" w:sz="0" w:space="0" w:color="auto"/>
        <w:right w:val="none" w:sz="0" w:space="0" w:color="auto"/>
      </w:divBdr>
    </w:div>
    <w:div w:id="664287044">
      <w:bodyDiv w:val="1"/>
      <w:marLeft w:val="0"/>
      <w:marRight w:val="0"/>
      <w:marTop w:val="0"/>
      <w:marBottom w:val="0"/>
      <w:divBdr>
        <w:top w:val="none" w:sz="0" w:space="0" w:color="auto"/>
        <w:left w:val="none" w:sz="0" w:space="0" w:color="auto"/>
        <w:bottom w:val="none" w:sz="0" w:space="0" w:color="auto"/>
        <w:right w:val="none" w:sz="0" w:space="0" w:color="auto"/>
      </w:divBdr>
    </w:div>
    <w:div w:id="667296610">
      <w:bodyDiv w:val="1"/>
      <w:marLeft w:val="0"/>
      <w:marRight w:val="0"/>
      <w:marTop w:val="0"/>
      <w:marBottom w:val="0"/>
      <w:divBdr>
        <w:top w:val="none" w:sz="0" w:space="0" w:color="auto"/>
        <w:left w:val="none" w:sz="0" w:space="0" w:color="auto"/>
        <w:bottom w:val="none" w:sz="0" w:space="0" w:color="auto"/>
        <w:right w:val="none" w:sz="0" w:space="0" w:color="auto"/>
      </w:divBdr>
    </w:div>
    <w:div w:id="676076735">
      <w:bodyDiv w:val="1"/>
      <w:marLeft w:val="0"/>
      <w:marRight w:val="0"/>
      <w:marTop w:val="0"/>
      <w:marBottom w:val="0"/>
      <w:divBdr>
        <w:top w:val="none" w:sz="0" w:space="0" w:color="auto"/>
        <w:left w:val="none" w:sz="0" w:space="0" w:color="auto"/>
        <w:bottom w:val="none" w:sz="0" w:space="0" w:color="auto"/>
        <w:right w:val="none" w:sz="0" w:space="0" w:color="auto"/>
      </w:divBdr>
    </w:div>
    <w:div w:id="710153170">
      <w:bodyDiv w:val="1"/>
      <w:marLeft w:val="0"/>
      <w:marRight w:val="0"/>
      <w:marTop w:val="0"/>
      <w:marBottom w:val="0"/>
      <w:divBdr>
        <w:top w:val="none" w:sz="0" w:space="0" w:color="auto"/>
        <w:left w:val="none" w:sz="0" w:space="0" w:color="auto"/>
        <w:bottom w:val="none" w:sz="0" w:space="0" w:color="auto"/>
        <w:right w:val="none" w:sz="0" w:space="0" w:color="auto"/>
      </w:divBdr>
    </w:div>
    <w:div w:id="714309594">
      <w:bodyDiv w:val="1"/>
      <w:marLeft w:val="0"/>
      <w:marRight w:val="0"/>
      <w:marTop w:val="0"/>
      <w:marBottom w:val="0"/>
      <w:divBdr>
        <w:top w:val="none" w:sz="0" w:space="0" w:color="auto"/>
        <w:left w:val="none" w:sz="0" w:space="0" w:color="auto"/>
        <w:bottom w:val="none" w:sz="0" w:space="0" w:color="auto"/>
        <w:right w:val="none" w:sz="0" w:space="0" w:color="auto"/>
      </w:divBdr>
    </w:div>
    <w:div w:id="716126916">
      <w:bodyDiv w:val="1"/>
      <w:marLeft w:val="0"/>
      <w:marRight w:val="0"/>
      <w:marTop w:val="0"/>
      <w:marBottom w:val="0"/>
      <w:divBdr>
        <w:top w:val="none" w:sz="0" w:space="0" w:color="auto"/>
        <w:left w:val="none" w:sz="0" w:space="0" w:color="auto"/>
        <w:bottom w:val="none" w:sz="0" w:space="0" w:color="auto"/>
        <w:right w:val="none" w:sz="0" w:space="0" w:color="auto"/>
      </w:divBdr>
    </w:div>
    <w:div w:id="735084440">
      <w:bodyDiv w:val="1"/>
      <w:marLeft w:val="0"/>
      <w:marRight w:val="0"/>
      <w:marTop w:val="0"/>
      <w:marBottom w:val="0"/>
      <w:divBdr>
        <w:top w:val="none" w:sz="0" w:space="0" w:color="auto"/>
        <w:left w:val="none" w:sz="0" w:space="0" w:color="auto"/>
        <w:bottom w:val="none" w:sz="0" w:space="0" w:color="auto"/>
        <w:right w:val="none" w:sz="0" w:space="0" w:color="auto"/>
      </w:divBdr>
    </w:div>
    <w:div w:id="776943696">
      <w:bodyDiv w:val="1"/>
      <w:marLeft w:val="0"/>
      <w:marRight w:val="0"/>
      <w:marTop w:val="0"/>
      <w:marBottom w:val="0"/>
      <w:divBdr>
        <w:top w:val="none" w:sz="0" w:space="0" w:color="auto"/>
        <w:left w:val="none" w:sz="0" w:space="0" w:color="auto"/>
        <w:bottom w:val="none" w:sz="0" w:space="0" w:color="auto"/>
        <w:right w:val="none" w:sz="0" w:space="0" w:color="auto"/>
      </w:divBdr>
    </w:div>
    <w:div w:id="848108162">
      <w:bodyDiv w:val="1"/>
      <w:marLeft w:val="0"/>
      <w:marRight w:val="0"/>
      <w:marTop w:val="0"/>
      <w:marBottom w:val="0"/>
      <w:divBdr>
        <w:top w:val="none" w:sz="0" w:space="0" w:color="auto"/>
        <w:left w:val="none" w:sz="0" w:space="0" w:color="auto"/>
        <w:bottom w:val="none" w:sz="0" w:space="0" w:color="auto"/>
        <w:right w:val="none" w:sz="0" w:space="0" w:color="auto"/>
      </w:divBdr>
    </w:div>
    <w:div w:id="909584416">
      <w:bodyDiv w:val="1"/>
      <w:marLeft w:val="0"/>
      <w:marRight w:val="0"/>
      <w:marTop w:val="0"/>
      <w:marBottom w:val="0"/>
      <w:divBdr>
        <w:top w:val="none" w:sz="0" w:space="0" w:color="auto"/>
        <w:left w:val="none" w:sz="0" w:space="0" w:color="auto"/>
        <w:bottom w:val="none" w:sz="0" w:space="0" w:color="auto"/>
        <w:right w:val="none" w:sz="0" w:space="0" w:color="auto"/>
      </w:divBdr>
    </w:div>
    <w:div w:id="944725228">
      <w:bodyDiv w:val="1"/>
      <w:marLeft w:val="0"/>
      <w:marRight w:val="0"/>
      <w:marTop w:val="0"/>
      <w:marBottom w:val="0"/>
      <w:divBdr>
        <w:top w:val="none" w:sz="0" w:space="0" w:color="auto"/>
        <w:left w:val="none" w:sz="0" w:space="0" w:color="auto"/>
        <w:bottom w:val="none" w:sz="0" w:space="0" w:color="auto"/>
        <w:right w:val="none" w:sz="0" w:space="0" w:color="auto"/>
      </w:divBdr>
    </w:div>
    <w:div w:id="1030836408">
      <w:bodyDiv w:val="1"/>
      <w:marLeft w:val="0"/>
      <w:marRight w:val="0"/>
      <w:marTop w:val="0"/>
      <w:marBottom w:val="0"/>
      <w:divBdr>
        <w:top w:val="none" w:sz="0" w:space="0" w:color="auto"/>
        <w:left w:val="none" w:sz="0" w:space="0" w:color="auto"/>
        <w:bottom w:val="none" w:sz="0" w:space="0" w:color="auto"/>
        <w:right w:val="none" w:sz="0" w:space="0" w:color="auto"/>
      </w:divBdr>
    </w:div>
    <w:div w:id="1077216052">
      <w:bodyDiv w:val="1"/>
      <w:marLeft w:val="0"/>
      <w:marRight w:val="0"/>
      <w:marTop w:val="0"/>
      <w:marBottom w:val="0"/>
      <w:divBdr>
        <w:top w:val="none" w:sz="0" w:space="0" w:color="auto"/>
        <w:left w:val="none" w:sz="0" w:space="0" w:color="auto"/>
        <w:bottom w:val="none" w:sz="0" w:space="0" w:color="auto"/>
        <w:right w:val="none" w:sz="0" w:space="0" w:color="auto"/>
      </w:divBdr>
    </w:div>
    <w:div w:id="1090078726">
      <w:bodyDiv w:val="1"/>
      <w:marLeft w:val="0"/>
      <w:marRight w:val="0"/>
      <w:marTop w:val="0"/>
      <w:marBottom w:val="0"/>
      <w:divBdr>
        <w:top w:val="none" w:sz="0" w:space="0" w:color="auto"/>
        <w:left w:val="none" w:sz="0" w:space="0" w:color="auto"/>
        <w:bottom w:val="none" w:sz="0" w:space="0" w:color="auto"/>
        <w:right w:val="none" w:sz="0" w:space="0" w:color="auto"/>
      </w:divBdr>
      <w:divsChild>
        <w:div w:id="1903179654">
          <w:marLeft w:val="0"/>
          <w:marRight w:val="0"/>
          <w:marTop w:val="0"/>
          <w:marBottom w:val="0"/>
          <w:divBdr>
            <w:top w:val="single" w:sz="2" w:space="0" w:color="B1B7C5"/>
            <w:left w:val="single" w:sz="2" w:space="0" w:color="B1B7C5"/>
            <w:bottom w:val="single" w:sz="2" w:space="0" w:color="B1B7C5"/>
            <w:right w:val="single" w:sz="2" w:space="0" w:color="B1B7C5"/>
          </w:divBdr>
        </w:div>
      </w:divsChild>
    </w:div>
    <w:div w:id="1149399188">
      <w:bodyDiv w:val="1"/>
      <w:marLeft w:val="0"/>
      <w:marRight w:val="0"/>
      <w:marTop w:val="0"/>
      <w:marBottom w:val="0"/>
      <w:divBdr>
        <w:top w:val="none" w:sz="0" w:space="0" w:color="auto"/>
        <w:left w:val="none" w:sz="0" w:space="0" w:color="auto"/>
        <w:bottom w:val="none" w:sz="0" w:space="0" w:color="auto"/>
        <w:right w:val="none" w:sz="0" w:space="0" w:color="auto"/>
      </w:divBdr>
    </w:div>
    <w:div w:id="1192761385">
      <w:bodyDiv w:val="1"/>
      <w:marLeft w:val="0"/>
      <w:marRight w:val="0"/>
      <w:marTop w:val="0"/>
      <w:marBottom w:val="0"/>
      <w:divBdr>
        <w:top w:val="none" w:sz="0" w:space="0" w:color="auto"/>
        <w:left w:val="none" w:sz="0" w:space="0" w:color="auto"/>
        <w:bottom w:val="none" w:sz="0" w:space="0" w:color="auto"/>
        <w:right w:val="none" w:sz="0" w:space="0" w:color="auto"/>
      </w:divBdr>
    </w:div>
    <w:div w:id="1216547386">
      <w:bodyDiv w:val="1"/>
      <w:marLeft w:val="0"/>
      <w:marRight w:val="0"/>
      <w:marTop w:val="0"/>
      <w:marBottom w:val="0"/>
      <w:divBdr>
        <w:top w:val="none" w:sz="0" w:space="0" w:color="auto"/>
        <w:left w:val="none" w:sz="0" w:space="0" w:color="auto"/>
        <w:bottom w:val="none" w:sz="0" w:space="0" w:color="auto"/>
        <w:right w:val="none" w:sz="0" w:space="0" w:color="auto"/>
      </w:divBdr>
    </w:div>
    <w:div w:id="1217161456">
      <w:bodyDiv w:val="1"/>
      <w:marLeft w:val="0"/>
      <w:marRight w:val="0"/>
      <w:marTop w:val="0"/>
      <w:marBottom w:val="0"/>
      <w:divBdr>
        <w:top w:val="none" w:sz="0" w:space="0" w:color="auto"/>
        <w:left w:val="none" w:sz="0" w:space="0" w:color="auto"/>
        <w:bottom w:val="none" w:sz="0" w:space="0" w:color="auto"/>
        <w:right w:val="none" w:sz="0" w:space="0" w:color="auto"/>
      </w:divBdr>
      <w:divsChild>
        <w:div w:id="175732776">
          <w:marLeft w:val="0"/>
          <w:marRight w:val="0"/>
          <w:marTop w:val="675"/>
          <w:marBottom w:val="675"/>
          <w:divBdr>
            <w:top w:val="none" w:sz="0" w:space="0" w:color="auto"/>
            <w:left w:val="none" w:sz="0" w:space="0" w:color="auto"/>
            <w:bottom w:val="none" w:sz="0" w:space="0" w:color="auto"/>
            <w:right w:val="none" w:sz="0" w:space="0" w:color="auto"/>
          </w:divBdr>
        </w:div>
      </w:divsChild>
    </w:div>
    <w:div w:id="1289432493">
      <w:bodyDiv w:val="1"/>
      <w:marLeft w:val="0"/>
      <w:marRight w:val="0"/>
      <w:marTop w:val="0"/>
      <w:marBottom w:val="0"/>
      <w:divBdr>
        <w:top w:val="none" w:sz="0" w:space="0" w:color="auto"/>
        <w:left w:val="none" w:sz="0" w:space="0" w:color="auto"/>
        <w:bottom w:val="none" w:sz="0" w:space="0" w:color="auto"/>
        <w:right w:val="none" w:sz="0" w:space="0" w:color="auto"/>
      </w:divBdr>
    </w:div>
    <w:div w:id="1417677003">
      <w:bodyDiv w:val="1"/>
      <w:marLeft w:val="0"/>
      <w:marRight w:val="0"/>
      <w:marTop w:val="0"/>
      <w:marBottom w:val="0"/>
      <w:divBdr>
        <w:top w:val="none" w:sz="0" w:space="0" w:color="auto"/>
        <w:left w:val="none" w:sz="0" w:space="0" w:color="auto"/>
        <w:bottom w:val="none" w:sz="0" w:space="0" w:color="auto"/>
        <w:right w:val="none" w:sz="0" w:space="0" w:color="auto"/>
      </w:divBdr>
    </w:div>
    <w:div w:id="1442217905">
      <w:bodyDiv w:val="1"/>
      <w:marLeft w:val="0"/>
      <w:marRight w:val="0"/>
      <w:marTop w:val="0"/>
      <w:marBottom w:val="0"/>
      <w:divBdr>
        <w:top w:val="none" w:sz="0" w:space="0" w:color="auto"/>
        <w:left w:val="none" w:sz="0" w:space="0" w:color="auto"/>
        <w:bottom w:val="none" w:sz="0" w:space="0" w:color="auto"/>
        <w:right w:val="none" w:sz="0" w:space="0" w:color="auto"/>
      </w:divBdr>
      <w:divsChild>
        <w:div w:id="1145927334">
          <w:marLeft w:val="0"/>
          <w:marRight w:val="0"/>
          <w:marTop w:val="0"/>
          <w:marBottom w:val="0"/>
          <w:divBdr>
            <w:top w:val="single" w:sz="2" w:space="0" w:color="B1B7C5"/>
            <w:left w:val="single" w:sz="2" w:space="0" w:color="B1B7C5"/>
            <w:bottom w:val="single" w:sz="2" w:space="0" w:color="B1B7C5"/>
            <w:right w:val="single" w:sz="2" w:space="0" w:color="B1B7C5"/>
          </w:divBdr>
        </w:div>
      </w:divsChild>
    </w:div>
    <w:div w:id="1474712169">
      <w:bodyDiv w:val="1"/>
      <w:marLeft w:val="0"/>
      <w:marRight w:val="0"/>
      <w:marTop w:val="0"/>
      <w:marBottom w:val="0"/>
      <w:divBdr>
        <w:top w:val="none" w:sz="0" w:space="0" w:color="auto"/>
        <w:left w:val="none" w:sz="0" w:space="0" w:color="auto"/>
        <w:bottom w:val="none" w:sz="0" w:space="0" w:color="auto"/>
        <w:right w:val="none" w:sz="0" w:space="0" w:color="auto"/>
      </w:divBdr>
    </w:div>
    <w:div w:id="1490248206">
      <w:bodyDiv w:val="1"/>
      <w:marLeft w:val="0"/>
      <w:marRight w:val="0"/>
      <w:marTop w:val="0"/>
      <w:marBottom w:val="0"/>
      <w:divBdr>
        <w:top w:val="none" w:sz="0" w:space="0" w:color="auto"/>
        <w:left w:val="none" w:sz="0" w:space="0" w:color="auto"/>
        <w:bottom w:val="none" w:sz="0" w:space="0" w:color="auto"/>
        <w:right w:val="none" w:sz="0" w:space="0" w:color="auto"/>
      </w:divBdr>
    </w:div>
    <w:div w:id="1534610425">
      <w:bodyDiv w:val="1"/>
      <w:marLeft w:val="0"/>
      <w:marRight w:val="0"/>
      <w:marTop w:val="0"/>
      <w:marBottom w:val="0"/>
      <w:divBdr>
        <w:top w:val="none" w:sz="0" w:space="0" w:color="auto"/>
        <w:left w:val="none" w:sz="0" w:space="0" w:color="auto"/>
        <w:bottom w:val="none" w:sz="0" w:space="0" w:color="auto"/>
        <w:right w:val="none" w:sz="0" w:space="0" w:color="auto"/>
      </w:divBdr>
    </w:div>
    <w:div w:id="1584607608">
      <w:bodyDiv w:val="1"/>
      <w:marLeft w:val="0"/>
      <w:marRight w:val="0"/>
      <w:marTop w:val="0"/>
      <w:marBottom w:val="0"/>
      <w:divBdr>
        <w:top w:val="none" w:sz="0" w:space="0" w:color="auto"/>
        <w:left w:val="none" w:sz="0" w:space="0" w:color="auto"/>
        <w:bottom w:val="none" w:sz="0" w:space="0" w:color="auto"/>
        <w:right w:val="none" w:sz="0" w:space="0" w:color="auto"/>
      </w:divBdr>
    </w:div>
    <w:div w:id="1827932752">
      <w:bodyDiv w:val="1"/>
      <w:marLeft w:val="0"/>
      <w:marRight w:val="0"/>
      <w:marTop w:val="0"/>
      <w:marBottom w:val="0"/>
      <w:divBdr>
        <w:top w:val="none" w:sz="0" w:space="0" w:color="auto"/>
        <w:left w:val="none" w:sz="0" w:space="0" w:color="auto"/>
        <w:bottom w:val="none" w:sz="0" w:space="0" w:color="auto"/>
        <w:right w:val="none" w:sz="0" w:space="0" w:color="auto"/>
      </w:divBdr>
    </w:div>
    <w:div w:id="1908418773">
      <w:bodyDiv w:val="1"/>
      <w:marLeft w:val="0"/>
      <w:marRight w:val="0"/>
      <w:marTop w:val="0"/>
      <w:marBottom w:val="0"/>
      <w:divBdr>
        <w:top w:val="none" w:sz="0" w:space="0" w:color="auto"/>
        <w:left w:val="none" w:sz="0" w:space="0" w:color="auto"/>
        <w:bottom w:val="none" w:sz="0" w:space="0" w:color="auto"/>
        <w:right w:val="none" w:sz="0" w:space="0" w:color="auto"/>
      </w:divBdr>
    </w:div>
    <w:div w:id="2032994042">
      <w:bodyDiv w:val="1"/>
      <w:marLeft w:val="0"/>
      <w:marRight w:val="0"/>
      <w:marTop w:val="0"/>
      <w:marBottom w:val="0"/>
      <w:divBdr>
        <w:top w:val="none" w:sz="0" w:space="0" w:color="auto"/>
        <w:left w:val="none" w:sz="0" w:space="0" w:color="auto"/>
        <w:bottom w:val="none" w:sz="0" w:space="0" w:color="auto"/>
        <w:right w:val="none" w:sz="0" w:space="0" w:color="auto"/>
      </w:divBdr>
    </w:div>
    <w:div w:id="2056468840">
      <w:bodyDiv w:val="1"/>
      <w:marLeft w:val="0"/>
      <w:marRight w:val="0"/>
      <w:marTop w:val="0"/>
      <w:marBottom w:val="0"/>
      <w:divBdr>
        <w:top w:val="none" w:sz="0" w:space="0" w:color="auto"/>
        <w:left w:val="none" w:sz="0" w:space="0" w:color="auto"/>
        <w:bottom w:val="none" w:sz="0" w:space="0" w:color="auto"/>
        <w:right w:val="none" w:sz="0" w:space="0" w:color="auto"/>
      </w:divBdr>
      <w:divsChild>
        <w:div w:id="1766876590">
          <w:marLeft w:val="0"/>
          <w:marRight w:val="0"/>
          <w:marTop w:val="0"/>
          <w:marBottom w:val="0"/>
          <w:divBdr>
            <w:top w:val="none" w:sz="0" w:space="0" w:color="auto"/>
            <w:left w:val="none" w:sz="0" w:space="0" w:color="auto"/>
            <w:bottom w:val="none" w:sz="0" w:space="0" w:color="auto"/>
            <w:right w:val="none" w:sz="0" w:space="0" w:color="auto"/>
          </w:divBdr>
          <w:divsChild>
            <w:div w:id="2108772971">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2057390948">
      <w:bodyDiv w:val="1"/>
      <w:marLeft w:val="0"/>
      <w:marRight w:val="0"/>
      <w:marTop w:val="0"/>
      <w:marBottom w:val="0"/>
      <w:divBdr>
        <w:top w:val="none" w:sz="0" w:space="0" w:color="auto"/>
        <w:left w:val="none" w:sz="0" w:space="0" w:color="auto"/>
        <w:bottom w:val="none" w:sz="0" w:space="0" w:color="auto"/>
        <w:right w:val="none" w:sz="0" w:space="0" w:color="auto"/>
      </w:divBdr>
    </w:div>
    <w:div w:id="2119328159">
      <w:bodyDiv w:val="1"/>
      <w:marLeft w:val="0"/>
      <w:marRight w:val="0"/>
      <w:marTop w:val="0"/>
      <w:marBottom w:val="0"/>
      <w:divBdr>
        <w:top w:val="none" w:sz="0" w:space="0" w:color="auto"/>
        <w:left w:val="none" w:sz="0" w:space="0" w:color="auto"/>
        <w:bottom w:val="none" w:sz="0" w:space="0" w:color="auto"/>
        <w:right w:val="none" w:sz="0" w:space="0" w:color="auto"/>
      </w:divBdr>
    </w:div>
    <w:div w:id="2131585084">
      <w:bodyDiv w:val="1"/>
      <w:marLeft w:val="0"/>
      <w:marRight w:val="0"/>
      <w:marTop w:val="0"/>
      <w:marBottom w:val="0"/>
      <w:divBdr>
        <w:top w:val="none" w:sz="0" w:space="0" w:color="auto"/>
        <w:left w:val="none" w:sz="0" w:space="0" w:color="auto"/>
        <w:bottom w:val="none" w:sz="0" w:space="0" w:color="auto"/>
        <w:right w:val="none" w:sz="0" w:space="0" w:color="auto"/>
      </w:divBdr>
    </w:div>
    <w:div w:id="2145734923">
      <w:bodyDiv w:val="1"/>
      <w:marLeft w:val="0"/>
      <w:marRight w:val="0"/>
      <w:marTop w:val="0"/>
      <w:marBottom w:val="0"/>
      <w:divBdr>
        <w:top w:val="none" w:sz="0" w:space="0" w:color="auto"/>
        <w:left w:val="none" w:sz="0" w:space="0" w:color="auto"/>
        <w:bottom w:val="none" w:sz="0" w:space="0" w:color="auto"/>
        <w:right w:val="none" w:sz="0" w:space="0" w:color="auto"/>
      </w:divBdr>
      <w:divsChild>
        <w:div w:id="667370074">
          <w:marLeft w:val="0"/>
          <w:marRight w:val="0"/>
          <w:marTop w:val="0"/>
          <w:marBottom w:val="0"/>
          <w:divBdr>
            <w:top w:val="single" w:sz="2" w:space="0" w:color="B1B7C5"/>
            <w:left w:val="single" w:sz="2" w:space="0" w:color="B1B7C5"/>
            <w:bottom w:val="single" w:sz="2" w:space="0" w:color="B1B7C5"/>
            <w:right w:val="single" w:sz="2" w:space="0" w:color="B1B7C5"/>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Purpose</a:t>
            </a: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1"/>
          </c:dLbls>
          <c:cat>
            <c:strRef>
              <c:f>Sheet1!$A$2:$A$6</c:f>
              <c:strCache>
                <c:ptCount val="5"/>
                <c:pt idx="0">
                  <c:v>Home Improvements</c:v>
                </c:pt>
                <c:pt idx="1">
                  <c:v>Debt Consolidation</c:v>
                </c:pt>
                <c:pt idx="2">
                  <c:v>Major Purchases</c:v>
                </c:pt>
                <c:pt idx="3">
                  <c:v>Education Expenses</c:v>
                </c:pt>
                <c:pt idx="4">
                  <c:v>Other Purposes</c:v>
                </c:pt>
              </c:strCache>
            </c:strRef>
          </c:cat>
          <c:val>
            <c:numRef>
              <c:f>Sheet1!$B$2:$B$6</c:f>
              <c:numCache>
                <c:formatCode>General</c:formatCode>
                <c:ptCount val="5"/>
                <c:pt idx="0">
                  <c:v>43</c:v>
                </c:pt>
                <c:pt idx="1">
                  <c:v>26</c:v>
                </c:pt>
                <c:pt idx="2">
                  <c:v>9</c:v>
                </c:pt>
                <c:pt idx="3">
                  <c:v>8</c:v>
                </c:pt>
                <c:pt idx="4">
                  <c:v>14</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ln>
      <a:solidFill>
        <a:schemeClr val="bg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454E5-7D00-4D03-8B82-60C3A9BF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14</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2024-06-27T19:20:00Z</dcterms:created>
  <dcterms:modified xsi:type="dcterms:W3CDTF">2024-06-28T08:37:00Z</dcterms:modified>
</cp:coreProperties>
</file>