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9B4" w:rsidRDefault="006D19B4" w:rsidP="006D19B4">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r>
        <w:rPr>
          <w:noProof/>
        </w:rPr>
        <w:drawing>
          <wp:inline distT="0" distB="0" distL="0" distR="0" wp14:anchorId="1A938D62" wp14:editId="29A3A632">
            <wp:extent cx="2838450" cy="1287105"/>
            <wp:effectExtent l="0" t="0" r="0" b="8890"/>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p>
    <w:p w:rsidR="006D19B4" w:rsidRDefault="006D19B4" w:rsidP="006D19B4">
      <w:pPr>
        <w:jc w:val="center"/>
        <w:rPr>
          <w:b/>
          <w:sz w:val="28"/>
        </w:rPr>
      </w:pPr>
      <w:bookmarkStart w:id="6" w:name="_Toc168493927"/>
      <w:bookmarkStart w:id="7" w:name="_Toc168494038"/>
      <w:bookmarkStart w:id="8" w:name="_Toc168681395"/>
      <w:bookmarkStart w:id="9" w:name="_Toc169018611"/>
      <w:bookmarkStart w:id="10" w:name="_Toc169099748"/>
      <w:bookmarkStart w:id="11" w:name="_Toc169194467"/>
      <w:bookmarkStart w:id="12" w:name="_Toc169526156"/>
      <w:bookmarkStart w:id="13" w:name="_Toc169624171"/>
    </w:p>
    <w:p w:rsidR="006D19B4" w:rsidRPr="00DF16FE" w:rsidRDefault="006D19B4" w:rsidP="006D19B4">
      <w:pPr>
        <w:jc w:val="center"/>
        <w:rPr>
          <w:b/>
          <w:sz w:val="28"/>
        </w:rPr>
      </w:pPr>
      <w:r w:rsidRPr="00DF16FE">
        <w:rPr>
          <w:b/>
          <w:sz w:val="28"/>
        </w:rPr>
        <w:t xml:space="preserve">Assignment </w:t>
      </w:r>
      <w:bookmarkEnd w:id="6"/>
      <w:bookmarkEnd w:id="7"/>
      <w:bookmarkEnd w:id="8"/>
      <w:bookmarkEnd w:id="9"/>
      <w:bookmarkEnd w:id="10"/>
      <w:bookmarkEnd w:id="11"/>
      <w:r w:rsidRPr="00DF16FE">
        <w:rPr>
          <w:b/>
          <w:sz w:val="28"/>
        </w:rPr>
        <w:t>on</w:t>
      </w:r>
      <w:bookmarkEnd w:id="12"/>
      <w:bookmarkEnd w:id="13"/>
    </w:p>
    <w:p w:rsidR="006D19B4" w:rsidRPr="00DF16FE" w:rsidRDefault="006D19B4" w:rsidP="006D19B4">
      <w:pPr>
        <w:jc w:val="center"/>
        <w:rPr>
          <w:b/>
          <w:sz w:val="28"/>
        </w:rPr>
      </w:pPr>
      <w:r>
        <w:rPr>
          <w:b/>
          <w:sz w:val="28"/>
        </w:rPr>
        <w:t>STRUCTURE OF U.S. BANKING SYSTEM</w:t>
      </w:r>
    </w:p>
    <w:p w:rsidR="006D19B4" w:rsidRDefault="006D19B4" w:rsidP="006D19B4">
      <w:pPr>
        <w:jc w:val="center"/>
        <w:rPr>
          <w:b/>
          <w:sz w:val="28"/>
        </w:rPr>
      </w:pPr>
    </w:p>
    <w:p w:rsidR="006D19B4" w:rsidRPr="00DF16FE" w:rsidRDefault="006D19B4" w:rsidP="006D19B4">
      <w:pPr>
        <w:jc w:val="center"/>
        <w:rPr>
          <w:b/>
          <w:sz w:val="28"/>
        </w:rPr>
      </w:pPr>
    </w:p>
    <w:p w:rsidR="006D19B4" w:rsidRPr="00DF16FE" w:rsidRDefault="006D19B4" w:rsidP="006D19B4">
      <w:pPr>
        <w:jc w:val="center"/>
        <w:rPr>
          <w:b/>
          <w:sz w:val="28"/>
        </w:rPr>
      </w:pPr>
      <w:bookmarkStart w:id="14" w:name="_Toc168493929"/>
      <w:bookmarkStart w:id="15" w:name="_Toc168494040"/>
      <w:bookmarkStart w:id="16" w:name="_Toc168681398"/>
      <w:bookmarkStart w:id="17" w:name="_Toc169018613"/>
      <w:bookmarkStart w:id="18" w:name="_Toc169099751"/>
      <w:bookmarkStart w:id="19" w:name="_Toc169194470"/>
      <w:bookmarkStart w:id="20" w:name="_Toc169526158"/>
      <w:bookmarkStart w:id="21" w:name="_Toc169624173"/>
      <w:r w:rsidRPr="00DF16FE">
        <w:rPr>
          <w:b/>
          <w:sz w:val="28"/>
        </w:rPr>
        <w:t>Under Supervision of:</w:t>
      </w:r>
      <w:bookmarkEnd w:id="14"/>
      <w:bookmarkEnd w:id="15"/>
      <w:bookmarkEnd w:id="16"/>
      <w:bookmarkEnd w:id="17"/>
      <w:bookmarkEnd w:id="18"/>
      <w:bookmarkEnd w:id="19"/>
      <w:bookmarkEnd w:id="20"/>
      <w:bookmarkEnd w:id="21"/>
    </w:p>
    <w:p w:rsidR="006D19B4" w:rsidRPr="00DF16FE" w:rsidRDefault="006D19B4" w:rsidP="006D19B4">
      <w:pPr>
        <w:jc w:val="center"/>
        <w:rPr>
          <w:b/>
          <w:sz w:val="28"/>
        </w:rPr>
      </w:pPr>
      <w:bookmarkStart w:id="22" w:name="_Toc168493930"/>
      <w:bookmarkStart w:id="23" w:name="_Toc168494041"/>
      <w:bookmarkStart w:id="24" w:name="_Toc168681399"/>
      <w:bookmarkStart w:id="25" w:name="_Toc169018614"/>
      <w:bookmarkStart w:id="26" w:name="_Toc169099752"/>
      <w:bookmarkStart w:id="27" w:name="_Toc169194471"/>
      <w:bookmarkStart w:id="28" w:name="_Toc169526159"/>
      <w:bookmarkStart w:id="29" w:name="_Toc169624174"/>
      <w:r w:rsidRPr="00DF16FE">
        <w:rPr>
          <w:b/>
          <w:sz w:val="28"/>
        </w:rPr>
        <w:t xml:space="preserve">Mr. Mohammad </w:t>
      </w:r>
      <w:proofErr w:type="spellStart"/>
      <w:r w:rsidRPr="00DF16FE">
        <w:rPr>
          <w:b/>
          <w:sz w:val="28"/>
        </w:rPr>
        <w:t>Mozammil</w:t>
      </w:r>
      <w:bookmarkEnd w:id="22"/>
      <w:bookmarkEnd w:id="23"/>
      <w:bookmarkEnd w:id="24"/>
      <w:bookmarkEnd w:id="25"/>
      <w:bookmarkEnd w:id="26"/>
      <w:bookmarkEnd w:id="27"/>
      <w:bookmarkEnd w:id="28"/>
      <w:bookmarkEnd w:id="29"/>
      <w:proofErr w:type="spellEnd"/>
    </w:p>
    <w:p w:rsidR="006D19B4" w:rsidRDefault="006D19B4" w:rsidP="006D19B4">
      <w:pPr>
        <w:jc w:val="center"/>
        <w:rPr>
          <w:b/>
          <w:sz w:val="28"/>
        </w:rPr>
      </w:pPr>
      <w:bookmarkStart w:id="30" w:name="_Toc168493931"/>
      <w:bookmarkStart w:id="31" w:name="_Toc168494042"/>
      <w:bookmarkStart w:id="32" w:name="_Toc168681400"/>
      <w:bookmarkStart w:id="33" w:name="_Toc169018615"/>
      <w:bookmarkStart w:id="34" w:name="_Toc169099753"/>
      <w:bookmarkStart w:id="35" w:name="_Toc169194472"/>
      <w:bookmarkStart w:id="36" w:name="_Toc169526160"/>
      <w:bookmarkStart w:id="37" w:name="_Toc169624175"/>
    </w:p>
    <w:p w:rsidR="006D19B4" w:rsidRPr="00DF16FE" w:rsidRDefault="006D19B4" w:rsidP="006D19B4">
      <w:pPr>
        <w:jc w:val="center"/>
        <w:rPr>
          <w:b/>
          <w:sz w:val="28"/>
        </w:rPr>
      </w:pPr>
    </w:p>
    <w:p w:rsidR="006D19B4" w:rsidRPr="00DF16FE" w:rsidRDefault="006D19B4" w:rsidP="006D19B4">
      <w:pPr>
        <w:jc w:val="center"/>
        <w:rPr>
          <w:b/>
          <w:sz w:val="28"/>
        </w:rPr>
      </w:pPr>
      <w:r w:rsidRPr="00DF16FE">
        <w:rPr>
          <w:b/>
          <w:sz w:val="28"/>
        </w:rPr>
        <w:t>Submitted On:</w:t>
      </w:r>
    </w:p>
    <w:p w:rsidR="006D19B4" w:rsidRPr="00DF16FE" w:rsidRDefault="006D19B4" w:rsidP="006D19B4">
      <w:pPr>
        <w:jc w:val="center"/>
        <w:rPr>
          <w:b/>
          <w:sz w:val="28"/>
        </w:rPr>
      </w:pPr>
      <w:bookmarkStart w:id="38" w:name="_GoBack"/>
      <w:bookmarkEnd w:id="38"/>
      <w:r>
        <w:rPr>
          <w:b/>
          <w:sz w:val="28"/>
        </w:rPr>
        <w:t>5</w:t>
      </w:r>
      <w:r w:rsidRPr="00DF16FE">
        <w:rPr>
          <w:b/>
          <w:sz w:val="28"/>
          <w:vertAlign w:val="superscript"/>
        </w:rPr>
        <w:t xml:space="preserve">th </w:t>
      </w:r>
      <w:r w:rsidRPr="00DF16FE">
        <w:rPr>
          <w:b/>
          <w:sz w:val="28"/>
        </w:rPr>
        <w:t>June, 2024</w:t>
      </w:r>
    </w:p>
    <w:p w:rsidR="006D19B4" w:rsidRPr="00DF16FE" w:rsidRDefault="006D19B4" w:rsidP="006D19B4">
      <w:pPr>
        <w:jc w:val="center"/>
        <w:rPr>
          <w:b/>
          <w:sz w:val="28"/>
        </w:rPr>
      </w:pPr>
    </w:p>
    <w:p w:rsidR="006D19B4" w:rsidRPr="00DF16FE" w:rsidRDefault="006D19B4" w:rsidP="006D19B4">
      <w:pPr>
        <w:jc w:val="center"/>
        <w:rPr>
          <w:b/>
          <w:sz w:val="28"/>
        </w:rPr>
      </w:pPr>
    </w:p>
    <w:p w:rsidR="006D19B4" w:rsidRPr="00DF16FE" w:rsidRDefault="006D19B4" w:rsidP="006D19B4">
      <w:pPr>
        <w:jc w:val="center"/>
        <w:rPr>
          <w:b/>
          <w:sz w:val="28"/>
        </w:rPr>
      </w:pPr>
      <w:r w:rsidRPr="00DF16FE">
        <w:rPr>
          <w:b/>
          <w:sz w:val="28"/>
        </w:rPr>
        <w:t>Submitted By:</w:t>
      </w:r>
      <w:bookmarkEnd w:id="30"/>
      <w:bookmarkEnd w:id="31"/>
      <w:bookmarkEnd w:id="32"/>
      <w:bookmarkEnd w:id="33"/>
      <w:bookmarkEnd w:id="34"/>
      <w:bookmarkEnd w:id="35"/>
      <w:bookmarkEnd w:id="36"/>
      <w:bookmarkEnd w:id="37"/>
    </w:p>
    <w:p w:rsidR="006D19B4" w:rsidRPr="00DF16FE" w:rsidRDefault="006D19B4" w:rsidP="006D19B4">
      <w:pPr>
        <w:jc w:val="center"/>
        <w:rPr>
          <w:b/>
          <w:sz w:val="28"/>
        </w:rPr>
      </w:pPr>
      <w:bookmarkStart w:id="39" w:name="_Toc168493932"/>
      <w:bookmarkStart w:id="40" w:name="_Toc168494043"/>
      <w:bookmarkStart w:id="41" w:name="_Toc168681401"/>
      <w:bookmarkStart w:id="42" w:name="_Toc169018616"/>
      <w:bookmarkStart w:id="43" w:name="_Toc169099754"/>
      <w:bookmarkStart w:id="44" w:name="_Toc169194473"/>
      <w:bookmarkStart w:id="45" w:name="_Toc169526161"/>
      <w:bookmarkStart w:id="46" w:name="_Toc169624176"/>
      <w:proofErr w:type="spellStart"/>
      <w:r w:rsidRPr="00DF16FE">
        <w:rPr>
          <w:b/>
          <w:sz w:val="28"/>
        </w:rPr>
        <w:t>Archita</w:t>
      </w:r>
      <w:proofErr w:type="spellEnd"/>
      <w:r w:rsidRPr="00DF16FE">
        <w:rPr>
          <w:b/>
          <w:sz w:val="28"/>
        </w:rPr>
        <w:t xml:space="preserve"> Gupta</w:t>
      </w:r>
      <w:bookmarkEnd w:id="39"/>
      <w:bookmarkEnd w:id="40"/>
      <w:bookmarkEnd w:id="41"/>
      <w:bookmarkEnd w:id="42"/>
      <w:bookmarkEnd w:id="43"/>
      <w:bookmarkEnd w:id="44"/>
      <w:bookmarkEnd w:id="45"/>
      <w:bookmarkEnd w:id="46"/>
    </w:p>
    <w:p w:rsidR="00FF667E" w:rsidRDefault="00FF667E"/>
    <w:p w:rsidR="00FF667E" w:rsidRDefault="00FF667E" w:rsidP="00FF667E">
      <w:r>
        <w:br w:type="page"/>
      </w:r>
    </w:p>
    <w:p w:rsidR="00CB1119" w:rsidRDefault="00FF667E" w:rsidP="00F6596A">
      <w:pPr>
        <w:pStyle w:val="Heading1"/>
        <w:spacing w:line="480" w:lineRule="auto"/>
        <w:jc w:val="center"/>
      </w:pPr>
      <w:bookmarkStart w:id="47" w:name="_Toc168494044"/>
      <w:r>
        <w:lastRenderedPageBreak/>
        <w:t>Structure of U.S. Banking System</w:t>
      </w:r>
      <w:bookmarkEnd w:id="47"/>
    </w:p>
    <w:p w:rsidR="00F6596A" w:rsidRDefault="00F6596A" w:rsidP="00F6596A">
      <w:pPr>
        <w:spacing w:line="480" w:lineRule="auto"/>
      </w:pPr>
      <w:r w:rsidRPr="00F6596A">
        <w:t>The U.S. banking system is a complex and multifaceted structure, composed of various institutions and regulatory bodies that ensure its stability and functionality.</w:t>
      </w:r>
      <w:r>
        <w:t xml:space="preserve"> It took root in the 1780s, coinciding with the nation's establishment. Over time, it has evolved into an intricate and influential network of banking and financial services. With New York City and Wall Street serving as its hub, the system revolves around various financial services, including private banking, asset management, and deposit protection mechanisms.</w:t>
      </w:r>
    </w:p>
    <w:p w:rsidR="00F6596A" w:rsidRDefault="00F6596A" w:rsidP="00F6596A">
      <w:pPr>
        <w:spacing w:line="480" w:lineRule="auto"/>
      </w:pPr>
    </w:p>
    <w:p w:rsidR="00F07956" w:rsidRDefault="00F6596A" w:rsidP="00F07956">
      <w:r>
        <w:br w:type="page"/>
      </w:r>
    </w:p>
    <w:sdt>
      <w:sdtPr>
        <w:rPr>
          <w:rFonts w:asciiTheme="minorHAnsi" w:eastAsiaTheme="minorHAnsi" w:hAnsiTheme="minorHAnsi" w:cstheme="minorBidi"/>
          <w:b w:val="0"/>
          <w:bCs w:val="0"/>
          <w:color w:val="auto"/>
          <w:sz w:val="22"/>
          <w:szCs w:val="22"/>
          <w:lang w:eastAsia="en-US"/>
        </w:rPr>
        <w:id w:val="224264008"/>
        <w:docPartObj>
          <w:docPartGallery w:val="Table of Contents"/>
          <w:docPartUnique/>
        </w:docPartObj>
      </w:sdtPr>
      <w:sdtEndPr>
        <w:rPr>
          <w:noProof/>
        </w:rPr>
      </w:sdtEndPr>
      <w:sdtContent>
        <w:p w:rsidR="00F07956" w:rsidRDefault="00F07956">
          <w:pPr>
            <w:pStyle w:val="TOCHeading"/>
          </w:pPr>
          <w:r>
            <w:t>Table of Contents</w:t>
          </w:r>
        </w:p>
        <w:p w:rsidR="00F07956" w:rsidRDefault="00F07956" w:rsidP="00F07956">
          <w:pPr>
            <w:pStyle w:val="TOC1"/>
            <w:tabs>
              <w:tab w:val="right" w:leader="dot" w:pos="9350"/>
            </w:tabs>
            <w:rPr>
              <w:rFonts w:eastAsiaTheme="minorEastAsia"/>
              <w:noProof/>
            </w:rPr>
          </w:pPr>
          <w:r>
            <w:fldChar w:fldCharType="begin"/>
          </w:r>
          <w:r>
            <w:instrText xml:space="preserve"> TOC \o "1-3" \h \z \u </w:instrText>
          </w:r>
          <w:r>
            <w:fldChar w:fldCharType="separate"/>
          </w:r>
        </w:p>
        <w:p w:rsidR="00F07956" w:rsidRDefault="006D19B4">
          <w:pPr>
            <w:pStyle w:val="TOC1"/>
            <w:tabs>
              <w:tab w:val="right" w:leader="dot" w:pos="9350"/>
            </w:tabs>
            <w:rPr>
              <w:rFonts w:eastAsiaTheme="minorEastAsia"/>
              <w:noProof/>
            </w:rPr>
          </w:pPr>
          <w:hyperlink w:anchor="_Toc168494044" w:history="1">
            <w:r w:rsidR="00F07956" w:rsidRPr="00E97CC4">
              <w:rPr>
                <w:rStyle w:val="Hyperlink"/>
                <w:noProof/>
              </w:rPr>
              <w:t>Structure of U.S. Banking System</w:t>
            </w:r>
            <w:r w:rsidR="00F07956">
              <w:rPr>
                <w:noProof/>
                <w:webHidden/>
              </w:rPr>
              <w:tab/>
            </w:r>
            <w:r w:rsidR="00F07956">
              <w:rPr>
                <w:noProof/>
                <w:webHidden/>
              </w:rPr>
              <w:fldChar w:fldCharType="begin"/>
            </w:r>
            <w:r w:rsidR="00F07956">
              <w:rPr>
                <w:noProof/>
                <w:webHidden/>
              </w:rPr>
              <w:instrText xml:space="preserve"> PAGEREF _Toc168494044 \h </w:instrText>
            </w:r>
            <w:r w:rsidR="00F07956">
              <w:rPr>
                <w:noProof/>
                <w:webHidden/>
              </w:rPr>
            </w:r>
            <w:r w:rsidR="00F07956">
              <w:rPr>
                <w:noProof/>
                <w:webHidden/>
              </w:rPr>
              <w:fldChar w:fldCharType="separate"/>
            </w:r>
            <w:r w:rsidR="00F07956">
              <w:rPr>
                <w:noProof/>
                <w:webHidden/>
              </w:rPr>
              <w:t>2</w:t>
            </w:r>
            <w:r w:rsidR="00F07956">
              <w:rPr>
                <w:noProof/>
                <w:webHidden/>
              </w:rPr>
              <w:fldChar w:fldCharType="end"/>
            </w:r>
          </w:hyperlink>
        </w:p>
        <w:p w:rsidR="00F07956" w:rsidRDefault="006D19B4">
          <w:pPr>
            <w:pStyle w:val="TOC2"/>
            <w:tabs>
              <w:tab w:val="right" w:leader="dot" w:pos="9350"/>
            </w:tabs>
            <w:rPr>
              <w:rFonts w:eastAsiaTheme="minorEastAsia"/>
              <w:noProof/>
            </w:rPr>
          </w:pPr>
          <w:hyperlink w:anchor="_Toc168494045" w:history="1">
            <w:r w:rsidR="00F07956" w:rsidRPr="00E97CC4">
              <w:rPr>
                <w:rStyle w:val="Hyperlink"/>
                <w:noProof/>
              </w:rPr>
              <w:t>Types of Banking Institutions</w:t>
            </w:r>
            <w:r w:rsidR="00F07956">
              <w:rPr>
                <w:noProof/>
                <w:webHidden/>
              </w:rPr>
              <w:tab/>
            </w:r>
            <w:r w:rsidR="00F07956">
              <w:rPr>
                <w:noProof/>
                <w:webHidden/>
              </w:rPr>
              <w:fldChar w:fldCharType="begin"/>
            </w:r>
            <w:r w:rsidR="00F07956">
              <w:rPr>
                <w:noProof/>
                <w:webHidden/>
              </w:rPr>
              <w:instrText xml:space="preserve"> PAGEREF _Toc168494045 \h </w:instrText>
            </w:r>
            <w:r w:rsidR="00F07956">
              <w:rPr>
                <w:noProof/>
                <w:webHidden/>
              </w:rPr>
            </w:r>
            <w:r w:rsidR="00F07956">
              <w:rPr>
                <w:noProof/>
                <w:webHidden/>
              </w:rPr>
              <w:fldChar w:fldCharType="separate"/>
            </w:r>
            <w:r w:rsidR="00F07956">
              <w:rPr>
                <w:noProof/>
                <w:webHidden/>
              </w:rPr>
              <w:t>4</w:t>
            </w:r>
            <w:r w:rsidR="00F07956">
              <w:rPr>
                <w:noProof/>
                <w:webHidden/>
              </w:rPr>
              <w:fldChar w:fldCharType="end"/>
            </w:r>
          </w:hyperlink>
        </w:p>
        <w:p w:rsidR="00F07956" w:rsidRDefault="006D19B4">
          <w:pPr>
            <w:pStyle w:val="TOC2"/>
            <w:tabs>
              <w:tab w:val="right" w:leader="dot" w:pos="9350"/>
            </w:tabs>
            <w:rPr>
              <w:rFonts w:eastAsiaTheme="minorEastAsia"/>
              <w:noProof/>
            </w:rPr>
          </w:pPr>
          <w:hyperlink w:anchor="_Toc168494046" w:history="1">
            <w:r w:rsidR="00F07956" w:rsidRPr="00E97CC4">
              <w:rPr>
                <w:rStyle w:val="Hyperlink"/>
                <w:noProof/>
              </w:rPr>
              <w:t>Regulatory Bodies</w:t>
            </w:r>
            <w:r w:rsidR="00F07956">
              <w:rPr>
                <w:noProof/>
                <w:webHidden/>
              </w:rPr>
              <w:tab/>
            </w:r>
            <w:r w:rsidR="00F07956">
              <w:rPr>
                <w:noProof/>
                <w:webHidden/>
              </w:rPr>
              <w:fldChar w:fldCharType="begin"/>
            </w:r>
            <w:r w:rsidR="00F07956">
              <w:rPr>
                <w:noProof/>
                <w:webHidden/>
              </w:rPr>
              <w:instrText xml:space="preserve"> PAGEREF _Toc168494046 \h </w:instrText>
            </w:r>
            <w:r w:rsidR="00F07956">
              <w:rPr>
                <w:noProof/>
                <w:webHidden/>
              </w:rPr>
            </w:r>
            <w:r w:rsidR="00F07956">
              <w:rPr>
                <w:noProof/>
                <w:webHidden/>
              </w:rPr>
              <w:fldChar w:fldCharType="separate"/>
            </w:r>
            <w:r w:rsidR="00F07956">
              <w:rPr>
                <w:noProof/>
                <w:webHidden/>
              </w:rPr>
              <w:t>5</w:t>
            </w:r>
            <w:r w:rsidR="00F07956">
              <w:rPr>
                <w:noProof/>
                <w:webHidden/>
              </w:rPr>
              <w:fldChar w:fldCharType="end"/>
            </w:r>
          </w:hyperlink>
        </w:p>
        <w:p w:rsidR="00F07956" w:rsidRDefault="006D19B4">
          <w:pPr>
            <w:pStyle w:val="TOC2"/>
            <w:tabs>
              <w:tab w:val="right" w:leader="dot" w:pos="9350"/>
            </w:tabs>
            <w:rPr>
              <w:rFonts w:eastAsiaTheme="minorEastAsia"/>
              <w:noProof/>
            </w:rPr>
          </w:pPr>
          <w:hyperlink w:anchor="_Toc168494047" w:history="1">
            <w:r w:rsidR="00F07956" w:rsidRPr="00E97CC4">
              <w:rPr>
                <w:rStyle w:val="Hyperlink"/>
                <w:noProof/>
              </w:rPr>
              <w:t>Banking Activities and Services</w:t>
            </w:r>
            <w:r w:rsidR="00F07956">
              <w:rPr>
                <w:noProof/>
                <w:webHidden/>
              </w:rPr>
              <w:tab/>
            </w:r>
            <w:r w:rsidR="00F07956">
              <w:rPr>
                <w:noProof/>
                <w:webHidden/>
              </w:rPr>
              <w:fldChar w:fldCharType="begin"/>
            </w:r>
            <w:r w:rsidR="00F07956">
              <w:rPr>
                <w:noProof/>
                <w:webHidden/>
              </w:rPr>
              <w:instrText xml:space="preserve"> PAGEREF _Toc168494047 \h </w:instrText>
            </w:r>
            <w:r w:rsidR="00F07956">
              <w:rPr>
                <w:noProof/>
                <w:webHidden/>
              </w:rPr>
            </w:r>
            <w:r w:rsidR="00F07956">
              <w:rPr>
                <w:noProof/>
                <w:webHidden/>
              </w:rPr>
              <w:fldChar w:fldCharType="separate"/>
            </w:r>
            <w:r w:rsidR="00F07956">
              <w:rPr>
                <w:noProof/>
                <w:webHidden/>
              </w:rPr>
              <w:t>6</w:t>
            </w:r>
            <w:r w:rsidR="00F07956">
              <w:rPr>
                <w:noProof/>
                <w:webHidden/>
              </w:rPr>
              <w:fldChar w:fldCharType="end"/>
            </w:r>
          </w:hyperlink>
        </w:p>
        <w:p w:rsidR="00F07956" w:rsidRDefault="006D19B4">
          <w:pPr>
            <w:pStyle w:val="TOC2"/>
            <w:tabs>
              <w:tab w:val="right" w:leader="dot" w:pos="9350"/>
            </w:tabs>
            <w:rPr>
              <w:rFonts w:eastAsiaTheme="minorEastAsia"/>
              <w:noProof/>
            </w:rPr>
          </w:pPr>
          <w:hyperlink w:anchor="_Toc168494048" w:history="1">
            <w:r w:rsidR="00F07956" w:rsidRPr="00E97CC4">
              <w:rPr>
                <w:rStyle w:val="Hyperlink"/>
                <w:noProof/>
              </w:rPr>
              <w:t>Financial Markets and Instruments</w:t>
            </w:r>
            <w:r w:rsidR="00F07956">
              <w:rPr>
                <w:noProof/>
                <w:webHidden/>
              </w:rPr>
              <w:tab/>
            </w:r>
            <w:r w:rsidR="00F07956">
              <w:rPr>
                <w:noProof/>
                <w:webHidden/>
              </w:rPr>
              <w:fldChar w:fldCharType="begin"/>
            </w:r>
            <w:r w:rsidR="00F07956">
              <w:rPr>
                <w:noProof/>
                <w:webHidden/>
              </w:rPr>
              <w:instrText xml:space="preserve"> PAGEREF _Toc168494048 \h </w:instrText>
            </w:r>
            <w:r w:rsidR="00F07956">
              <w:rPr>
                <w:noProof/>
                <w:webHidden/>
              </w:rPr>
            </w:r>
            <w:r w:rsidR="00F07956">
              <w:rPr>
                <w:noProof/>
                <w:webHidden/>
              </w:rPr>
              <w:fldChar w:fldCharType="separate"/>
            </w:r>
            <w:r w:rsidR="00F07956">
              <w:rPr>
                <w:noProof/>
                <w:webHidden/>
              </w:rPr>
              <w:t>7</w:t>
            </w:r>
            <w:r w:rsidR="00F07956">
              <w:rPr>
                <w:noProof/>
                <w:webHidden/>
              </w:rPr>
              <w:fldChar w:fldCharType="end"/>
            </w:r>
          </w:hyperlink>
        </w:p>
        <w:p w:rsidR="00F07956" w:rsidRDefault="006D19B4">
          <w:pPr>
            <w:pStyle w:val="TOC2"/>
            <w:tabs>
              <w:tab w:val="right" w:leader="dot" w:pos="9350"/>
            </w:tabs>
            <w:rPr>
              <w:rFonts w:eastAsiaTheme="minorEastAsia"/>
              <w:noProof/>
            </w:rPr>
          </w:pPr>
          <w:hyperlink w:anchor="_Toc168494049" w:history="1">
            <w:r w:rsidR="00F07956" w:rsidRPr="00E97CC4">
              <w:rPr>
                <w:rStyle w:val="Hyperlink"/>
                <w:noProof/>
              </w:rPr>
              <w:t>Innovations in Banking</w:t>
            </w:r>
            <w:r w:rsidR="00F07956">
              <w:rPr>
                <w:noProof/>
                <w:webHidden/>
              </w:rPr>
              <w:tab/>
            </w:r>
            <w:r w:rsidR="00F07956">
              <w:rPr>
                <w:noProof/>
                <w:webHidden/>
              </w:rPr>
              <w:fldChar w:fldCharType="begin"/>
            </w:r>
            <w:r w:rsidR="00F07956">
              <w:rPr>
                <w:noProof/>
                <w:webHidden/>
              </w:rPr>
              <w:instrText xml:space="preserve"> PAGEREF _Toc168494049 \h </w:instrText>
            </w:r>
            <w:r w:rsidR="00F07956">
              <w:rPr>
                <w:noProof/>
                <w:webHidden/>
              </w:rPr>
            </w:r>
            <w:r w:rsidR="00F07956">
              <w:rPr>
                <w:noProof/>
                <w:webHidden/>
              </w:rPr>
              <w:fldChar w:fldCharType="separate"/>
            </w:r>
            <w:r w:rsidR="00F07956">
              <w:rPr>
                <w:noProof/>
                <w:webHidden/>
              </w:rPr>
              <w:t>8</w:t>
            </w:r>
            <w:r w:rsidR="00F07956">
              <w:rPr>
                <w:noProof/>
                <w:webHidden/>
              </w:rPr>
              <w:fldChar w:fldCharType="end"/>
            </w:r>
          </w:hyperlink>
        </w:p>
        <w:p w:rsidR="00F07956" w:rsidRDefault="00F07956">
          <w:r>
            <w:rPr>
              <w:b/>
              <w:bCs/>
              <w:noProof/>
            </w:rPr>
            <w:fldChar w:fldCharType="end"/>
          </w:r>
        </w:p>
      </w:sdtContent>
    </w:sdt>
    <w:p w:rsidR="00F07956" w:rsidRDefault="00F07956" w:rsidP="00F07956"/>
    <w:p w:rsidR="00F07956" w:rsidRDefault="00F07956" w:rsidP="00F07956"/>
    <w:p w:rsidR="00F07956" w:rsidRDefault="00F07956" w:rsidP="00F07956"/>
    <w:p w:rsidR="00F07956" w:rsidRDefault="00F07956" w:rsidP="00F07956"/>
    <w:p w:rsidR="00F07956" w:rsidRDefault="00F07956" w:rsidP="00F07956"/>
    <w:p w:rsidR="00F07956" w:rsidRDefault="00F07956" w:rsidP="00F07956"/>
    <w:p w:rsidR="00F07956" w:rsidRDefault="00F07956" w:rsidP="00F07956"/>
    <w:p w:rsidR="00F07956" w:rsidRDefault="00F07956" w:rsidP="00F07956"/>
    <w:p w:rsidR="00F07956" w:rsidRDefault="00F07956" w:rsidP="00F07956"/>
    <w:p w:rsidR="00F07956" w:rsidRDefault="00F07956" w:rsidP="00F07956"/>
    <w:p w:rsidR="00F07956" w:rsidRDefault="00F07956" w:rsidP="00F07956"/>
    <w:p w:rsidR="00F07956" w:rsidRDefault="00F07956" w:rsidP="00F07956"/>
    <w:p w:rsidR="00F07956" w:rsidRDefault="00F07956" w:rsidP="00F07956"/>
    <w:p w:rsidR="00F07956" w:rsidRDefault="00F07956" w:rsidP="00F07956"/>
    <w:p w:rsidR="00F07956" w:rsidRDefault="00F07956" w:rsidP="00F07956"/>
    <w:p w:rsidR="00F07956" w:rsidRDefault="00F07956" w:rsidP="00F07956"/>
    <w:p w:rsidR="00F07956" w:rsidRDefault="00F07956" w:rsidP="00F07956"/>
    <w:p w:rsidR="00F6596A" w:rsidRDefault="00F6596A" w:rsidP="00F6596A">
      <w:pPr>
        <w:pStyle w:val="Heading2"/>
        <w:jc w:val="center"/>
      </w:pPr>
      <w:bookmarkStart w:id="48" w:name="_Toc168494045"/>
      <w:r>
        <w:lastRenderedPageBreak/>
        <w:t>Types of Banking Institutions</w:t>
      </w:r>
      <w:bookmarkEnd w:id="48"/>
    </w:p>
    <w:p w:rsidR="00BD24D8" w:rsidRPr="00BD24D8" w:rsidRDefault="00BD24D8" w:rsidP="00BD24D8"/>
    <w:tbl>
      <w:tblPr>
        <w:tblW w:w="0" w:type="auto"/>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46"/>
        <w:gridCol w:w="2699"/>
        <w:gridCol w:w="2202"/>
        <w:gridCol w:w="3033"/>
      </w:tblGrid>
      <w:tr w:rsidR="00BD24D8" w:rsidTr="00BD24D8">
        <w:trPr>
          <w:tblHeader/>
          <w:tblCellSpacing w:w="15" w:type="dxa"/>
        </w:trPr>
        <w:tc>
          <w:tcPr>
            <w:tcW w:w="0" w:type="auto"/>
            <w:tcBorders>
              <w:top w:val="nil"/>
              <w:bottom w:val="single" w:sz="6" w:space="0" w:color="auto"/>
              <w:right w:val="single" w:sz="6" w:space="0" w:color="auto"/>
            </w:tcBorders>
            <w:vAlign w:val="center"/>
            <w:hideMark/>
          </w:tcPr>
          <w:p w:rsidR="00E52DDC" w:rsidRDefault="00E52DDC">
            <w:pPr>
              <w:jc w:val="center"/>
              <w:rPr>
                <w:b/>
                <w:bCs/>
                <w:sz w:val="24"/>
                <w:szCs w:val="24"/>
              </w:rPr>
            </w:pPr>
            <w:r>
              <w:rPr>
                <w:rStyle w:val="Strong"/>
              </w:rPr>
              <w:t>Type of Institution</w:t>
            </w:r>
          </w:p>
        </w:tc>
        <w:tc>
          <w:tcPr>
            <w:tcW w:w="0" w:type="auto"/>
            <w:tcBorders>
              <w:top w:val="nil"/>
              <w:bottom w:val="single" w:sz="6" w:space="0" w:color="auto"/>
              <w:right w:val="single" w:sz="6" w:space="0" w:color="auto"/>
            </w:tcBorders>
            <w:vAlign w:val="center"/>
            <w:hideMark/>
          </w:tcPr>
          <w:p w:rsidR="00E52DDC" w:rsidRDefault="00E52DDC">
            <w:pPr>
              <w:jc w:val="center"/>
              <w:rPr>
                <w:b/>
                <w:bCs/>
                <w:sz w:val="24"/>
                <w:szCs w:val="24"/>
              </w:rPr>
            </w:pPr>
            <w:r>
              <w:rPr>
                <w:rStyle w:val="Strong"/>
              </w:rPr>
              <w:t>Definition</w:t>
            </w:r>
          </w:p>
        </w:tc>
        <w:tc>
          <w:tcPr>
            <w:tcW w:w="0" w:type="auto"/>
            <w:tcBorders>
              <w:top w:val="nil"/>
              <w:bottom w:val="single" w:sz="6" w:space="0" w:color="auto"/>
              <w:right w:val="single" w:sz="6" w:space="0" w:color="auto"/>
            </w:tcBorders>
            <w:vAlign w:val="center"/>
            <w:hideMark/>
          </w:tcPr>
          <w:p w:rsidR="00E52DDC" w:rsidRDefault="00E52DDC">
            <w:pPr>
              <w:jc w:val="center"/>
              <w:rPr>
                <w:b/>
                <w:bCs/>
                <w:sz w:val="24"/>
                <w:szCs w:val="24"/>
              </w:rPr>
            </w:pPr>
            <w:r>
              <w:rPr>
                <w:rStyle w:val="Strong"/>
              </w:rPr>
              <w:t>Services</w:t>
            </w:r>
          </w:p>
        </w:tc>
        <w:tc>
          <w:tcPr>
            <w:tcW w:w="0" w:type="auto"/>
            <w:tcBorders>
              <w:top w:val="nil"/>
              <w:bottom w:val="single" w:sz="6" w:space="0" w:color="auto"/>
            </w:tcBorders>
            <w:vAlign w:val="center"/>
            <w:hideMark/>
          </w:tcPr>
          <w:p w:rsidR="00E52DDC" w:rsidRDefault="00E52DDC">
            <w:pPr>
              <w:jc w:val="center"/>
              <w:rPr>
                <w:b/>
                <w:bCs/>
                <w:sz w:val="24"/>
                <w:szCs w:val="24"/>
              </w:rPr>
            </w:pPr>
            <w:r>
              <w:rPr>
                <w:rStyle w:val="Strong"/>
              </w:rPr>
              <w:t>Membership/Advantages</w:t>
            </w:r>
          </w:p>
        </w:tc>
      </w:tr>
      <w:tr w:rsidR="00BD24D8" w:rsidTr="00BD24D8">
        <w:trPr>
          <w:tblCellSpacing w:w="15" w:type="dxa"/>
        </w:trPr>
        <w:tc>
          <w:tcPr>
            <w:tcW w:w="0" w:type="auto"/>
            <w:tcBorders>
              <w:top w:val="single" w:sz="6" w:space="0" w:color="auto"/>
              <w:bottom w:val="single" w:sz="6" w:space="0" w:color="auto"/>
              <w:right w:val="single" w:sz="6" w:space="0" w:color="auto"/>
            </w:tcBorders>
            <w:vAlign w:val="center"/>
            <w:hideMark/>
          </w:tcPr>
          <w:p w:rsidR="00E52DDC" w:rsidRDefault="00E52DDC">
            <w:pPr>
              <w:rPr>
                <w:sz w:val="24"/>
                <w:szCs w:val="24"/>
              </w:rPr>
            </w:pPr>
            <w:r>
              <w:rPr>
                <w:rStyle w:val="Strong"/>
              </w:rPr>
              <w:t>Commercial Banks</w:t>
            </w:r>
          </w:p>
        </w:tc>
        <w:tc>
          <w:tcPr>
            <w:tcW w:w="0" w:type="auto"/>
            <w:tcBorders>
              <w:top w:val="single" w:sz="6" w:space="0" w:color="auto"/>
              <w:left w:val="nil"/>
              <w:bottom w:val="single" w:sz="6" w:space="0" w:color="auto"/>
              <w:right w:val="single" w:sz="6" w:space="0" w:color="auto"/>
            </w:tcBorders>
            <w:vAlign w:val="center"/>
            <w:hideMark/>
          </w:tcPr>
          <w:p w:rsidR="00E52DDC" w:rsidRDefault="00E52DDC">
            <w:pPr>
              <w:rPr>
                <w:sz w:val="24"/>
                <w:szCs w:val="24"/>
              </w:rPr>
            </w:pPr>
            <w:r>
              <w:t>Financial institutions that accept deposits, offer checking and savings accounts, and provide loans.</w:t>
            </w:r>
          </w:p>
        </w:tc>
        <w:tc>
          <w:tcPr>
            <w:tcW w:w="0" w:type="auto"/>
            <w:tcBorders>
              <w:top w:val="single" w:sz="6" w:space="0" w:color="auto"/>
              <w:left w:val="nil"/>
              <w:bottom w:val="single" w:sz="6" w:space="0" w:color="auto"/>
              <w:right w:val="single" w:sz="6" w:space="0" w:color="auto"/>
            </w:tcBorders>
            <w:vAlign w:val="center"/>
            <w:hideMark/>
          </w:tcPr>
          <w:p w:rsidR="00E52DDC" w:rsidRDefault="00E52DDC">
            <w:pPr>
              <w:rPr>
                <w:sz w:val="24"/>
                <w:szCs w:val="24"/>
              </w:rPr>
            </w:pPr>
            <w:r w:rsidRPr="00BD24D8">
              <w:t>Personal and business loans, mortgages, credit cards, checking and savings accounts</w:t>
            </w:r>
            <w:r>
              <w:t>.</w:t>
            </w:r>
          </w:p>
        </w:tc>
        <w:tc>
          <w:tcPr>
            <w:tcW w:w="0" w:type="auto"/>
            <w:tcBorders>
              <w:top w:val="single" w:sz="6" w:space="0" w:color="auto"/>
              <w:left w:val="nil"/>
              <w:bottom w:val="single" w:sz="6" w:space="0" w:color="auto"/>
            </w:tcBorders>
            <w:vAlign w:val="center"/>
            <w:hideMark/>
          </w:tcPr>
          <w:p w:rsidR="00E52DDC" w:rsidRDefault="00E52DDC">
            <w:pPr>
              <w:rPr>
                <w:sz w:val="24"/>
                <w:szCs w:val="24"/>
              </w:rPr>
            </w:pPr>
            <w:r>
              <w:t>General public</w:t>
            </w:r>
          </w:p>
        </w:tc>
      </w:tr>
      <w:tr w:rsidR="00BD24D8" w:rsidTr="00BD24D8">
        <w:trPr>
          <w:tblCellSpacing w:w="15" w:type="dxa"/>
        </w:trPr>
        <w:tc>
          <w:tcPr>
            <w:tcW w:w="0" w:type="auto"/>
            <w:tcBorders>
              <w:top w:val="nil"/>
              <w:bottom w:val="nil"/>
              <w:right w:val="single" w:sz="6" w:space="0" w:color="auto"/>
            </w:tcBorders>
            <w:vAlign w:val="center"/>
            <w:hideMark/>
          </w:tcPr>
          <w:p w:rsidR="00E52DDC" w:rsidRDefault="00E52DDC">
            <w:pPr>
              <w:rPr>
                <w:sz w:val="24"/>
                <w:szCs w:val="24"/>
              </w:rPr>
            </w:pPr>
            <w:r>
              <w:rPr>
                <w:rStyle w:val="Strong"/>
              </w:rPr>
              <w:t>Savings and Loan Associations (S&amp;Ls)</w:t>
            </w:r>
          </w:p>
        </w:tc>
        <w:tc>
          <w:tcPr>
            <w:tcW w:w="0" w:type="auto"/>
            <w:tcBorders>
              <w:top w:val="nil"/>
              <w:bottom w:val="nil"/>
              <w:right w:val="single" w:sz="6" w:space="0" w:color="auto"/>
            </w:tcBorders>
            <w:vAlign w:val="center"/>
            <w:hideMark/>
          </w:tcPr>
          <w:p w:rsidR="00E52DDC" w:rsidRDefault="00E52DDC">
            <w:pPr>
              <w:rPr>
                <w:sz w:val="24"/>
                <w:szCs w:val="24"/>
              </w:rPr>
            </w:pPr>
            <w:r>
              <w:t>Institutions that primarily focus on accepting savings deposits and making mortgage loans.</w:t>
            </w:r>
          </w:p>
        </w:tc>
        <w:tc>
          <w:tcPr>
            <w:tcW w:w="0" w:type="auto"/>
            <w:tcBorders>
              <w:top w:val="nil"/>
              <w:bottom w:val="nil"/>
              <w:right w:val="single" w:sz="6" w:space="0" w:color="auto"/>
            </w:tcBorders>
            <w:vAlign w:val="center"/>
            <w:hideMark/>
          </w:tcPr>
          <w:p w:rsidR="00E52DDC" w:rsidRDefault="00E52DDC">
            <w:pPr>
              <w:rPr>
                <w:sz w:val="24"/>
                <w:szCs w:val="24"/>
              </w:rPr>
            </w:pPr>
            <w:r>
              <w:t>Home financing, savings accounts, now also offer similar services to commercial banks.</w:t>
            </w:r>
          </w:p>
        </w:tc>
        <w:tc>
          <w:tcPr>
            <w:tcW w:w="0" w:type="auto"/>
            <w:vAlign w:val="center"/>
            <w:hideMark/>
          </w:tcPr>
          <w:p w:rsidR="00E52DDC" w:rsidRDefault="00E52DDC">
            <w:pPr>
              <w:rPr>
                <w:sz w:val="24"/>
                <w:szCs w:val="24"/>
              </w:rPr>
            </w:pPr>
            <w:r>
              <w:t>General public</w:t>
            </w:r>
          </w:p>
        </w:tc>
      </w:tr>
      <w:tr w:rsidR="00BD24D8" w:rsidTr="00BD24D8">
        <w:trPr>
          <w:tblCellSpacing w:w="15" w:type="dxa"/>
        </w:trPr>
        <w:tc>
          <w:tcPr>
            <w:tcW w:w="0" w:type="auto"/>
            <w:tcBorders>
              <w:top w:val="single" w:sz="6" w:space="0" w:color="auto"/>
              <w:bottom w:val="nil"/>
              <w:right w:val="single" w:sz="6" w:space="0" w:color="auto"/>
            </w:tcBorders>
            <w:vAlign w:val="center"/>
            <w:hideMark/>
          </w:tcPr>
          <w:p w:rsidR="00E52DDC" w:rsidRDefault="00E52DDC">
            <w:pPr>
              <w:rPr>
                <w:sz w:val="24"/>
                <w:szCs w:val="24"/>
              </w:rPr>
            </w:pPr>
            <w:r>
              <w:rPr>
                <w:rStyle w:val="Strong"/>
              </w:rPr>
              <w:t>Credit Unions</w:t>
            </w:r>
          </w:p>
        </w:tc>
        <w:tc>
          <w:tcPr>
            <w:tcW w:w="0" w:type="auto"/>
            <w:tcBorders>
              <w:top w:val="single" w:sz="6" w:space="0" w:color="auto"/>
              <w:bottom w:val="nil"/>
              <w:right w:val="single" w:sz="6" w:space="0" w:color="auto"/>
            </w:tcBorders>
            <w:vAlign w:val="center"/>
            <w:hideMark/>
          </w:tcPr>
          <w:p w:rsidR="00E52DDC" w:rsidRDefault="00E52DDC">
            <w:pPr>
              <w:rPr>
                <w:sz w:val="24"/>
                <w:szCs w:val="24"/>
              </w:rPr>
            </w:pPr>
            <w:r>
              <w:t>Member-owned financial cooperatives that provide traditional banking services.</w:t>
            </w:r>
          </w:p>
        </w:tc>
        <w:tc>
          <w:tcPr>
            <w:tcW w:w="0" w:type="auto"/>
            <w:tcBorders>
              <w:top w:val="single" w:sz="6" w:space="0" w:color="auto"/>
              <w:bottom w:val="nil"/>
              <w:right w:val="single" w:sz="6" w:space="0" w:color="auto"/>
            </w:tcBorders>
            <w:vAlign w:val="center"/>
            <w:hideMark/>
          </w:tcPr>
          <w:p w:rsidR="00E52DDC" w:rsidRDefault="00E52DDC">
            <w:pPr>
              <w:rPr>
                <w:sz w:val="24"/>
                <w:szCs w:val="24"/>
              </w:rPr>
            </w:pPr>
            <w:r>
              <w:t>Checking and savings accounts, loans, credit cards, mortgages.</w:t>
            </w:r>
          </w:p>
        </w:tc>
        <w:tc>
          <w:tcPr>
            <w:tcW w:w="0" w:type="auto"/>
            <w:tcBorders>
              <w:top w:val="single" w:sz="6" w:space="0" w:color="auto"/>
              <w:bottom w:val="nil"/>
            </w:tcBorders>
            <w:vAlign w:val="center"/>
            <w:hideMark/>
          </w:tcPr>
          <w:p w:rsidR="00E52DDC" w:rsidRDefault="00E52DDC">
            <w:pPr>
              <w:rPr>
                <w:sz w:val="24"/>
                <w:szCs w:val="24"/>
              </w:rPr>
            </w:pPr>
            <w:r>
              <w:t>Restricted to specific groups (e.g., employees, residents).</w:t>
            </w:r>
          </w:p>
        </w:tc>
      </w:tr>
      <w:tr w:rsidR="00BD24D8" w:rsidTr="00BD24D8">
        <w:trPr>
          <w:tblCellSpacing w:w="15" w:type="dxa"/>
        </w:trPr>
        <w:tc>
          <w:tcPr>
            <w:tcW w:w="0" w:type="auto"/>
            <w:tcBorders>
              <w:top w:val="single" w:sz="6" w:space="0" w:color="auto"/>
              <w:bottom w:val="nil"/>
              <w:right w:val="single" w:sz="6" w:space="0" w:color="auto"/>
            </w:tcBorders>
            <w:vAlign w:val="center"/>
            <w:hideMark/>
          </w:tcPr>
          <w:p w:rsidR="00E52DDC" w:rsidRDefault="00E52DDC">
            <w:pPr>
              <w:rPr>
                <w:sz w:val="24"/>
                <w:szCs w:val="24"/>
              </w:rPr>
            </w:pPr>
            <w:r>
              <w:rPr>
                <w:rStyle w:val="Strong"/>
              </w:rPr>
              <w:t>Investment Banks</w:t>
            </w:r>
          </w:p>
        </w:tc>
        <w:tc>
          <w:tcPr>
            <w:tcW w:w="0" w:type="auto"/>
            <w:tcBorders>
              <w:top w:val="single" w:sz="6" w:space="0" w:color="auto"/>
              <w:bottom w:val="nil"/>
              <w:right w:val="single" w:sz="6" w:space="0" w:color="auto"/>
            </w:tcBorders>
            <w:vAlign w:val="center"/>
            <w:hideMark/>
          </w:tcPr>
          <w:p w:rsidR="00E52DDC" w:rsidRDefault="00E52DDC">
            <w:pPr>
              <w:rPr>
                <w:sz w:val="24"/>
                <w:szCs w:val="24"/>
              </w:rPr>
            </w:pPr>
            <w:r>
              <w:t>Institutions that assist in the issuance of new securities, provide advisory services, and engage in trading and market-making activities.</w:t>
            </w:r>
          </w:p>
        </w:tc>
        <w:tc>
          <w:tcPr>
            <w:tcW w:w="0" w:type="auto"/>
            <w:tcBorders>
              <w:top w:val="single" w:sz="6" w:space="0" w:color="auto"/>
              <w:bottom w:val="nil"/>
              <w:right w:val="single" w:sz="6" w:space="0" w:color="auto"/>
            </w:tcBorders>
            <w:vAlign w:val="center"/>
            <w:hideMark/>
          </w:tcPr>
          <w:p w:rsidR="00E52DDC" w:rsidRDefault="00E52DDC">
            <w:pPr>
              <w:rPr>
                <w:sz w:val="24"/>
                <w:szCs w:val="24"/>
              </w:rPr>
            </w:pPr>
            <w:r>
              <w:t>Underwriting, mergers and acquisitions (M&amp;A) advisory, trading, market-making.</w:t>
            </w:r>
          </w:p>
        </w:tc>
        <w:tc>
          <w:tcPr>
            <w:tcW w:w="0" w:type="auto"/>
            <w:tcBorders>
              <w:top w:val="single" w:sz="6" w:space="0" w:color="auto"/>
              <w:bottom w:val="nil"/>
            </w:tcBorders>
            <w:vAlign w:val="center"/>
            <w:hideMark/>
          </w:tcPr>
          <w:p w:rsidR="00E52DDC" w:rsidRDefault="00E52DDC">
            <w:pPr>
              <w:rPr>
                <w:sz w:val="24"/>
                <w:szCs w:val="24"/>
              </w:rPr>
            </w:pPr>
            <w:r>
              <w:t>Businesses, governments, institutional clients</w:t>
            </w:r>
          </w:p>
        </w:tc>
      </w:tr>
      <w:tr w:rsidR="00BD24D8" w:rsidTr="00BD24D8">
        <w:trPr>
          <w:tblCellSpacing w:w="15" w:type="dxa"/>
        </w:trPr>
        <w:tc>
          <w:tcPr>
            <w:tcW w:w="0" w:type="auto"/>
            <w:tcBorders>
              <w:top w:val="single" w:sz="6" w:space="0" w:color="auto"/>
              <w:bottom w:val="nil"/>
              <w:right w:val="single" w:sz="6" w:space="0" w:color="auto"/>
            </w:tcBorders>
            <w:vAlign w:val="center"/>
            <w:hideMark/>
          </w:tcPr>
          <w:p w:rsidR="00E52DDC" w:rsidRDefault="00E52DDC">
            <w:pPr>
              <w:rPr>
                <w:sz w:val="24"/>
                <w:szCs w:val="24"/>
              </w:rPr>
            </w:pPr>
            <w:r>
              <w:rPr>
                <w:rStyle w:val="Strong"/>
              </w:rPr>
              <w:t>Online Banks</w:t>
            </w:r>
          </w:p>
        </w:tc>
        <w:tc>
          <w:tcPr>
            <w:tcW w:w="0" w:type="auto"/>
            <w:tcBorders>
              <w:top w:val="single" w:sz="6" w:space="0" w:color="auto"/>
              <w:bottom w:val="nil"/>
              <w:right w:val="single" w:sz="6" w:space="0" w:color="auto"/>
            </w:tcBorders>
            <w:vAlign w:val="center"/>
            <w:hideMark/>
          </w:tcPr>
          <w:p w:rsidR="00E52DDC" w:rsidRDefault="00E52DDC">
            <w:pPr>
              <w:rPr>
                <w:sz w:val="24"/>
                <w:szCs w:val="24"/>
              </w:rPr>
            </w:pPr>
            <w:r>
              <w:t>Financial institutions that operate primarily over the internet.</w:t>
            </w:r>
          </w:p>
        </w:tc>
        <w:tc>
          <w:tcPr>
            <w:tcW w:w="0" w:type="auto"/>
            <w:tcBorders>
              <w:top w:val="single" w:sz="6" w:space="0" w:color="auto"/>
              <w:bottom w:val="nil"/>
              <w:right w:val="single" w:sz="6" w:space="0" w:color="auto"/>
            </w:tcBorders>
            <w:vAlign w:val="center"/>
            <w:hideMark/>
          </w:tcPr>
          <w:p w:rsidR="00E52DDC" w:rsidRDefault="00E52DDC">
            <w:pPr>
              <w:rPr>
                <w:sz w:val="24"/>
                <w:szCs w:val="24"/>
              </w:rPr>
            </w:pPr>
            <w:r>
              <w:t>Checking and savings accounts, loans, credit cards, sometimes investment services.</w:t>
            </w:r>
          </w:p>
        </w:tc>
        <w:tc>
          <w:tcPr>
            <w:tcW w:w="0" w:type="auto"/>
            <w:tcBorders>
              <w:top w:val="single" w:sz="6" w:space="0" w:color="auto"/>
              <w:bottom w:val="nil"/>
            </w:tcBorders>
            <w:vAlign w:val="center"/>
            <w:hideMark/>
          </w:tcPr>
          <w:p w:rsidR="00E52DDC" w:rsidRDefault="00E52DDC">
            <w:pPr>
              <w:rPr>
                <w:sz w:val="24"/>
                <w:szCs w:val="24"/>
              </w:rPr>
            </w:pPr>
            <w:r>
              <w:t>Higher interest rates on deposits, lower fees due to reduced overhead costs.</w:t>
            </w:r>
          </w:p>
        </w:tc>
      </w:tr>
    </w:tbl>
    <w:p w:rsidR="00F6596A" w:rsidRDefault="00E52DDC" w:rsidP="00F6596A">
      <w:pPr>
        <w:rPr>
          <w:noProof/>
        </w:rPr>
      </w:pPr>
      <w:r>
        <w:rPr>
          <w:noProof/>
        </w:rPr>
        <w:t xml:space="preserve"> </w:t>
      </w:r>
    </w:p>
    <w:p w:rsidR="00BD24D8" w:rsidRDefault="00BD24D8" w:rsidP="00F6596A">
      <w:pPr>
        <w:rPr>
          <w:noProof/>
        </w:rPr>
      </w:pPr>
    </w:p>
    <w:p w:rsidR="00BD24D8" w:rsidRDefault="00BD24D8" w:rsidP="00F6596A">
      <w:pPr>
        <w:rPr>
          <w:noProof/>
        </w:rPr>
      </w:pPr>
    </w:p>
    <w:p w:rsidR="00BD24D8" w:rsidRDefault="00BD24D8" w:rsidP="00F6596A">
      <w:pPr>
        <w:rPr>
          <w:noProof/>
        </w:rPr>
      </w:pPr>
    </w:p>
    <w:p w:rsidR="00BD24D8" w:rsidRDefault="00BD24D8" w:rsidP="00F6596A">
      <w:pPr>
        <w:rPr>
          <w:noProof/>
        </w:rPr>
      </w:pPr>
    </w:p>
    <w:p w:rsidR="00C261E2" w:rsidRDefault="00C261E2" w:rsidP="00F6596A">
      <w:pPr>
        <w:rPr>
          <w:noProof/>
        </w:rPr>
      </w:pPr>
    </w:p>
    <w:p w:rsidR="00C261E2" w:rsidRDefault="00C261E2" w:rsidP="00C261E2">
      <w:pPr>
        <w:pStyle w:val="Heading2"/>
        <w:jc w:val="center"/>
        <w:rPr>
          <w:noProof/>
        </w:rPr>
      </w:pPr>
      <w:bookmarkStart w:id="49" w:name="_Toc168494046"/>
      <w:r>
        <w:lastRenderedPageBreak/>
        <w:t>Regulatory Bodies</w:t>
      </w:r>
      <w:bookmarkEnd w:id="49"/>
    </w:p>
    <w:p w:rsidR="00BD24D8" w:rsidRDefault="00BD24D8" w:rsidP="00F6596A">
      <w:pPr>
        <w:rPr>
          <w:noProof/>
        </w:rPr>
      </w:pPr>
    </w:p>
    <w:tbl>
      <w:tblPr>
        <w:tblW w:w="0" w:type="auto"/>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59"/>
        <w:gridCol w:w="3880"/>
        <w:gridCol w:w="3526"/>
      </w:tblGrid>
      <w:tr w:rsidR="00794981" w:rsidTr="00794981">
        <w:trPr>
          <w:tblHeader/>
          <w:tblCellSpacing w:w="15" w:type="dxa"/>
        </w:trPr>
        <w:tc>
          <w:tcPr>
            <w:tcW w:w="0" w:type="auto"/>
            <w:tcBorders>
              <w:top w:val="nil"/>
              <w:bottom w:val="single" w:sz="6" w:space="0" w:color="auto"/>
              <w:right w:val="single" w:sz="6" w:space="0" w:color="auto"/>
            </w:tcBorders>
            <w:hideMark/>
          </w:tcPr>
          <w:p w:rsidR="00794981" w:rsidRPr="00794981" w:rsidRDefault="00794981" w:rsidP="00794981">
            <w:pPr>
              <w:jc w:val="center"/>
              <w:rPr>
                <w:b/>
                <w:sz w:val="24"/>
              </w:rPr>
            </w:pPr>
            <w:r w:rsidRPr="00794981">
              <w:rPr>
                <w:b/>
                <w:sz w:val="24"/>
              </w:rPr>
              <w:t>Regulatory Body</w:t>
            </w:r>
          </w:p>
        </w:tc>
        <w:tc>
          <w:tcPr>
            <w:tcW w:w="0" w:type="auto"/>
            <w:tcBorders>
              <w:top w:val="nil"/>
              <w:bottom w:val="single" w:sz="6" w:space="0" w:color="auto"/>
              <w:right w:val="single" w:sz="6" w:space="0" w:color="auto"/>
            </w:tcBorders>
            <w:hideMark/>
          </w:tcPr>
          <w:p w:rsidR="00794981" w:rsidRPr="00794981" w:rsidRDefault="00794981" w:rsidP="00794981">
            <w:pPr>
              <w:jc w:val="center"/>
              <w:rPr>
                <w:b/>
                <w:sz w:val="24"/>
              </w:rPr>
            </w:pPr>
            <w:r w:rsidRPr="00794981">
              <w:rPr>
                <w:b/>
                <w:sz w:val="24"/>
              </w:rPr>
              <w:t>Role</w:t>
            </w:r>
          </w:p>
        </w:tc>
        <w:tc>
          <w:tcPr>
            <w:tcW w:w="0" w:type="auto"/>
            <w:tcBorders>
              <w:top w:val="nil"/>
              <w:bottom w:val="single" w:sz="6" w:space="0" w:color="auto"/>
              <w:right w:val="nil"/>
            </w:tcBorders>
            <w:hideMark/>
          </w:tcPr>
          <w:p w:rsidR="00794981" w:rsidRPr="00794981" w:rsidRDefault="00794981" w:rsidP="00794981">
            <w:pPr>
              <w:jc w:val="center"/>
              <w:rPr>
                <w:b/>
                <w:sz w:val="24"/>
              </w:rPr>
            </w:pPr>
            <w:r w:rsidRPr="00794981">
              <w:rPr>
                <w:b/>
                <w:sz w:val="24"/>
              </w:rPr>
              <w:t>Functions</w:t>
            </w:r>
          </w:p>
        </w:tc>
      </w:tr>
      <w:tr w:rsidR="00794981" w:rsidTr="00794981">
        <w:trPr>
          <w:tblCellSpacing w:w="15" w:type="dxa"/>
        </w:trPr>
        <w:tc>
          <w:tcPr>
            <w:tcW w:w="0" w:type="auto"/>
            <w:tcBorders>
              <w:top w:val="single" w:sz="6" w:space="0" w:color="auto"/>
              <w:bottom w:val="single" w:sz="6" w:space="0" w:color="auto"/>
              <w:right w:val="single" w:sz="6" w:space="0" w:color="auto"/>
            </w:tcBorders>
            <w:hideMark/>
          </w:tcPr>
          <w:p w:rsidR="00794981" w:rsidRPr="00794981" w:rsidRDefault="00794981" w:rsidP="003E177B">
            <w:pPr>
              <w:rPr>
                <w:b/>
              </w:rPr>
            </w:pPr>
            <w:r w:rsidRPr="00794981">
              <w:rPr>
                <w:b/>
              </w:rPr>
              <w:t>Federal Reserve System (The Fed)</w:t>
            </w:r>
          </w:p>
        </w:tc>
        <w:tc>
          <w:tcPr>
            <w:tcW w:w="0" w:type="auto"/>
            <w:tcBorders>
              <w:top w:val="single" w:sz="6" w:space="0" w:color="auto"/>
              <w:left w:val="nil"/>
              <w:bottom w:val="single" w:sz="6" w:space="0" w:color="auto"/>
              <w:right w:val="single" w:sz="6" w:space="0" w:color="auto"/>
            </w:tcBorders>
            <w:hideMark/>
          </w:tcPr>
          <w:p w:rsidR="00794981" w:rsidRPr="002262EF" w:rsidRDefault="00794981" w:rsidP="003E177B">
            <w:r w:rsidRPr="002262EF">
              <w:t>The central bank of the United States, responsible for monetary policy, regulation of banks, and maintaining financial stability.</w:t>
            </w:r>
          </w:p>
        </w:tc>
        <w:tc>
          <w:tcPr>
            <w:tcW w:w="0" w:type="auto"/>
            <w:tcBorders>
              <w:top w:val="single" w:sz="6" w:space="0" w:color="auto"/>
              <w:left w:val="nil"/>
              <w:bottom w:val="nil"/>
              <w:right w:val="nil"/>
            </w:tcBorders>
            <w:hideMark/>
          </w:tcPr>
          <w:p w:rsidR="00794981" w:rsidRDefault="00794981" w:rsidP="00794981">
            <w:pPr>
              <w:pStyle w:val="ListParagraph"/>
              <w:numPr>
                <w:ilvl w:val="0"/>
                <w:numId w:val="11"/>
              </w:numPr>
            </w:pPr>
            <w:r>
              <w:t>Regulates the money supply</w:t>
            </w:r>
          </w:p>
          <w:p w:rsidR="00794981" w:rsidRDefault="00794981" w:rsidP="00794981">
            <w:pPr>
              <w:pStyle w:val="ListParagraph"/>
              <w:numPr>
                <w:ilvl w:val="0"/>
                <w:numId w:val="11"/>
              </w:numPr>
            </w:pPr>
            <w:r>
              <w:t>Sets reserve requirements</w:t>
            </w:r>
          </w:p>
          <w:p w:rsidR="00794981" w:rsidRDefault="00794981" w:rsidP="00794981">
            <w:pPr>
              <w:pStyle w:val="ListParagraph"/>
              <w:numPr>
                <w:ilvl w:val="0"/>
                <w:numId w:val="11"/>
              </w:numPr>
            </w:pPr>
            <w:r w:rsidRPr="002262EF">
              <w:t>Supervises and regulates ban</w:t>
            </w:r>
            <w:r>
              <w:t>ks</w:t>
            </w:r>
          </w:p>
          <w:p w:rsidR="00794981" w:rsidRDefault="00794981" w:rsidP="00794981">
            <w:pPr>
              <w:pStyle w:val="ListParagraph"/>
              <w:numPr>
                <w:ilvl w:val="0"/>
                <w:numId w:val="11"/>
              </w:numPr>
            </w:pPr>
            <w:r w:rsidRPr="002262EF">
              <w:t>P</w:t>
            </w:r>
            <w:r>
              <w:t>rovides financial services</w:t>
            </w:r>
          </w:p>
          <w:p w:rsidR="00794981" w:rsidRPr="002262EF" w:rsidRDefault="00794981" w:rsidP="00794981">
            <w:pPr>
              <w:pStyle w:val="ListParagraph"/>
              <w:numPr>
                <w:ilvl w:val="0"/>
                <w:numId w:val="11"/>
              </w:numPr>
            </w:pPr>
            <w:r w:rsidRPr="002262EF">
              <w:t>Acts as a lender of last resort</w:t>
            </w:r>
          </w:p>
        </w:tc>
      </w:tr>
      <w:tr w:rsidR="00794981" w:rsidTr="00794981">
        <w:trPr>
          <w:tblCellSpacing w:w="15" w:type="dxa"/>
        </w:trPr>
        <w:tc>
          <w:tcPr>
            <w:tcW w:w="0" w:type="auto"/>
            <w:tcBorders>
              <w:top w:val="nil"/>
              <w:bottom w:val="nil"/>
              <w:right w:val="single" w:sz="6" w:space="0" w:color="auto"/>
            </w:tcBorders>
            <w:hideMark/>
          </w:tcPr>
          <w:p w:rsidR="00794981" w:rsidRPr="00794981" w:rsidRDefault="00794981" w:rsidP="003E177B">
            <w:pPr>
              <w:rPr>
                <w:b/>
              </w:rPr>
            </w:pPr>
            <w:r w:rsidRPr="00794981">
              <w:rPr>
                <w:b/>
              </w:rPr>
              <w:t>Office of the Comptroller of the Currency (OCC)</w:t>
            </w:r>
          </w:p>
        </w:tc>
        <w:tc>
          <w:tcPr>
            <w:tcW w:w="0" w:type="auto"/>
            <w:tcBorders>
              <w:top w:val="nil"/>
              <w:bottom w:val="nil"/>
              <w:right w:val="single" w:sz="6" w:space="0" w:color="auto"/>
            </w:tcBorders>
            <w:hideMark/>
          </w:tcPr>
          <w:p w:rsidR="00794981" w:rsidRPr="002262EF" w:rsidRDefault="00794981" w:rsidP="003E177B">
            <w:r w:rsidRPr="002262EF">
              <w:t>A federal agency that charters, regulates, and supervises all national banks and federal savings associations.</w:t>
            </w:r>
          </w:p>
        </w:tc>
        <w:tc>
          <w:tcPr>
            <w:tcW w:w="0" w:type="auto"/>
            <w:tcBorders>
              <w:top w:val="single" w:sz="6" w:space="0" w:color="auto"/>
              <w:bottom w:val="nil"/>
              <w:right w:val="nil"/>
            </w:tcBorders>
            <w:hideMark/>
          </w:tcPr>
          <w:p w:rsidR="00794981" w:rsidRDefault="00794981" w:rsidP="00794981">
            <w:pPr>
              <w:pStyle w:val="ListParagraph"/>
              <w:numPr>
                <w:ilvl w:val="0"/>
                <w:numId w:val="12"/>
              </w:numPr>
            </w:pPr>
            <w:r w:rsidRPr="002262EF">
              <w:t xml:space="preserve">Ensures the safety and soundness of </w:t>
            </w:r>
            <w:r>
              <w:t>the national banking system</w:t>
            </w:r>
          </w:p>
          <w:p w:rsidR="00794981" w:rsidRPr="002262EF" w:rsidRDefault="00794981" w:rsidP="00794981">
            <w:pPr>
              <w:pStyle w:val="ListParagraph"/>
              <w:numPr>
                <w:ilvl w:val="0"/>
                <w:numId w:val="12"/>
              </w:numPr>
            </w:pPr>
            <w:r w:rsidRPr="002262EF">
              <w:t>Enforces banking laws and regulations</w:t>
            </w:r>
          </w:p>
        </w:tc>
      </w:tr>
      <w:tr w:rsidR="00794981" w:rsidTr="00794981">
        <w:trPr>
          <w:tblCellSpacing w:w="15" w:type="dxa"/>
        </w:trPr>
        <w:tc>
          <w:tcPr>
            <w:tcW w:w="0" w:type="auto"/>
            <w:tcBorders>
              <w:top w:val="single" w:sz="6" w:space="0" w:color="auto"/>
              <w:bottom w:val="nil"/>
              <w:right w:val="single" w:sz="6" w:space="0" w:color="auto"/>
            </w:tcBorders>
            <w:hideMark/>
          </w:tcPr>
          <w:p w:rsidR="00794981" w:rsidRPr="00794981" w:rsidRDefault="00794981" w:rsidP="003E177B">
            <w:pPr>
              <w:rPr>
                <w:b/>
              </w:rPr>
            </w:pPr>
            <w:r w:rsidRPr="00794981">
              <w:rPr>
                <w:b/>
              </w:rPr>
              <w:t>Federal Deposit Insurance Corporation (FDIC)</w:t>
            </w:r>
          </w:p>
        </w:tc>
        <w:tc>
          <w:tcPr>
            <w:tcW w:w="0" w:type="auto"/>
            <w:tcBorders>
              <w:top w:val="single" w:sz="6" w:space="0" w:color="auto"/>
              <w:bottom w:val="nil"/>
              <w:right w:val="single" w:sz="6" w:space="0" w:color="auto"/>
            </w:tcBorders>
            <w:hideMark/>
          </w:tcPr>
          <w:p w:rsidR="00794981" w:rsidRPr="002262EF" w:rsidRDefault="00794981" w:rsidP="003E177B">
            <w:r w:rsidRPr="002262EF">
              <w:t>An independent agency that insures deposits at banks and thrift institutions.</w:t>
            </w:r>
          </w:p>
        </w:tc>
        <w:tc>
          <w:tcPr>
            <w:tcW w:w="0" w:type="auto"/>
            <w:tcBorders>
              <w:top w:val="single" w:sz="6" w:space="0" w:color="auto"/>
              <w:bottom w:val="nil"/>
              <w:right w:val="nil"/>
            </w:tcBorders>
            <w:hideMark/>
          </w:tcPr>
          <w:p w:rsidR="00794981" w:rsidRDefault="00794981" w:rsidP="00794981">
            <w:pPr>
              <w:pStyle w:val="ListParagraph"/>
              <w:numPr>
                <w:ilvl w:val="0"/>
                <w:numId w:val="13"/>
              </w:numPr>
            </w:pPr>
            <w:r w:rsidRPr="002262EF">
              <w:t>Insures depo</w:t>
            </w:r>
            <w:r>
              <w:t>sits up to a certain limit</w:t>
            </w:r>
          </w:p>
          <w:p w:rsidR="00794981" w:rsidRDefault="00794981" w:rsidP="00794981">
            <w:pPr>
              <w:pStyle w:val="ListParagraph"/>
              <w:numPr>
                <w:ilvl w:val="0"/>
                <w:numId w:val="13"/>
              </w:numPr>
            </w:pPr>
            <w:r w:rsidRPr="002262EF">
              <w:t>Examines and supervises financial institution</w:t>
            </w:r>
            <w:r>
              <w:t>s for safety and soundness</w:t>
            </w:r>
          </w:p>
          <w:p w:rsidR="00794981" w:rsidRPr="002262EF" w:rsidRDefault="00794981" w:rsidP="00794981">
            <w:pPr>
              <w:pStyle w:val="ListParagraph"/>
              <w:numPr>
                <w:ilvl w:val="0"/>
                <w:numId w:val="13"/>
              </w:numPr>
            </w:pPr>
            <w:r w:rsidRPr="002262EF">
              <w:t>Manages receiverships of failed banks</w:t>
            </w:r>
          </w:p>
        </w:tc>
      </w:tr>
      <w:tr w:rsidR="00794981" w:rsidTr="00794981">
        <w:trPr>
          <w:tblCellSpacing w:w="15" w:type="dxa"/>
        </w:trPr>
        <w:tc>
          <w:tcPr>
            <w:tcW w:w="0" w:type="auto"/>
            <w:tcBorders>
              <w:top w:val="single" w:sz="6" w:space="0" w:color="auto"/>
              <w:bottom w:val="nil"/>
              <w:right w:val="single" w:sz="6" w:space="0" w:color="auto"/>
            </w:tcBorders>
            <w:hideMark/>
          </w:tcPr>
          <w:p w:rsidR="00794981" w:rsidRPr="00794981" w:rsidRDefault="00794981" w:rsidP="003E177B">
            <w:pPr>
              <w:rPr>
                <w:b/>
              </w:rPr>
            </w:pPr>
            <w:r w:rsidRPr="00794981">
              <w:rPr>
                <w:b/>
              </w:rPr>
              <w:t>Consumer Financial Protection Bureau (CFPB)</w:t>
            </w:r>
          </w:p>
        </w:tc>
        <w:tc>
          <w:tcPr>
            <w:tcW w:w="0" w:type="auto"/>
            <w:tcBorders>
              <w:top w:val="single" w:sz="6" w:space="0" w:color="auto"/>
              <w:bottom w:val="nil"/>
              <w:right w:val="single" w:sz="6" w:space="0" w:color="auto"/>
            </w:tcBorders>
            <w:hideMark/>
          </w:tcPr>
          <w:p w:rsidR="00794981" w:rsidRPr="002262EF" w:rsidRDefault="00794981" w:rsidP="003E177B">
            <w:r w:rsidRPr="002262EF">
              <w:t xml:space="preserve">A federal agency that ensures consumers </w:t>
            </w:r>
            <w:proofErr w:type="gramStart"/>
            <w:r w:rsidRPr="002262EF">
              <w:t>are</w:t>
            </w:r>
            <w:proofErr w:type="gramEnd"/>
            <w:r w:rsidRPr="002262EF">
              <w:t xml:space="preserve"> treated fairly by banks, lenders, and other financial institutions.</w:t>
            </w:r>
          </w:p>
        </w:tc>
        <w:tc>
          <w:tcPr>
            <w:tcW w:w="0" w:type="auto"/>
            <w:tcBorders>
              <w:top w:val="single" w:sz="6" w:space="0" w:color="auto"/>
              <w:bottom w:val="nil"/>
              <w:right w:val="nil"/>
            </w:tcBorders>
            <w:hideMark/>
          </w:tcPr>
          <w:p w:rsidR="00794981" w:rsidRDefault="00794981" w:rsidP="00794981">
            <w:pPr>
              <w:pStyle w:val="ListParagraph"/>
              <w:numPr>
                <w:ilvl w:val="0"/>
                <w:numId w:val="14"/>
              </w:numPr>
            </w:pPr>
            <w:r w:rsidRPr="002262EF">
              <w:t>Regulates consumer finan</w:t>
            </w:r>
            <w:r>
              <w:t>cial products and services</w:t>
            </w:r>
          </w:p>
          <w:p w:rsidR="00794981" w:rsidRDefault="00794981" w:rsidP="00794981">
            <w:pPr>
              <w:pStyle w:val="ListParagraph"/>
              <w:numPr>
                <w:ilvl w:val="0"/>
                <w:numId w:val="14"/>
              </w:numPr>
            </w:pPr>
            <w:r w:rsidRPr="002262EF">
              <w:t>Enforce</w:t>
            </w:r>
            <w:r>
              <w:t>s consumer protection laws</w:t>
            </w:r>
          </w:p>
          <w:p w:rsidR="00794981" w:rsidRPr="002262EF" w:rsidRDefault="00794981" w:rsidP="00794981">
            <w:pPr>
              <w:pStyle w:val="ListParagraph"/>
              <w:numPr>
                <w:ilvl w:val="0"/>
                <w:numId w:val="14"/>
              </w:numPr>
            </w:pPr>
            <w:r w:rsidRPr="002262EF">
              <w:t>Educates consumers</w:t>
            </w:r>
          </w:p>
        </w:tc>
      </w:tr>
      <w:tr w:rsidR="00794981" w:rsidTr="00794981">
        <w:trPr>
          <w:tblCellSpacing w:w="15" w:type="dxa"/>
        </w:trPr>
        <w:tc>
          <w:tcPr>
            <w:tcW w:w="0" w:type="auto"/>
            <w:tcBorders>
              <w:top w:val="single" w:sz="6" w:space="0" w:color="auto"/>
              <w:bottom w:val="nil"/>
              <w:right w:val="single" w:sz="6" w:space="0" w:color="auto"/>
            </w:tcBorders>
            <w:hideMark/>
          </w:tcPr>
          <w:p w:rsidR="00794981" w:rsidRPr="00794981" w:rsidRDefault="00794981" w:rsidP="003E177B">
            <w:pPr>
              <w:rPr>
                <w:b/>
              </w:rPr>
            </w:pPr>
            <w:r w:rsidRPr="00794981">
              <w:rPr>
                <w:b/>
              </w:rPr>
              <w:t>Securities and Exchange Commission (SEC)</w:t>
            </w:r>
          </w:p>
        </w:tc>
        <w:tc>
          <w:tcPr>
            <w:tcW w:w="0" w:type="auto"/>
            <w:tcBorders>
              <w:top w:val="single" w:sz="6" w:space="0" w:color="auto"/>
              <w:bottom w:val="nil"/>
              <w:right w:val="single" w:sz="6" w:space="0" w:color="auto"/>
            </w:tcBorders>
            <w:hideMark/>
          </w:tcPr>
          <w:p w:rsidR="00794981" w:rsidRPr="002262EF" w:rsidRDefault="00794981" w:rsidP="003E177B">
            <w:r w:rsidRPr="002262EF">
              <w:t>A federal agency that oversees securities markets and protects investors.</w:t>
            </w:r>
          </w:p>
        </w:tc>
        <w:tc>
          <w:tcPr>
            <w:tcW w:w="0" w:type="auto"/>
            <w:tcBorders>
              <w:top w:val="single" w:sz="6" w:space="0" w:color="auto"/>
              <w:bottom w:val="nil"/>
              <w:right w:val="nil"/>
            </w:tcBorders>
            <w:hideMark/>
          </w:tcPr>
          <w:p w:rsidR="00794981" w:rsidRDefault="00794981" w:rsidP="00794981">
            <w:pPr>
              <w:pStyle w:val="ListParagraph"/>
              <w:numPr>
                <w:ilvl w:val="0"/>
                <w:numId w:val="15"/>
              </w:numPr>
            </w:pPr>
            <w:r w:rsidRPr="002262EF">
              <w:t>Enforces s</w:t>
            </w:r>
            <w:r>
              <w:t>ecurities laws</w:t>
            </w:r>
          </w:p>
          <w:p w:rsidR="00794981" w:rsidRDefault="00794981" w:rsidP="00794981">
            <w:pPr>
              <w:pStyle w:val="ListParagraph"/>
              <w:numPr>
                <w:ilvl w:val="0"/>
                <w:numId w:val="15"/>
              </w:numPr>
            </w:pPr>
            <w:r w:rsidRPr="002262EF">
              <w:t>R</w:t>
            </w:r>
            <w:r>
              <w:t>egulates securities industry</w:t>
            </w:r>
          </w:p>
          <w:p w:rsidR="00794981" w:rsidRDefault="00794981" w:rsidP="00794981">
            <w:pPr>
              <w:pStyle w:val="ListParagraph"/>
              <w:numPr>
                <w:ilvl w:val="0"/>
                <w:numId w:val="15"/>
              </w:numPr>
            </w:pPr>
            <w:r w:rsidRPr="002262EF">
              <w:t>Ensures transparency and fairness in the securities markets</w:t>
            </w:r>
          </w:p>
        </w:tc>
      </w:tr>
    </w:tbl>
    <w:p w:rsidR="00BD24D8" w:rsidRDefault="00BD24D8" w:rsidP="00F6596A"/>
    <w:p w:rsidR="00794981" w:rsidRDefault="00794981" w:rsidP="00F6596A"/>
    <w:p w:rsidR="00794981" w:rsidRDefault="00794981" w:rsidP="00C261E2">
      <w:pPr>
        <w:pStyle w:val="Heading2"/>
        <w:jc w:val="center"/>
      </w:pPr>
      <w:bookmarkStart w:id="50" w:name="_Toc168494047"/>
      <w:r>
        <w:lastRenderedPageBreak/>
        <w:t>Banking Activities and Services</w:t>
      </w:r>
      <w:bookmarkEnd w:id="50"/>
    </w:p>
    <w:p w:rsidR="00C261E2" w:rsidRDefault="00C261E2" w:rsidP="00C261E2"/>
    <w:p w:rsidR="00C261E2" w:rsidRPr="00C261E2" w:rsidRDefault="00C261E2" w:rsidP="00C261E2"/>
    <w:tbl>
      <w:tblPr>
        <w:tblStyle w:val="TableGrid"/>
        <w:tblW w:w="0" w:type="auto"/>
        <w:tblLook w:val="04A0" w:firstRow="1" w:lastRow="0" w:firstColumn="1" w:lastColumn="0" w:noHBand="0" w:noVBand="1"/>
      </w:tblPr>
      <w:tblGrid>
        <w:gridCol w:w="2657"/>
        <w:gridCol w:w="2839"/>
        <w:gridCol w:w="4080"/>
      </w:tblGrid>
      <w:tr w:rsidR="00794981" w:rsidTr="00794981">
        <w:tc>
          <w:tcPr>
            <w:tcW w:w="0" w:type="auto"/>
            <w:hideMark/>
          </w:tcPr>
          <w:p w:rsidR="00794981" w:rsidRDefault="00794981">
            <w:pPr>
              <w:jc w:val="center"/>
              <w:rPr>
                <w:b/>
                <w:bCs/>
                <w:sz w:val="24"/>
                <w:szCs w:val="24"/>
              </w:rPr>
            </w:pPr>
            <w:r>
              <w:rPr>
                <w:rStyle w:val="Strong"/>
              </w:rPr>
              <w:t>Activity/Service</w:t>
            </w:r>
          </w:p>
        </w:tc>
        <w:tc>
          <w:tcPr>
            <w:tcW w:w="0" w:type="auto"/>
            <w:hideMark/>
          </w:tcPr>
          <w:p w:rsidR="00794981" w:rsidRDefault="00794981">
            <w:pPr>
              <w:jc w:val="center"/>
              <w:rPr>
                <w:b/>
                <w:bCs/>
                <w:sz w:val="24"/>
                <w:szCs w:val="24"/>
              </w:rPr>
            </w:pPr>
            <w:r>
              <w:rPr>
                <w:rStyle w:val="Strong"/>
              </w:rPr>
              <w:t>Types/Services</w:t>
            </w:r>
          </w:p>
        </w:tc>
        <w:tc>
          <w:tcPr>
            <w:tcW w:w="0" w:type="auto"/>
            <w:hideMark/>
          </w:tcPr>
          <w:p w:rsidR="00794981" w:rsidRDefault="00794981">
            <w:pPr>
              <w:jc w:val="center"/>
              <w:rPr>
                <w:b/>
                <w:bCs/>
                <w:sz w:val="24"/>
                <w:szCs w:val="24"/>
              </w:rPr>
            </w:pPr>
            <w:r>
              <w:rPr>
                <w:rStyle w:val="Strong"/>
              </w:rPr>
              <w:t>Function</w:t>
            </w:r>
          </w:p>
        </w:tc>
      </w:tr>
      <w:tr w:rsidR="00794981" w:rsidTr="00794981">
        <w:tc>
          <w:tcPr>
            <w:tcW w:w="0" w:type="auto"/>
            <w:hideMark/>
          </w:tcPr>
          <w:p w:rsidR="00794981" w:rsidRDefault="00794981">
            <w:pPr>
              <w:rPr>
                <w:sz w:val="24"/>
                <w:szCs w:val="24"/>
              </w:rPr>
            </w:pPr>
            <w:r>
              <w:rPr>
                <w:rStyle w:val="Strong"/>
              </w:rPr>
              <w:t>Deposits</w:t>
            </w:r>
          </w:p>
        </w:tc>
        <w:tc>
          <w:tcPr>
            <w:tcW w:w="0" w:type="auto"/>
            <w:hideMark/>
          </w:tcPr>
          <w:p w:rsidR="00794981" w:rsidRDefault="00794981" w:rsidP="00794981">
            <w:pPr>
              <w:pStyle w:val="ListParagraph"/>
              <w:numPr>
                <w:ilvl w:val="0"/>
                <w:numId w:val="16"/>
              </w:numPr>
            </w:pPr>
            <w:r>
              <w:t>Checking accounts</w:t>
            </w:r>
          </w:p>
          <w:p w:rsidR="00794981" w:rsidRDefault="00794981" w:rsidP="00794981">
            <w:pPr>
              <w:pStyle w:val="ListParagraph"/>
              <w:numPr>
                <w:ilvl w:val="0"/>
                <w:numId w:val="16"/>
              </w:numPr>
            </w:pPr>
            <w:r>
              <w:t>Savings accounts</w:t>
            </w:r>
          </w:p>
          <w:p w:rsidR="00794981" w:rsidRPr="00794981" w:rsidRDefault="00794981" w:rsidP="00794981">
            <w:pPr>
              <w:pStyle w:val="ListParagraph"/>
              <w:numPr>
                <w:ilvl w:val="0"/>
                <w:numId w:val="16"/>
              </w:numPr>
              <w:rPr>
                <w:sz w:val="24"/>
                <w:szCs w:val="24"/>
              </w:rPr>
            </w:pPr>
            <w:r>
              <w:t>Certificates of deposit (CDs)</w:t>
            </w:r>
          </w:p>
        </w:tc>
        <w:tc>
          <w:tcPr>
            <w:tcW w:w="0" w:type="auto"/>
            <w:hideMark/>
          </w:tcPr>
          <w:p w:rsidR="00794981" w:rsidRDefault="00794981">
            <w:pPr>
              <w:rPr>
                <w:sz w:val="24"/>
                <w:szCs w:val="24"/>
              </w:rPr>
            </w:pPr>
            <w:r>
              <w:t>Provide a safe place for customers to store their money and earn interest.</w:t>
            </w:r>
          </w:p>
        </w:tc>
      </w:tr>
      <w:tr w:rsidR="00794981" w:rsidTr="00794981">
        <w:tc>
          <w:tcPr>
            <w:tcW w:w="0" w:type="auto"/>
            <w:hideMark/>
          </w:tcPr>
          <w:p w:rsidR="00794981" w:rsidRDefault="00794981">
            <w:pPr>
              <w:rPr>
                <w:sz w:val="24"/>
                <w:szCs w:val="24"/>
              </w:rPr>
            </w:pPr>
            <w:r>
              <w:rPr>
                <w:rStyle w:val="Strong"/>
              </w:rPr>
              <w:t>Loans</w:t>
            </w:r>
          </w:p>
        </w:tc>
        <w:tc>
          <w:tcPr>
            <w:tcW w:w="0" w:type="auto"/>
            <w:hideMark/>
          </w:tcPr>
          <w:p w:rsidR="00794981" w:rsidRDefault="00794981" w:rsidP="00794981">
            <w:pPr>
              <w:pStyle w:val="ListParagraph"/>
              <w:numPr>
                <w:ilvl w:val="0"/>
                <w:numId w:val="17"/>
              </w:numPr>
            </w:pPr>
            <w:r>
              <w:t>Personal loans</w:t>
            </w:r>
          </w:p>
          <w:p w:rsidR="00794981" w:rsidRDefault="00794981" w:rsidP="00794981">
            <w:pPr>
              <w:pStyle w:val="ListParagraph"/>
              <w:numPr>
                <w:ilvl w:val="0"/>
                <w:numId w:val="17"/>
              </w:numPr>
            </w:pPr>
            <w:r>
              <w:t>Business loans</w:t>
            </w:r>
          </w:p>
          <w:p w:rsidR="00794981" w:rsidRDefault="00794981" w:rsidP="00794981">
            <w:pPr>
              <w:pStyle w:val="ListParagraph"/>
              <w:numPr>
                <w:ilvl w:val="0"/>
                <w:numId w:val="17"/>
              </w:numPr>
            </w:pPr>
            <w:r>
              <w:t>Mortgages</w:t>
            </w:r>
          </w:p>
          <w:p w:rsidR="00794981" w:rsidRDefault="00794981" w:rsidP="00794981">
            <w:pPr>
              <w:pStyle w:val="ListParagraph"/>
              <w:numPr>
                <w:ilvl w:val="0"/>
                <w:numId w:val="17"/>
              </w:numPr>
            </w:pPr>
            <w:r>
              <w:t>Auto loans</w:t>
            </w:r>
          </w:p>
          <w:p w:rsidR="00794981" w:rsidRPr="00794981" w:rsidRDefault="00794981" w:rsidP="00794981">
            <w:pPr>
              <w:pStyle w:val="ListParagraph"/>
              <w:numPr>
                <w:ilvl w:val="0"/>
                <w:numId w:val="17"/>
              </w:numPr>
              <w:rPr>
                <w:sz w:val="24"/>
                <w:szCs w:val="24"/>
              </w:rPr>
            </w:pPr>
            <w:r>
              <w:t>Student loans</w:t>
            </w:r>
          </w:p>
        </w:tc>
        <w:tc>
          <w:tcPr>
            <w:tcW w:w="0" w:type="auto"/>
            <w:hideMark/>
          </w:tcPr>
          <w:p w:rsidR="00794981" w:rsidRDefault="00794981">
            <w:pPr>
              <w:rPr>
                <w:sz w:val="24"/>
                <w:szCs w:val="24"/>
              </w:rPr>
            </w:pPr>
            <w:r>
              <w:t>Provide funds for individuals and businesses to invest, spend, and grow.</w:t>
            </w:r>
          </w:p>
        </w:tc>
      </w:tr>
      <w:tr w:rsidR="00794981" w:rsidTr="00794981">
        <w:tc>
          <w:tcPr>
            <w:tcW w:w="0" w:type="auto"/>
            <w:hideMark/>
          </w:tcPr>
          <w:p w:rsidR="00794981" w:rsidRDefault="00794981">
            <w:pPr>
              <w:rPr>
                <w:sz w:val="24"/>
                <w:szCs w:val="24"/>
              </w:rPr>
            </w:pPr>
            <w:r>
              <w:rPr>
                <w:rStyle w:val="Strong"/>
              </w:rPr>
              <w:t>Payment and Settlement Services</w:t>
            </w:r>
          </w:p>
        </w:tc>
        <w:tc>
          <w:tcPr>
            <w:tcW w:w="0" w:type="auto"/>
            <w:hideMark/>
          </w:tcPr>
          <w:p w:rsidR="00794981" w:rsidRDefault="00794981" w:rsidP="00794981">
            <w:pPr>
              <w:pStyle w:val="ListParagraph"/>
              <w:numPr>
                <w:ilvl w:val="0"/>
                <w:numId w:val="18"/>
              </w:numPr>
            </w:pPr>
            <w:r>
              <w:t>Wire transfers</w:t>
            </w:r>
          </w:p>
          <w:p w:rsidR="00794981" w:rsidRDefault="00794981" w:rsidP="00794981">
            <w:pPr>
              <w:pStyle w:val="ListParagraph"/>
              <w:numPr>
                <w:ilvl w:val="0"/>
                <w:numId w:val="18"/>
              </w:numPr>
            </w:pPr>
            <w:r>
              <w:t>ACH transactions</w:t>
            </w:r>
          </w:p>
          <w:p w:rsidR="00794981" w:rsidRPr="00794981" w:rsidRDefault="00794981" w:rsidP="00794981">
            <w:pPr>
              <w:pStyle w:val="ListParagraph"/>
              <w:numPr>
                <w:ilvl w:val="0"/>
                <w:numId w:val="18"/>
              </w:numPr>
              <w:rPr>
                <w:sz w:val="24"/>
                <w:szCs w:val="24"/>
              </w:rPr>
            </w:pPr>
            <w:r>
              <w:t>Check clearing</w:t>
            </w:r>
          </w:p>
        </w:tc>
        <w:tc>
          <w:tcPr>
            <w:tcW w:w="0" w:type="auto"/>
            <w:hideMark/>
          </w:tcPr>
          <w:p w:rsidR="00794981" w:rsidRDefault="00794981">
            <w:pPr>
              <w:rPr>
                <w:sz w:val="24"/>
                <w:szCs w:val="24"/>
              </w:rPr>
            </w:pPr>
            <w:r>
              <w:t>Facilitate the transfer of funds between parties and ensure timely settlement of transactions.</w:t>
            </w:r>
          </w:p>
        </w:tc>
      </w:tr>
      <w:tr w:rsidR="00794981" w:rsidTr="00794981">
        <w:tc>
          <w:tcPr>
            <w:tcW w:w="0" w:type="auto"/>
            <w:hideMark/>
          </w:tcPr>
          <w:p w:rsidR="00794981" w:rsidRDefault="00794981">
            <w:pPr>
              <w:rPr>
                <w:sz w:val="24"/>
                <w:szCs w:val="24"/>
              </w:rPr>
            </w:pPr>
            <w:r>
              <w:rPr>
                <w:rStyle w:val="Strong"/>
              </w:rPr>
              <w:t>Wealth Management and Investment Services</w:t>
            </w:r>
          </w:p>
        </w:tc>
        <w:tc>
          <w:tcPr>
            <w:tcW w:w="0" w:type="auto"/>
            <w:hideMark/>
          </w:tcPr>
          <w:p w:rsidR="00794981" w:rsidRDefault="00794981" w:rsidP="00794981">
            <w:pPr>
              <w:pStyle w:val="ListParagraph"/>
              <w:numPr>
                <w:ilvl w:val="0"/>
                <w:numId w:val="19"/>
              </w:numPr>
            </w:pPr>
            <w:r>
              <w:t>Financial planning</w:t>
            </w:r>
          </w:p>
          <w:p w:rsidR="00794981" w:rsidRDefault="00794981" w:rsidP="00794981">
            <w:pPr>
              <w:pStyle w:val="ListParagraph"/>
              <w:numPr>
                <w:ilvl w:val="0"/>
                <w:numId w:val="19"/>
              </w:numPr>
            </w:pPr>
            <w:r>
              <w:t>Investment advisory</w:t>
            </w:r>
          </w:p>
          <w:p w:rsidR="00794981" w:rsidRDefault="00794981" w:rsidP="00794981">
            <w:pPr>
              <w:pStyle w:val="ListParagraph"/>
              <w:numPr>
                <w:ilvl w:val="0"/>
                <w:numId w:val="19"/>
              </w:numPr>
            </w:pPr>
            <w:r>
              <w:t>Retirement planning</w:t>
            </w:r>
          </w:p>
          <w:p w:rsidR="00794981" w:rsidRPr="00794981" w:rsidRDefault="00794981" w:rsidP="00794981">
            <w:pPr>
              <w:pStyle w:val="ListParagraph"/>
              <w:numPr>
                <w:ilvl w:val="0"/>
                <w:numId w:val="19"/>
              </w:numPr>
              <w:rPr>
                <w:sz w:val="24"/>
                <w:szCs w:val="24"/>
              </w:rPr>
            </w:pPr>
            <w:r>
              <w:t>Estate planning</w:t>
            </w:r>
          </w:p>
        </w:tc>
        <w:tc>
          <w:tcPr>
            <w:tcW w:w="0" w:type="auto"/>
            <w:hideMark/>
          </w:tcPr>
          <w:p w:rsidR="00794981" w:rsidRDefault="00794981">
            <w:pPr>
              <w:rPr>
                <w:sz w:val="24"/>
                <w:szCs w:val="24"/>
              </w:rPr>
            </w:pPr>
            <w:r>
              <w:t>Help clients manage their assets and achieve their financial goals.</w:t>
            </w:r>
          </w:p>
        </w:tc>
      </w:tr>
      <w:tr w:rsidR="00794981" w:rsidTr="00794981">
        <w:tc>
          <w:tcPr>
            <w:tcW w:w="0" w:type="auto"/>
            <w:hideMark/>
          </w:tcPr>
          <w:p w:rsidR="00794981" w:rsidRDefault="00794981">
            <w:pPr>
              <w:rPr>
                <w:sz w:val="24"/>
                <w:szCs w:val="24"/>
              </w:rPr>
            </w:pPr>
            <w:r>
              <w:rPr>
                <w:rStyle w:val="Strong"/>
              </w:rPr>
              <w:t>Foreign Exchange Services</w:t>
            </w:r>
          </w:p>
        </w:tc>
        <w:tc>
          <w:tcPr>
            <w:tcW w:w="0" w:type="auto"/>
            <w:hideMark/>
          </w:tcPr>
          <w:p w:rsidR="00794981" w:rsidRDefault="00794981">
            <w:pPr>
              <w:rPr>
                <w:sz w:val="24"/>
                <w:szCs w:val="24"/>
              </w:rPr>
            </w:pPr>
            <w:r>
              <w:t>N/A</w:t>
            </w:r>
          </w:p>
        </w:tc>
        <w:tc>
          <w:tcPr>
            <w:tcW w:w="0" w:type="auto"/>
            <w:hideMark/>
          </w:tcPr>
          <w:p w:rsidR="00794981" w:rsidRDefault="00794981">
            <w:pPr>
              <w:rPr>
                <w:sz w:val="24"/>
                <w:szCs w:val="24"/>
              </w:rPr>
            </w:pPr>
            <w:r>
              <w:t>Facilitate currency exchange for businesses and individuals involved in international transactions.</w:t>
            </w:r>
          </w:p>
        </w:tc>
      </w:tr>
    </w:tbl>
    <w:p w:rsidR="00C261E2" w:rsidRDefault="00C261E2" w:rsidP="00794981">
      <w:pPr>
        <w:pStyle w:val="Heading3"/>
      </w:pPr>
    </w:p>
    <w:p w:rsidR="00C261E2" w:rsidRDefault="00C261E2" w:rsidP="00C261E2">
      <w:pPr>
        <w:rPr>
          <w:rFonts w:asciiTheme="majorHAnsi" w:eastAsiaTheme="majorEastAsia" w:hAnsiTheme="majorHAnsi" w:cstheme="majorBidi"/>
          <w:color w:val="4F81BD" w:themeColor="accent1"/>
        </w:rPr>
      </w:pPr>
      <w:r>
        <w:br w:type="page"/>
      </w:r>
    </w:p>
    <w:p w:rsidR="00794981" w:rsidRDefault="00794981" w:rsidP="00F07956">
      <w:pPr>
        <w:pStyle w:val="Heading2"/>
        <w:jc w:val="center"/>
      </w:pPr>
      <w:bookmarkStart w:id="51" w:name="_Toc168494048"/>
      <w:r>
        <w:lastRenderedPageBreak/>
        <w:t>Financial Markets and Instruments</w:t>
      </w:r>
      <w:bookmarkEnd w:id="51"/>
    </w:p>
    <w:p w:rsidR="00C261E2" w:rsidRDefault="00C261E2" w:rsidP="00C261E2"/>
    <w:p w:rsidR="00C261E2" w:rsidRPr="00C261E2" w:rsidRDefault="00C261E2" w:rsidP="00C261E2"/>
    <w:tbl>
      <w:tblPr>
        <w:tblStyle w:val="TableGrid"/>
        <w:tblW w:w="0" w:type="auto"/>
        <w:tblLook w:val="04A0" w:firstRow="1" w:lastRow="0" w:firstColumn="1" w:lastColumn="0" w:noHBand="0" w:noVBand="1"/>
      </w:tblPr>
      <w:tblGrid>
        <w:gridCol w:w="1560"/>
        <w:gridCol w:w="4786"/>
        <w:gridCol w:w="3230"/>
      </w:tblGrid>
      <w:tr w:rsidR="00794981" w:rsidTr="00794981">
        <w:tc>
          <w:tcPr>
            <w:tcW w:w="0" w:type="auto"/>
            <w:hideMark/>
          </w:tcPr>
          <w:p w:rsidR="00794981" w:rsidRDefault="00794981">
            <w:pPr>
              <w:jc w:val="center"/>
              <w:rPr>
                <w:b/>
                <w:bCs/>
                <w:sz w:val="24"/>
                <w:szCs w:val="24"/>
              </w:rPr>
            </w:pPr>
            <w:r>
              <w:rPr>
                <w:rStyle w:val="Strong"/>
              </w:rPr>
              <w:t>Market</w:t>
            </w:r>
          </w:p>
        </w:tc>
        <w:tc>
          <w:tcPr>
            <w:tcW w:w="0" w:type="auto"/>
            <w:hideMark/>
          </w:tcPr>
          <w:p w:rsidR="00794981" w:rsidRDefault="00794981">
            <w:pPr>
              <w:jc w:val="center"/>
              <w:rPr>
                <w:b/>
                <w:bCs/>
                <w:sz w:val="24"/>
                <w:szCs w:val="24"/>
              </w:rPr>
            </w:pPr>
            <w:r>
              <w:rPr>
                <w:rStyle w:val="Strong"/>
              </w:rPr>
              <w:t>Definition</w:t>
            </w:r>
          </w:p>
        </w:tc>
        <w:tc>
          <w:tcPr>
            <w:tcW w:w="0" w:type="auto"/>
            <w:hideMark/>
          </w:tcPr>
          <w:p w:rsidR="00794981" w:rsidRDefault="00794981">
            <w:pPr>
              <w:jc w:val="center"/>
              <w:rPr>
                <w:b/>
                <w:bCs/>
                <w:sz w:val="24"/>
                <w:szCs w:val="24"/>
              </w:rPr>
            </w:pPr>
            <w:r>
              <w:rPr>
                <w:rStyle w:val="Strong"/>
              </w:rPr>
              <w:t>Instruments</w:t>
            </w:r>
          </w:p>
        </w:tc>
      </w:tr>
      <w:tr w:rsidR="00794981" w:rsidTr="00794981">
        <w:tc>
          <w:tcPr>
            <w:tcW w:w="0" w:type="auto"/>
            <w:hideMark/>
          </w:tcPr>
          <w:p w:rsidR="00794981" w:rsidRDefault="00794981">
            <w:pPr>
              <w:rPr>
                <w:sz w:val="24"/>
                <w:szCs w:val="24"/>
              </w:rPr>
            </w:pPr>
            <w:r>
              <w:rPr>
                <w:rStyle w:val="Strong"/>
              </w:rPr>
              <w:t>Money Market</w:t>
            </w:r>
          </w:p>
        </w:tc>
        <w:tc>
          <w:tcPr>
            <w:tcW w:w="0" w:type="auto"/>
            <w:hideMark/>
          </w:tcPr>
          <w:p w:rsidR="00794981" w:rsidRDefault="00794981">
            <w:pPr>
              <w:rPr>
                <w:sz w:val="24"/>
                <w:szCs w:val="24"/>
              </w:rPr>
            </w:pPr>
            <w:r>
              <w:t>The market for short-term debt securities.</w:t>
            </w:r>
          </w:p>
        </w:tc>
        <w:tc>
          <w:tcPr>
            <w:tcW w:w="0" w:type="auto"/>
            <w:hideMark/>
          </w:tcPr>
          <w:p w:rsidR="00794981" w:rsidRDefault="00794981" w:rsidP="00794981">
            <w:pPr>
              <w:pStyle w:val="ListParagraph"/>
              <w:numPr>
                <w:ilvl w:val="0"/>
                <w:numId w:val="20"/>
              </w:numPr>
            </w:pPr>
            <w:r>
              <w:t>Treasury bills</w:t>
            </w:r>
          </w:p>
          <w:p w:rsidR="00794981" w:rsidRDefault="00794981" w:rsidP="00794981">
            <w:pPr>
              <w:pStyle w:val="ListParagraph"/>
              <w:numPr>
                <w:ilvl w:val="0"/>
                <w:numId w:val="20"/>
              </w:numPr>
            </w:pPr>
            <w:r>
              <w:t>Commercial paper</w:t>
            </w:r>
          </w:p>
          <w:p w:rsidR="00794981" w:rsidRPr="00794981" w:rsidRDefault="00794981" w:rsidP="00794981">
            <w:pPr>
              <w:pStyle w:val="ListParagraph"/>
              <w:numPr>
                <w:ilvl w:val="0"/>
                <w:numId w:val="20"/>
              </w:numPr>
              <w:rPr>
                <w:sz w:val="24"/>
                <w:szCs w:val="24"/>
              </w:rPr>
            </w:pPr>
            <w:r>
              <w:t>Certificates of deposit</w:t>
            </w:r>
          </w:p>
        </w:tc>
      </w:tr>
      <w:tr w:rsidR="00794981" w:rsidTr="00794981">
        <w:tc>
          <w:tcPr>
            <w:tcW w:w="0" w:type="auto"/>
            <w:hideMark/>
          </w:tcPr>
          <w:p w:rsidR="00794981" w:rsidRDefault="00794981">
            <w:pPr>
              <w:rPr>
                <w:sz w:val="24"/>
                <w:szCs w:val="24"/>
              </w:rPr>
            </w:pPr>
            <w:r>
              <w:rPr>
                <w:rStyle w:val="Strong"/>
              </w:rPr>
              <w:t>Capital Market</w:t>
            </w:r>
          </w:p>
        </w:tc>
        <w:tc>
          <w:tcPr>
            <w:tcW w:w="0" w:type="auto"/>
            <w:hideMark/>
          </w:tcPr>
          <w:p w:rsidR="00794981" w:rsidRDefault="00794981">
            <w:pPr>
              <w:rPr>
                <w:sz w:val="24"/>
                <w:szCs w:val="24"/>
              </w:rPr>
            </w:pPr>
            <w:r>
              <w:t>The market for long-term debt and equity securities.</w:t>
            </w:r>
          </w:p>
        </w:tc>
        <w:tc>
          <w:tcPr>
            <w:tcW w:w="0" w:type="auto"/>
            <w:hideMark/>
          </w:tcPr>
          <w:p w:rsidR="00794981" w:rsidRDefault="00794981" w:rsidP="00794981">
            <w:pPr>
              <w:pStyle w:val="ListParagraph"/>
              <w:numPr>
                <w:ilvl w:val="0"/>
                <w:numId w:val="21"/>
              </w:numPr>
            </w:pPr>
            <w:r>
              <w:t>Stocks</w:t>
            </w:r>
          </w:p>
          <w:p w:rsidR="00794981" w:rsidRDefault="00794981" w:rsidP="00794981">
            <w:pPr>
              <w:pStyle w:val="ListParagraph"/>
              <w:numPr>
                <w:ilvl w:val="0"/>
                <w:numId w:val="21"/>
              </w:numPr>
            </w:pPr>
            <w:r>
              <w:t>Bonds</w:t>
            </w:r>
          </w:p>
          <w:p w:rsidR="00794981" w:rsidRPr="00794981" w:rsidRDefault="00794981" w:rsidP="00794981">
            <w:pPr>
              <w:pStyle w:val="ListParagraph"/>
              <w:numPr>
                <w:ilvl w:val="0"/>
                <w:numId w:val="21"/>
              </w:numPr>
              <w:rPr>
                <w:sz w:val="24"/>
                <w:szCs w:val="24"/>
              </w:rPr>
            </w:pPr>
            <w:r>
              <w:t>Debentures</w:t>
            </w:r>
          </w:p>
        </w:tc>
      </w:tr>
    </w:tbl>
    <w:p w:rsidR="00C261E2" w:rsidRDefault="00C261E2" w:rsidP="00794981">
      <w:pPr>
        <w:pStyle w:val="Heading3"/>
      </w:pPr>
    </w:p>
    <w:p w:rsidR="00C261E2" w:rsidRDefault="00C261E2" w:rsidP="00C261E2">
      <w:pPr>
        <w:rPr>
          <w:rFonts w:asciiTheme="majorHAnsi" w:eastAsiaTheme="majorEastAsia" w:hAnsiTheme="majorHAnsi" w:cstheme="majorBidi"/>
          <w:color w:val="4F81BD" w:themeColor="accent1"/>
        </w:rPr>
      </w:pPr>
      <w:r>
        <w:br w:type="page"/>
      </w:r>
    </w:p>
    <w:p w:rsidR="00794981" w:rsidRDefault="00794981" w:rsidP="00F07956">
      <w:pPr>
        <w:pStyle w:val="Heading2"/>
        <w:jc w:val="center"/>
      </w:pPr>
      <w:bookmarkStart w:id="52" w:name="_Toc168494049"/>
      <w:r>
        <w:lastRenderedPageBreak/>
        <w:t>Innovations in Banking</w:t>
      </w:r>
      <w:bookmarkEnd w:id="52"/>
    </w:p>
    <w:p w:rsidR="00C261E2" w:rsidRPr="00C261E2" w:rsidRDefault="00C261E2" w:rsidP="00C261E2"/>
    <w:tbl>
      <w:tblPr>
        <w:tblStyle w:val="TableGrid"/>
        <w:tblW w:w="0" w:type="auto"/>
        <w:tblLook w:val="04A0" w:firstRow="1" w:lastRow="0" w:firstColumn="1" w:lastColumn="0" w:noHBand="0" w:noVBand="1"/>
      </w:tblPr>
      <w:tblGrid>
        <w:gridCol w:w="2183"/>
        <w:gridCol w:w="4844"/>
        <w:gridCol w:w="2549"/>
      </w:tblGrid>
      <w:tr w:rsidR="00C261E2" w:rsidTr="00C261E2">
        <w:tc>
          <w:tcPr>
            <w:tcW w:w="0" w:type="auto"/>
            <w:hideMark/>
          </w:tcPr>
          <w:p w:rsidR="00794981" w:rsidRDefault="00794981">
            <w:pPr>
              <w:jc w:val="center"/>
              <w:rPr>
                <w:b/>
                <w:bCs/>
                <w:sz w:val="24"/>
                <w:szCs w:val="24"/>
              </w:rPr>
            </w:pPr>
            <w:r>
              <w:rPr>
                <w:rStyle w:val="Strong"/>
              </w:rPr>
              <w:t>Innovation</w:t>
            </w:r>
          </w:p>
        </w:tc>
        <w:tc>
          <w:tcPr>
            <w:tcW w:w="0" w:type="auto"/>
            <w:hideMark/>
          </w:tcPr>
          <w:p w:rsidR="00794981" w:rsidRDefault="00794981">
            <w:pPr>
              <w:jc w:val="center"/>
              <w:rPr>
                <w:b/>
                <w:bCs/>
                <w:sz w:val="24"/>
                <w:szCs w:val="24"/>
              </w:rPr>
            </w:pPr>
            <w:r>
              <w:rPr>
                <w:rStyle w:val="Strong"/>
              </w:rPr>
              <w:t>Definition</w:t>
            </w:r>
          </w:p>
        </w:tc>
        <w:tc>
          <w:tcPr>
            <w:tcW w:w="0" w:type="auto"/>
            <w:hideMark/>
          </w:tcPr>
          <w:p w:rsidR="00794981" w:rsidRDefault="00794981">
            <w:pPr>
              <w:jc w:val="center"/>
              <w:rPr>
                <w:b/>
                <w:bCs/>
                <w:sz w:val="24"/>
                <w:szCs w:val="24"/>
              </w:rPr>
            </w:pPr>
            <w:r>
              <w:rPr>
                <w:rStyle w:val="Strong"/>
              </w:rPr>
              <w:t>Examples/Impact</w:t>
            </w:r>
          </w:p>
        </w:tc>
      </w:tr>
      <w:tr w:rsidR="00C261E2" w:rsidTr="00C261E2">
        <w:tc>
          <w:tcPr>
            <w:tcW w:w="0" w:type="auto"/>
            <w:hideMark/>
          </w:tcPr>
          <w:p w:rsidR="00794981" w:rsidRDefault="00794981">
            <w:pPr>
              <w:rPr>
                <w:sz w:val="24"/>
                <w:szCs w:val="24"/>
              </w:rPr>
            </w:pPr>
            <w:proofErr w:type="spellStart"/>
            <w:r>
              <w:rPr>
                <w:rStyle w:val="Strong"/>
              </w:rPr>
              <w:t>Fintech</w:t>
            </w:r>
            <w:proofErr w:type="spellEnd"/>
          </w:p>
        </w:tc>
        <w:tc>
          <w:tcPr>
            <w:tcW w:w="0" w:type="auto"/>
            <w:hideMark/>
          </w:tcPr>
          <w:p w:rsidR="00794981" w:rsidRDefault="00794981">
            <w:pPr>
              <w:rPr>
                <w:sz w:val="24"/>
                <w:szCs w:val="24"/>
              </w:rPr>
            </w:pPr>
            <w:r>
              <w:t>Technology-driven financial services and products.</w:t>
            </w:r>
          </w:p>
        </w:tc>
        <w:tc>
          <w:tcPr>
            <w:tcW w:w="0" w:type="auto"/>
            <w:hideMark/>
          </w:tcPr>
          <w:p w:rsidR="00C261E2" w:rsidRDefault="00C261E2" w:rsidP="00C261E2">
            <w:pPr>
              <w:pStyle w:val="ListParagraph"/>
              <w:numPr>
                <w:ilvl w:val="0"/>
                <w:numId w:val="22"/>
              </w:numPr>
            </w:pPr>
            <w:r>
              <w:t>Mobile banking apps</w:t>
            </w:r>
          </w:p>
          <w:p w:rsidR="00C261E2" w:rsidRDefault="00794981" w:rsidP="00C261E2">
            <w:pPr>
              <w:pStyle w:val="ListParagraph"/>
              <w:numPr>
                <w:ilvl w:val="0"/>
                <w:numId w:val="22"/>
              </w:numPr>
            </w:pPr>
            <w:r>
              <w:t>Peer</w:t>
            </w:r>
            <w:r w:rsidR="00C261E2">
              <w:t>-to-peer lending platforms</w:t>
            </w:r>
          </w:p>
          <w:p w:rsidR="00794981" w:rsidRPr="00C261E2" w:rsidRDefault="00794981" w:rsidP="00C261E2">
            <w:pPr>
              <w:pStyle w:val="ListParagraph"/>
              <w:numPr>
                <w:ilvl w:val="0"/>
                <w:numId w:val="22"/>
              </w:numPr>
              <w:rPr>
                <w:sz w:val="24"/>
                <w:szCs w:val="24"/>
              </w:rPr>
            </w:pPr>
            <w:proofErr w:type="spellStart"/>
            <w:r>
              <w:t>Robo</w:t>
            </w:r>
            <w:proofErr w:type="spellEnd"/>
            <w:r>
              <w:t>-advisors</w:t>
            </w:r>
          </w:p>
        </w:tc>
      </w:tr>
      <w:tr w:rsidR="00C261E2" w:rsidTr="00C261E2">
        <w:tc>
          <w:tcPr>
            <w:tcW w:w="0" w:type="auto"/>
            <w:hideMark/>
          </w:tcPr>
          <w:p w:rsidR="00794981" w:rsidRDefault="00794981">
            <w:pPr>
              <w:rPr>
                <w:sz w:val="24"/>
                <w:szCs w:val="24"/>
              </w:rPr>
            </w:pPr>
            <w:proofErr w:type="spellStart"/>
            <w:r>
              <w:rPr>
                <w:rStyle w:val="Strong"/>
              </w:rPr>
              <w:t>Cryptocurrencies</w:t>
            </w:r>
            <w:proofErr w:type="spellEnd"/>
            <w:r>
              <w:rPr>
                <w:rStyle w:val="Strong"/>
              </w:rPr>
              <w:t xml:space="preserve"> and </w:t>
            </w:r>
            <w:proofErr w:type="spellStart"/>
            <w:r>
              <w:rPr>
                <w:rStyle w:val="Strong"/>
              </w:rPr>
              <w:t>Blockchain</w:t>
            </w:r>
            <w:proofErr w:type="spellEnd"/>
          </w:p>
        </w:tc>
        <w:tc>
          <w:tcPr>
            <w:tcW w:w="0" w:type="auto"/>
            <w:hideMark/>
          </w:tcPr>
          <w:p w:rsidR="00794981" w:rsidRDefault="00794981">
            <w:pPr>
              <w:rPr>
                <w:sz w:val="24"/>
                <w:szCs w:val="24"/>
              </w:rPr>
            </w:pPr>
            <w:r>
              <w:t>Changing the landscape of payments, investments, and banking with decentralized digital currencies and secure, transparent transaction ledgers.</w:t>
            </w:r>
          </w:p>
        </w:tc>
        <w:tc>
          <w:tcPr>
            <w:tcW w:w="0" w:type="auto"/>
            <w:hideMark/>
          </w:tcPr>
          <w:p w:rsidR="00794981" w:rsidRDefault="00794981">
            <w:pPr>
              <w:rPr>
                <w:sz w:val="24"/>
                <w:szCs w:val="24"/>
              </w:rPr>
            </w:pPr>
            <w:r>
              <w:t>N/A</w:t>
            </w:r>
          </w:p>
        </w:tc>
      </w:tr>
    </w:tbl>
    <w:p w:rsidR="00794981" w:rsidRDefault="00794981" w:rsidP="00F6596A"/>
    <w:p w:rsidR="00C261E2" w:rsidRDefault="00C261E2" w:rsidP="00F6596A"/>
    <w:p w:rsidR="00C261E2" w:rsidRDefault="00C261E2" w:rsidP="00F6596A"/>
    <w:p w:rsidR="00C261E2" w:rsidRDefault="00C261E2" w:rsidP="00F6596A"/>
    <w:p w:rsidR="00C261E2" w:rsidRDefault="00C261E2" w:rsidP="00F6596A"/>
    <w:p w:rsidR="00C261E2" w:rsidRDefault="00C261E2" w:rsidP="00F6596A"/>
    <w:p w:rsidR="00C261E2" w:rsidRDefault="00C261E2" w:rsidP="00F6596A"/>
    <w:p w:rsidR="00C261E2" w:rsidRDefault="00C261E2" w:rsidP="00F6596A"/>
    <w:p w:rsidR="00C261E2" w:rsidRDefault="00C261E2" w:rsidP="00F6596A"/>
    <w:p w:rsidR="00C261E2" w:rsidRDefault="00C261E2" w:rsidP="00F6596A"/>
    <w:p w:rsidR="00C261E2" w:rsidRDefault="00C261E2" w:rsidP="00F6596A"/>
    <w:p w:rsidR="00C261E2" w:rsidRDefault="00C261E2" w:rsidP="00F6596A"/>
    <w:p w:rsidR="00C261E2" w:rsidRDefault="00C261E2" w:rsidP="00F6596A"/>
    <w:p w:rsidR="00C261E2" w:rsidRDefault="00C261E2" w:rsidP="00F6596A"/>
    <w:p w:rsidR="00C261E2" w:rsidRDefault="00C261E2" w:rsidP="00F6596A"/>
    <w:p w:rsidR="00C261E2" w:rsidRDefault="00C261E2" w:rsidP="00F6596A"/>
    <w:p w:rsidR="00C261E2" w:rsidRDefault="00C261E2" w:rsidP="00F6596A"/>
    <w:p w:rsidR="00C261E2" w:rsidRPr="00F6596A" w:rsidRDefault="00C261E2" w:rsidP="00C261E2">
      <w:pPr>
        <w:pStyle w:val="Title"/>
        <w:jc w:val="right"/>
      </w:pPr>
      <w:r>
        <w:t>Thank You</w:t>
      </w:r>
    </w:p>
    <w:sectPr w:rsidR="00C261E2" w:rsidRPr="00F65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EA6"/>
    <w:multiLevelType w:val="hybridMultilevel"/>
    <w:tmpl w:val="F622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B1A8E"/>
    <w:multiLevelType w:val="multilevel"/>
    <w:tmpl w:val="CF22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60C10"/>
    <w:multiLevelType w:val="multilevel"/>
    <w:tmpl w:val="F71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95A5D"/>
    <w:multiLevelType w:val="hybridMultilevel"/>
    <w:tmpl w:val="BD9E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04051"/>
    <w:multiLevelType w:val="hybridMultilevel"/>
    <w:tmpl w:val="41BE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22D37"/>
    <w:multiLevelType w:val="hybridMultilevel"/>
    <w:tmpl w:val="819C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E1D47"/>
    <w:multiLevelType w:val="hybridMultilevel"/>
    <w:tmpl w:val="E48C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DF4077"/>
    <w:multiLevelType w:val="hybridMultilevel"/>
    <w:tmpl w:val="D232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50215"/>
    <w:multiLevelType w:val="multilevel"/>
    <w:tmpl w:val="FBF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150A3C"/>
    <w:multiLevelType w:val="multilevel"/>
    <w:tmpl w:val="C5CC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D127B0"/>
    <w:multiLevelType w:val="hybridMultilevel"/>
    <w:tmpl w:val="8E62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B7675"/>
    <w:multiLevelType w:val="hybridMultilevel"/>
    <w:tmpl w:val="69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D4471C"/>
    <w:multiLevelType w:val="multilevel"/>
    <w:tmpl w:val="69C0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EF65DD"/>
    <w:multiLevelType w:val="multilevel"/>
    <w:tmpl w:val="37DC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102599"/>
    <w:multiLevelType w:val="hybridMultilevel"/>
    <w:tmpl w:val="1460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6A5983"/>
    <w:multiLevelType w:val="multilevel"/>
    <w:tmpl w:val="A17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45172F"/>
    <w:multiLevelType w:val="multilevel"/>
    <w:tmpl w:val="3204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CF4FEC"/>
    <w:multiLevelType w:val="multilevel"/>
    <w:tmpl w:val="A71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385969"/>
    <w:multiLevelType w:val="hybridMultilevel"/>
    <w:tmpl w:val="A800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F40A08"/>
    <w:multiLevelType w:val="hybridMultilevel"/>
    <w:tmpl w:val="27B4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01619"/>
    <w:multiLevelType w:val="hybridMultilevel"/>
    <w:tmpl w:val="C01E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861F60"/>
    <w:multiLevelType w:val="multilevel"/>
    <w:tmpl w:val="C0EE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2"/>
  </w:num>
  <w:num w:numId="4">
    <w:abstractNumId w:val="15"/>
  </w:num>
  <w:num w:numId="5">
    <w:abstractNumId w:val="8"/>
  </w:num>
  <w:num w:numId="6">
    <w:abstractNumId w:val="1"/>
  </w:num>
  <w:num w:numId="7">
    <w:abstractNumId w:val="17"/>
  </w:num>
  <w:num w:numId="8">
    <w:abstractNumId w:val="16"/>
  </w:num>
  <w:num w:numId="9">
    <w:abstractNumId w:val="9"/>
  </w:num>
  <w:num w:numId="10">
    <w:abstractNumId w:val="13"/>
  </w:num>
  <w:num w:numId="11">
    <w:abstractNumId w:val="6"/>
  </w:num>
  <w:num w:numId="12">
    <w:abstractNumId w:val="11"/>
  </w:num>
  <w:num w:numId="13">
    <w:abstractNumId w:val="3"/>
  </w:num>
  <w:num w:numId="14">
    <w:abstractNumId w:val="10"/>
  </w:num>
  <w:num w:numId="15">
    <w:abstractNumId w:val="18"/>
  </w:num>
  <w:num w:numId="16">
    <w:abstractNumId w:val="0"/>
  </w:num>
  <w:num w:numId="17">
    <w:abstractNumId w:val="20"/>
  </w:num>
  <w:num w:numId="18">
    <w:abstractNumId w:val="19"/>
  </w:num>
  <w:num w:numId="19">
    <w:abstractNumId w:val="14"/>
  </w:num>
  <w:num w:numId="20">
    <w:abstractNumId w:val="4"/>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67E"/>
    <w:rsid w:val="000063F1"/>
    <w:rsid w:val="00051100"/>
    <w:rsid w:val="002B19E7"/>
    <w:rsid w:val="006D19B4"/>
    <w:rsid w:val="00794981"/>
    <w:rsid w:val="00BD24D8"/>
    <w:rsid w:val="00C261E2"/>
    <w:rsid w:val="00CB1119"/>
    <w:rsid w:val="00E52DDC"/>
    <w:rsid w:val="00F07956"/>
    <w:rsid w:val="00F6596A"/>
    <w:rsid w:val="00FF6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67E"/>
  </w:style>
  <w:style w:type="paragraph" w:styleId="Heading1">
    <w:name w:val="heading 1"/>
    <w:basedOn w:val="Normal"/>
    <w:next w:val="Normal"/>
    <w:link w:val="Heading1Char"/>
    <w:uiPriority w:val="9"/>
    <w:qFormat/>
    <w:rsid w:val="00FF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6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66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59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6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6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667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65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96A"/>
    <w:rPr>
      <w:rFonts w:ascii="Tahoma" w:hAnsi="Tahoma" w:cs="Tahoma"/>
      <w:sz w:val="16"/>
      <w:szCs w:val="16"/>
    </w:rPr>
  </w:style>
  <w:style w:type="character" w:customStyle="1" w:styleId="Heading4Char">
    <w:name w:val="Heading 4 Char"/>
    <w:basedOn w:val="DefaultParagraphFont"/>
    <w:link w:val="Heading4"/>
    <w:uiPriority w:val="9"/>
    <w:rsid w:val="00F6596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6596A"/>
    <w:rPr>
      <w:b/>
      <w:bCs/>
    </w:rPr>
  </w:style>
  <w:style w:type="paragraph" w:styleId="ListParagraph">
    <w:name w:val="List Paragraph"/>
    <w:basedOn w:val="Normal"/>
    <w:uiPriority w:val="34"/>
    <w:qFormat/>
    <w:rsid w:val="00794981"/>
    <w:pPr>
      <w:ind w:left="720"/>
      <w:contextualSpacing/>
    </w:pPr>
  </w:style>
  <w:style w:type="table" w:styleId="TableGrid">
    <w:name w:val="Table Grid"/>
    <w:basedOn w:val="TableNormal"/>
    <w:uiPriority w:val="59"/>
    <w:rsid w:val="007949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261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61E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F07956"/>
    <w:pPr>
      <w:outlineLvl w:val="9"/>
    </w:pPr>
    <w:rPr>
      <w:lang w:eastAsia="ja-JP"/>
    </w:rPr>
  </w:style>
  <w:style w:type="paragraph" w:styleId="TOC1">
    <w:name w:val="toc 1"/>
    <w:basedOn w:val="Normal"/>
    <w:next w:val="Normal"/>
    <w:autoRedefine/>
    <w:uiPriority w:val="39"/>
    <w:unhideWhenUsed/>
    <w:rsid w:val="00F07956"/>
    <w:pPr>
      <w:spacing w:after="100"/>
    </w:pPr>
  </w:style>
  <w:style w:type="paragraph" w:styleId="TOC2">
    <w:name w:val="toc 2"/>
    <w:basedOn w:val="Normal"/>
    <w:next w:val="Normal"/>
    <w:autoRedefine/>
    <w:uiPriority w:val="39"/>
    <w:unhideWhenUsed/>
    <w:rsid w:val="00F07956"/>
    <w:pPr>
      <w:spacing w:after="100"/>
      <w:ind w:left="220"/>
    </w:pPr>
  </w:style>
  <w:style w:type="paragraph" w:styleId="TOC3">
    <w:name w:val="toc 3"/>
    <w:basedOn w:val="Normal"/>
    <w:next w:val="Normal"/>
    <w:autoRedefine/>
    <w:uiPriority w:val="39"/>
    <w:unhideWhenUsed/>
    <w:rsid w:val="00F07956"/>
    <w:pPr>
      <w:spacing w:after="100"/>
      <w:ind w:left="440"/>
    </w:pPr>
  </w:style>
  <w:style w:type="character" w:styleId="Hyperlink">
    <w:name w:val="Hyperlink"/>
    <w:basedOn w:val="DefaultParagraphFont"/>
    <w:uiPriority w:val="99"/>
    <w:unhideWhenUsed/>
    <w:rsid w:val="00F079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67E"/>
  </w:style>
  <w:style w:type="paragraph" w:styleId="Heading1">
    <w:name w:val="heading 1"/>
    <w:basedOn w:val="Normal"/>
    <w:next w:val="Normal"/>
    <w:link w:val="Heading1Char"/>
    <w:uiPriority w:val="9"/>
    <w:qFormat/>
    <w:rsid w:val="00FF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6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66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59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6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6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667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65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96A"/>
    <w:rPr>
      <w:rFonts w:ascii="Tahoma" w:hAnsi="Tahoma" w:cs="Tahoma"/>
      <w:sz w:val="16"/>
      <w:szCs w:val="16"/>
    </w:rPr>
  </w:style>
  <w:style w:type="character" w:customStyle="1" w:styleId="Heading4Char">
    <w:name w:val="Heading 4 Char"/>
    <w:basedOn w:val="DefaultParagraphFont"/>
    <w:link w:val="Heading4"/>
    <w:uiPriority w:val="9"/>
    <w:rsid w:val="00F6596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6596A"/>
    <w:rPr>
      <w:b/>
      <w:bCs/>
    </w:rPr>
  </w:style>
  <w:style w:type="paragraph" w:styleId="ListParagraph">
    <w:name w:val="List Paragraph"/>
    <w:basedOn w:val="Normal"/>
    <w:uiPriority w:val="34"/>
    <w:qFormat/>
    <w:rsid w:val="00794981"/>
    <w:pPr>
      <w:ind w:left="720"/>
      <w:contextualSpacing/>
    </w:pPr>
  </w:style>
  <w:style w:type="table" w:styleId="TableGrid">
    <w:name w:val="Table Grid"/>
    <w:basedOn w:val="TableNormal"/>
    <w:uiPriority w:val="59"/>
    <w:rsid w:val="007949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261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61E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F07956"/>
    <w:pPr>
      <w:outlineLvl w:val="9"/>
    </w:pPr>
    <w:rPr>
      <w:lang w:eastAsia="ja-JP"/>
    </w:rPr>
  </w:style>
  <w:style w:type="paragraph" w:styleId="TOC1">
    <w:name w:val="toc 1"/>
    <w:basedOn w:val="Normal"/>
    <w:next w:val="Normal"/>
    <w:autoRedefine/>
    <w:uiPriority w:val="39"/>
    <w:unhideWhenUsed/>
    <w:rsid w:val="00F07956"/>
    <w:pPr>
      <w:spacing w:after="100"/>
    </w:pPr>
  </w:style>
  <w:style w:type="paragraph" w:styleId="TOC2">
    <w:name w:val="toc 2"/>
    <w:basedOn w:val="Normal"/>
    <w:next w:val="Normal"/>
    <w:autoRedefine/>
    <w:uiPriority w:val="39"/>
    <w:unhideWhenUsed/>
    <w:rsid w:val="00F07956"/>
    <w:pPr>
      <w:spacing w:after="100"/>
      <w:ind w:left="220"/>
    </w:pPr>
  </w:style>
  <w:style w:type="paragraph" w:styleId="TOC3">
    <w:name w:val="toc 3"/>
    <w:basedOn w:val="Normal"/>
    <w:next w:val="Normal"/>
    <w:autoRedefine/>
    <w:uiPriority w:val="39"/>
    <w:unhideWhenUsed/>
    <w:rsid w:val="00F07956"/>
    <w:pPr>
      <w:spacing w:after="100"/>
      <w:ind w:left="440"/>
    </w:pPr>
  </w:style>
  <w:style w:type="character" w:styleId="Hyperlink">
    <w:name w:val="Hyperlink"/>
    <w:basedOn w:val="DefaultParagraphFont"/>
    <w:uiPriority w:val="99"/>
    <w:unhideWhenUsed/>
    <w:rsid w:val="00F079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400493">
      <w:bodyDiv w:val="1"/>
      <w:marLeft w:val="0"/>
      <w:marRight w:val="0"/>
      <w:marTop w:val="0"/>
      <w:marBottom w:val="0"/>
      <w:divBdr>
        <w:top w:val="none" w:sz="0" w:space="0" w:color="auto"/>
        <w:left w:val="none" w:sz="0" w:space="0" w:color="auto"/>
        <w:bottom w:val="none" w:sz="0" w:space="0" w:color="auto"/>
        <w:right w:val="none" w:sz="0" w:space="0" w:color="auto"/>
      </w:divBdr>
    </w:div>
    <w:div w:id="910502392">
      <w:bodyDiv w:val="1"/>
      <w:marLeft w:val="0"/>
      <w:marRight w:val="0"/>
      <w:marTop w:val="0"/>
      <w:marBottom w:val="0"/>
      <w:divBdr>
        <w:top w:val="none" w:sz="0" w:space="0" w:color="auto"/>
        <w:left w:val="none" w:sz="0" w:space="0" w:color="auto"/>
        <w:bottom w:val="none" w:sz="0" w:space="0" w:color="auto"/>
        <w:right w:val="none" w:sz="0" w:space="0" w:color="auto"/>
      </w:divBdr>
    </w:div>
    <w:div w:id="1230968105">
      <w:bodyDiv w:val="1"/>
      <w:marLeft w:val="0"/>
      <w:marRight w:val="0"/>
      <w:marTop w:val="0"/>
      <w:marBottom w:val="0"/>
      <w:divBdr>
        <w:top w:val="none" w:sz="0" w:space="0" w:color="auto"/>
        <w:left w:val="none" w:sz="0" w:space="0" w:color="auto"/>
        <w:bottom w:val="none" w:sz="0" w:space="0" w:color="auto"/>
        <w:right w:val="none" w:sz="0" w:space="0" w:color="auto"/>
      </w:divBdr>
    </w:div>
    <w:div w:id="1343048431">
      <w:bodyDiv w:val="1"/>
      <w:marLeft w:val="0"/>
      <w:marRight w:val="0"/>
      <w:marTop w:val="0"/>
      <w:marBottom w:val="0"/>
      <w:divBdr>
        <w:top w:val="none" w:sz="0" w:space="0" w:color="auto"/>
        <w:left w:val="none" w:sz="0" w:space="0" w:color="auto"/>
        <w:bottom w:val="none" w:sz="0" w:space="0" w:color="auto"/>
        <w:right w:val="none" w:sz="0" w:space="0" w:color="auto"/>
      </w:divBdr>
    </w:div>
    <w:div w:id="1344942034">
      <w:bodyDiv w:val="1"/>
      <w:marLeft w:val="0"/>
      <w:marRight w:val="0"/>
      <w:marTop w:val="0"/>
      <w:marBottom w:val="0"/>
      <w:divBdr>
        <w:top w:val="none" w:sz="0" w:space="0" w:color="auto"/>
        <w:left w:val="none" w:sz="0" w:space="0" w:color="auto"/>
        <w:bottom w:val="none" w:sz="0" w:space="0" w:color="auto"/>
        <w:right w:val="none" w:sz="0" w:space="0" w:color="auto"/>
      </w:divBdr>
    </w:div>
    <w:div w:id="1392076250">
      <w:bodyDiv w:val="1"/>
      <w:marLeft w:val="0"/>
      <w:marRight w:val="0"/>
      <w:marTop w:val="0"/>
      <w:marBottom w:val="0"/>
      <w:divBdr>
        <w:top w:val="none" w:sz="0" w:space="0" w:color="auto"/>
        <w:left w:val="none" w:sz="0" w:space="0" w:color="auto"/>
        <w:bottom w:val="none" w:sz="0" w:space="0" w:color="auto"/>
        <w:right w:val="none" w:sz="0" w:space="0" w:color="auto"/>
      </w:divBdr>
    </w:div>
    <w:div w:id="1827353807">
      <w:bodyDiv w:val="1"/>
      <w:marLeft w:val="0"/>
      <w:marRight w:val="0"/>
      <w:marTop w:val="0"/>
      <w:marBottom w:val="0"/>
      <w:divBdr>
        <w:top w:val="none" w:sz="0" w:space="0" w:color="auto"/>
        <w:left w:val="none" w:sz="0" w:space="0" w:color="auto"/>
        <w:bottom w:val="none" w:sz="0" w:space="0" w:color="auto"/>
        <w:right w:val="none" w:sz="0" w:space="0" w:color="auto"/>
      </w:divBdr>
    </w:div>
    <w:div w:id="209265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9572D-2832-403E-BD97-41491D8A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2024-06-05T08:09:00Z</dcterms:created>
  <dcterms:modified xsi:type="dcterms:W3CDTF">2024-06-26T11:59:00Z</dcterms:modified>
</cp:coreProperties>
</file>