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2292" w:rsidRDefault="00342292" w:rsidP="00342292">
      <w:pPr>
        <w:pStyle w:val="Heading1"/>
        <w:spacing w:line="480" w:lineRule="auto"/>
        <w:jc w:val="center"/>
      </w:pPr>
      <w:bookmarkStart w:id="0" w:name="_Toc168681394"/>
      <w:bookmarkStart w:id="1" w:name="_Toc169018610"/>
      <w:bookmarkStart w:id="2" w:name="_Toc169099747"/>
      <w:bookmarkStart w:id="3" w:name="_Toc169194466"/>
      <w:bookmarkStart w:id="4" w:name="_Toc169526155"/>
      <w:bookmarkStart w:id="5" w:name="_Toc169624170"/>
      <w:r>
        <w:rPr>
          <w:noProof/>
        </w:rPr>
        <w:drawing>
          <wp:inline distT="0" distB="0" distL="0" distR="0" wp14:anchorId="31F35B71" wp14:editId="6007D14B">
            <wp:extent cx="2838450" cy="1287105"/>
            <wp:effectExtent l="0" t="0" r="0" b="8890"/>
            <wp:docPr id="5" name="Picture 5" descr="Quinte Financial Technologies | FinTech Sol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inte Financial Technologies | FinTech Solution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38450" cy="1287105"/>
                    </a:xfrm>
                    <a:prstGeom prst="rect">
                      <a:avLst/>
                    </a:prstGeom>
                    <a:noFill/>
                    <a:ln>
                      <a:noFill/>
                    </a:ln>
                  </pic:spPr>
                </pic:pic>
              </a:graphicData>
            </a:graphic>
          </wp:inline>
        </w:drawing>
      </w:r>
      <w:bookmarkEnd w:id="0"/>
      <w:bookmarkEnd w:id="1"/>
      <w:bookmarkEnd w:id="2"/>
      <w:bookmarkEnd w:id="3"/>
      <w:bookmarkEnd w:id="4"/>
      <w:bookmarkEnd w:id="5"/>
    </w:p>
    <w:p w:rsidR="00342292" w:rsidRDefault="00342292" w:rsidP="00342292">
      <w:pPr>
        <w:jc w:val="center"/>
        <w:rPr>
          <w:b/>
          <w:sz w:val="28"/>
        </w:rPr>
      </w:pPr>
      <w:bookmarkStart w:id="6" w:name="_Toc168493927"/>
      <w:bookmarkStart w:id="7" w:name="_Toc168494038"/>
      <w:bookmarkStart w:id="8" w:name="_Toc168681395"/>
      <w:bookmarkStart w:id="9" w:name="_Toc169018611"/>
      <w:bookmarkStart w:id="10" w:name="_Toc169099748"/>
      <w:bookmarkStart w:id="11" w:name="_Toc169194467"/>
      <w:bookmarkStart w:id="12" w:name="_Toc169526156"/>
      <w:bookmarkStart w:id="13" w:name="_Toc169624171"/>
    </w:p>
    <w:p w:rsidR="00342292" w:rsidRPr="00DF16FE" w:rsidRDefault="00342292" w:rsidP="00342292">
      <w:pPr>
        <w:jc w:val="center"/>
        <w:rPr>
          <w:b/>
          <w:sz w:val="28"/>
        </w:rPr>
      </w:pPr>
      <w:r w:rsidRPr="00DF16FE">
        <w:rPr>
          <w:b/>
          <w:sz w:val="28"/>
        </w:rPr>
        <w:t xml:space="preserve">Assignment </w:t>
      </w:r>
      <w:bookmarkEnd w:id="6"/>
      <w:bookmarkEnd w:id="7"/>
      <w:bookmarkEnd w:id="8"/>
      <w:bookmarkEnd w:id="9"/>
      <w:bookmarkEnd w:id="10"/>
      <w:bookmarkEnd w:id="11"/>
      <w:r w:rsidRPr="00DF16FE">
        <w:rPr>
          <w:b/>
          <w:sz w:val="28"/>
        </w:rPr>
        <w:t>on</w:t>
      </w:r>
      <w:bookmarkEnd w:id="12"/>
      <w:bookmarkEnd w:id="13"/>
    </w:p>
    <w:p w:rsidR="00342292" w:rsidRDefault="00342292" w:rsidP="00342292">
      <w:pPr>
        <w:jc w:val="center"/>
        <w:rPr>
          <w:b/>
          <w:sz w:val="28"/>
        </w:rPr>
      </w:pPr>
      <w:r w:rsidRPr="00342292">
        <w:rPr>
          <w:b/>
          <w:sz w:val="28"/>
        </w:rPr>
        <w:t xml:space="preserve">FEDERAL DEPOSIT INSURANCE CORPORATION, </w:t>
      </w:r>
    </w:p>
    <w:p w:rsidR="00342292" w:rsidRDefault="00342292" w:rsidP="00342292">
      <w:pPr>
        <w:jc w:val="center"/>
        <w:rPr>
          <w:b/>
          <w:sz w:val="28"/>
        </w:rPr>
      </w:pPr>
      <w:r w:rsidRPr="00342292">
        <w:rPr>
          <w:b/>
          <w:sz w:val="28"/>
        </w:rPr>
        <w:t xml:space="preserve">OFFICE OF THE COMPTROLLER OF THE CURRENCY AND </w:t>
      </w:r>
    </w:p>
    <w:p w:rsidR="00342292" w:rsidRPr="00342292" w:rsidRDefault="00342292" w:rsidP="00342292">
      <w:pPr>
        <w:jc w:val="center"/>
        <w:rPr>
          <w:b/>
          <w:sz w:val="28"/>
        </w:rPr>
      </w:pPr>
      <w:r w:rsidRPr="00342292">
        <w:rPr>
          <w:b/>
          <w:sz w:val="28"/>
        </w:rPr>
        <w:t>THE FEDERAL RESERVE SYSTEM</w:t>
      </w:r>
    </w:p>
    <w:p w:rsidR="00342292" w:rsidRDefault="00342292" w:rsidP="00342292">
      <w:pPr>
        <w:jc w:val="center"/>
        <w:rPr>
          <w:b/>
          <w:sz w:val="28"/>
        </w:rPr>
      </w:pPr>
    </w:p>
    <w:p w:rsidR="00342292" w:rsidRPr="00DF16FE" w:rsidRDefault="00342292" w:rsidP="00342292">
      <w:pPr>
        <w:jc w:val="center"/>
        <w:rPr>
          <w:b/>
          <w:sz w:val="28"/>
        </w:rPr>
      </w:pPr>
    </w:p>
    <w:p w:rsidR="00342292" w:rsidRPr="00DF16FE" w:rsidRDefault="00342292" w:rsidP="00342292">
      <w:pPr>
        <w:jc w:val="center"/>
        <w:rPr>
          <w:b/>
          <w:sz w:val="28"/>
        </w:rPr>
      </w:pPr>
      <w:bookmarkStart w:id="14" w:name="_Toc168493929"/>
      <w:bookmarkStart w:id="15" w:name="_Toc168494040"/>
      <w:bookmarkStart w:id="16" w:name="_Toc168681398"/>
      <w:bookmarkStart w:id="17" w:name="_Toc169018613"/>
      <w:bookmarkStart w:id="18" w:name="_Toc169099751"/>
      <w:bookmarkStart w:id="19" w:name="_Toc169194470"/>
      <w:bookmarkStart w:id="20" w:name="_Toc169526158"/>
      <w:bookmarkStart w:id="21" w:name="_Toc169624173"/>
      <w:r w:rsidRPr="00DF16FE">
        <w:rPr>
          <w:b/>
          <w:sz w:val="28"/>
        </w:rPr>
        <w:t>Under Supervision of:</w:t>
      </w:r>
      <w:bookmarkEnd w:id="14"/>
      <w:bookmarkEnd w:id="15"/>
      <w:bookmarkEnd w:id="16"/>
      <w:bookmarkEnd w:id="17"/>
      <w:bookmarkEnd w:id="18"/>
      <w:bookmarkEnd w:id="19"/>
      <w:bookmarkEnd w:id="20"/>
      <w:bookmarkEnd w:id="21"/>
    </w:p>
    <w:p w:rsidR="00342292" w:rsidRPr="00DF16FE" w:rsidRDefault="00342292" w:rsidP="00342292">
      <w:pPr>
        <w:jc w:val="center"/>
        <w:rPr>
          <w:b/>
          <w:sz w:val="28"/>
        </w:rPr>
      </w:pPr>
      <w:bookmarkStart w:id="22" w:name="_Toc168493930"/>
      <w:bookmarkStart w:id="23" w:name="_Toc168494041"/>
      <w:bookmarkStart w:id="24" w:name="_Toc168681399"/>
      <w:bookmarkStart w:id="25" w:name="_Toc169018614"/>
      <w:bookmarkStart w:id="26" w:name="_Toc169099752"/>
      <w:bookmarkStart w:id="27" w:name="_Toc169194471"/>
      <w:bookmarkStart w:id="28" w:name="_Toc169526159"/>
      <w:bookmarkStart w:id="29" w:name="_Toc169624174"/>
      <w:r w:rsidRPr="00DF16FE">
        <w:rPr>
          <w:b/>
          <w:sz w:val="28"/>
        </w:rPr>
        <w:t xml:space="preserve">Mr. Mohammad </w:t>
      </w:r>
      <w:proofErr w:type="spellStart"/>
      <w:r w:rsidRPr="00DF16FE">
        <w:rPr>
          <w:b/>
          <w:sz w:val="28"/>
        </w:rPr>
        <w:t>Mozammil</w:t>
      </w:r>
      <w:bookmarkEnd w:id="22"/>
      <w:bookmarkEnd w:id="23"/>
      <w:bookmarkEnd w:id="24"/>
      <w:bookmarkEnd w:id="25"/>
      <w:bookmarkEnd w:id="26"/>
      <w:bookmarkEnd w:id="27"/>
      <w:bookmarkEnd w:id="28"/>
      <w:bookmarkEnd w:id="29"/>
      <w:proofErr w:type="spellEnd"/>
    </w:p>
    <w:p w:rsidR="00342292" w:rsidRDefault="00342292" w:rsidP="00342292">
      <w:pPr>
        <w:jc w:val="center"/>
        <w:rPr>
          <w:b/>
          <w:sz w:val="28"/>
        </w:rPr>
      </w:pPr>
      <w:bookmarkStart w:id="30" w:name="_Toc168493931"/>
      <w:bookmarkStart w:id="31" w:name="_Toc168494042"/>
      <w:bookmarkStart w:id="32" w:name="_Toc168681400"/>
      <w:bookmarkStart w:id="33" w:name="_Toc169018615"/>
      <w:bookmarkStart w:id="34" w:name="_Toc169099753"/>
      <w:bookmarkStart w:id="35" w:name="_Toc169194472"/>
      <w:bookmarkStart w:id="36" w:name="_Toc169526160"/>
      <w:bookmarkStart w:id="37" w:name="_Toc169624175"/>
    </w:p>
    <w:p w:rsidR="00342292" w:rsidRPr="00DF16FE" w:rsidRDefault="00342292" w:rsidP="00342292">
      <w:pPr>
        <w:jc w:val="center"/>
        <w:rPr>
          <w:b/>
          <w:sz w:val="28"/>
        </w:rPr>
      </w:pPr>
    </w:p>
    <w:p w:rsidR="00342292" w:rsidRPr="00DF16FE" w:rsidRDefault="00342292" w:rsidP="00342292">
      <w:pPr>
        <w:jc w:val="center"/>
        <w:rPr>
          <w:b/>
          <w:sz w:val="28"/>
        </w:rPr>
      </w:pPr>
      <w:r w:rsidRPr="00DF16FE">
        <w:rPr>
          <w:b/>
          <w:sz w:val="28"/>
        </w:rPr>
        <w:t>Submitted On:</w:t>
      </w:r>
    </w:p>
    <w:p w:rsidR="00342292" w:rsidRPr="00DF16FE" w:rsidRDefault="00E83D08" w:rsidP="00342292">
      <w:pPr>
        <w:jc w:val="center"/>
        <w:rPr>
          <w:b/>
          <w:sz w:val="28"/>
        </w:rPr>
      </w:pPr>
      <w:r>
        <w:rPr>
          <w:b/>
          <w:sz w:val="28"/>
        </w:rPr>
        <w:t>11</w:t>
      </w:r>
      <w:r w:rsidR="00342292" w:rsidRPr="00DF16FE">
        <w:rPr>
          <w:b/>
          <w:sz w:val="28"/>
          <w:vertAlign w:val="superscript"/>
        </w:rPr>
        <w:t xml:space="preserve">th </w:t>
      </w:r>
      <w:r w:rsidR="00342292" w:rsidRPr="00DF16FE">
        <w:rPr>
          <w:b/>
          <w:sz w:val="28"/>
        </w:rPr>
        <w:t>June, 2024</w:t>
      </w:r>
    </w:p>
    <w:p w:rsidR="00342292" w:rsidRPr="00DF16FE" w:rsidRDefault="00342292" w:rsidP="00342292">
      <w:pPr>
        <w:jc w:val="center"/>
        <w:rPr>
          <w:b/>
          <w:sz w:val="28"/>
        </w:rPr>
      </w:pPr>
    </w:p>
    <w:p w:rsidR="00342292" w:rsidRPr="00DF16FE" w:rsidRDefault="00342292" w:rsidP="00342292">
      <w:pPr>
        <w:jc w:val="center"/>
        <w:rPr>
          <w:b/>
          <w:sz w:val="28"/>
        </w:rPr>
      </w:pPr>
    </w:p>
    <w:p w:rsidR="00342292" w:rsidRPr="00DF16FE" w:rsidRDefault="00342292" w:rsidP="00342292">
      <w:pPr>
        <w:jc w:val="center"/>
        <w:rPr>
          <w:b/>
          <w:sz w:val="28"/>
        </w:rPr>
      </w:pPr>
      <w:r w:rsidRPr="00DF16FE">
        <w:rPr>
          <w:b/>
          <w:sz w:val="28"/>
        </w:rPr>
        <w:t>Submitted By:</w:t>
      </w:r>
      <w:bookmarkEnd w:id="30"/>
      <w:bookmarkEnd w:id="31"/>
      <w:bookmarkEnd w:id="32"/>
      <w:bookmarkEnd w:id="33"/>
      <w:bookmarkEnd w:id="34"/>
      <w:bookmarkEnd w:id="35"/>
      <w:bookmarkEnd w:id="36"/>
      <w:bookmarkEnd w:id="37"/>
    </w:p>
    <w:p w:rsidR="00342292" w:rsidRPr="00DF16FE" w:rsidRDefault="00342292" w:rsidP="00342292">
      <w:pPr>
        <w:jc w:val="center"/>
        <w:rPr>
          <w:b/>
          <w:sz w:val="28"/>
        </w:rPr>
      </w:pPr>
      <w:bookmarkStart w:id="38" w:name="_Toc168493932"/>
      <w:bookmarkStart w:id="39" w:name="_Toc168494043"/>
      <w:bookmarkStart w:id="40" w:name="_Toc168681401"/>
      <w:bookmarkStart w:id="41" w:name="_Toc169018616"/>
      <w:bookmarkStart w:id="42" w:name="_Toc169099754"/>
      <w:bookmarkStart w:id="43" w:name="_Toc169194473"/>
      <w:bookmarkStart w:id="44" w:name="_Toc169526161"/>
      <w:bookmarkStart w:id="45" w:name="_Toc169624176"/>
      <w:proofErr w:type="spellStart"/>
      <w:r w:rsidRPr="00DF16FE">
        <w:rPr>
          <w:b/>
          <w:sz w:val="28"/>
        </w:rPr>
        <w:t>Archita</w:t>
      </w:r>
      <w:proofErr w:type="spellEnd"/>
      <w:r w:rsidRPr="00DF16FE">
        <w:rPr>
          <w:b/>
          <w:sz w:val="28"/>
        </w:rPr>
        <w:t xml:space="preserve"> Gupta</w:t>
      </w:r>
      <w:bookmarkEnd w:id="38"/>
      <w:bookmarkEnd w:id="39"/>
      <w:bookmarkEnd w:id="40"/>
      <w:bookmarkEnd w:id="41"/>
      <w:bookmarkEnd w:id="42"/>
      <w:bookmarkEnd w:id="43"/>
      <w:bookmarkEnd w:id="44"/>
      <w:bookmarkEnd w:id="45"/>
    </w:p>
    <w:sdt>
      <w:sdtPr>
        <w:rPr>
          <w:rFonts w:asciiTheme="minorHAnsi" w:eastAsiaTheme="minorHAnsi" w:hAnsiTheme="minorHAnsi" w:cstheme="minorBidi"/>
          <w:b w:val="0"/>
          <w:bCs w:val="0"/>
          <w:color w:val="auto"/>
          <w:sz w:val="22"/>
          <w:szCs w:val="22"/>
          <w:lang w:eastAsia="en-US"/>
        </w:rPr>
        <w:id w:val="1687785069"/>
        <w:docPartObj>
          <w:docPartGallery w:val="Table of Contents"/>
          <w:docPartUnique/>
        </w:docPartObj>
      </w:sdtPr>
      <w:sdtEndPr>
        <w:rPr>
          <w:noProof/>
        </w:rPr>
      </w:sdtEndPr>
      <w:sdtContent>
        <w:p w:rsidR="001348BF" w:rsidRDefault="001348BF">
          <w:pPr>
            <w:pStyle w:val="TOCHeading"/>
          </w:pPr>
          <w:r>
            <w:t>Table of Contents</w:t>
          </w:r>
        </w:p>
        <w:p w:rsidR="001348BF" w:rsidRDefault="001348BF">
          <w:pPr>
            <w:pStyle w:val="TOC1"/>
            <w:tabs>
              <w:tab w:val="right" w:leader="dot" w:pos="9350"/>
            </w:tabs>
            <w:rPr>
              <w:noProof/>
            </w:rPr>
          </w:pPr>
          <w:r>
            <w:fldChar w:fldCharType="begin"/>
          </w:r>
          <w:r>
            <w:instrText xml:space="preserve"> TOC \o "1-3" \h \z \u </w:instrText>
          </w:r>
          <w:r>
            <w:fldChar w:fldCharType="separate"/>
          </w:r>
          <w:hyperlink w:anchor="_Toc169018617" w:history="1">
            <w:r w:rsidRPr="00E02930">
              <w:rPr>
                <w:rStyle w:val="Hyperlink"/>
                <w:noProof/>
              </w:rPr>
              <w:t>Federal Deposit Insurance Corporation (FDIC)</w:t>
            </w:r>
            <w:r>
              <w:rPr>
                <w:noProof/>
                <w:webHidden/>
              </w:rPr>
              <w:tab/>
            </w:r>
            <w:r>
              <w:rPr>
                <w:noProof/>
                <w:webHidden/>
              </w:rPr>
              <w:fldChar w:fldCharType="begin"/>
            </w:r>
            <w:r>
              <w:rPr>
                <w:noProof/>
                <w:webHidden/>
              </w:rPr>
              <w:instrText xml:space="preserve"> PAGEREF _Toc169018617 \h </w:instrText>
            </w:r>
            <w:r>
              <w:rPr>
                <w:noProof/>
                <w:webHidden/>
              </w:rPr>
            </w:r>
            <w:r>
              <w:rPr>
                <w:noProof/>
                <w:webHidden/>
              </w:rPr>
              <w:fldChar w:fldCharType="separate"/>
            </w:r>
            <w:r>
              <w:rPr>
                <w:noProof/>
                <w:webHidden/>
              </w:rPr>
              <w:t>2</w:t>
            </w:r>
            <w:r>
              <w:rPr>
                <w:noProof/>
                <w:webHidden/>
              </w:rPr>
              <w:fldChar w:fldCharType="end"/>
            </w:r>
          </w:hyperlink>
        </w:p>
        <w:p w:rsidR="001348BF" w:rsidRDefault="00AA44D6">
          <w:pPr>
            <w:pStyle w:val="TOC2"/>
            <w:tabs>
              <w:tab w:val="right" w:leader="dot" w:pos="9350"/>
            </w:tabs>
            <w:rPr>
              <w:noProof/>
            </w:rPr>
          </w:pPr>
          <w:hyperlink w:anchor="_Toc169018618" w:history="1">
            <w:r w:rsidR="001348BF" w:rsidRPr="00E02930">
              <w:rPr>
                <w:rStyle w:val="Hyperlink"/>
                <w:noProof/>
              </w:rPr>
              <w:t>Brief History:</w:t>
            </w:r>
            <w:r w:rsidR="001348BF">
              <w:rPr>
                <w:noProof/>
                <w:webHidden/>
              </w:rPr>
              <w:tab/>
            </w:r>
            <w:r w:rsidR="001348BF">
              <w:rPr>
                <w:noProof/>
                <w:webHidden/>
              </w:rPr>
              <w:fldChar w:fldCharType="begin"/>
            </w:r>
            <w:r w:rsidR="001348BF">
              <w:rPr>
                <w:noProof/>
                <w:webHidden/>
              </w:rPr>
              <w:instrText xml:space="preserve"> PAGEREF _Toc169018618 \h </w:instrText>
            </w:r>
            <w:r w:rsidR="001348BF">
              <w:rPr>
                <w:noProof/>
                <w:webHidden/>
              </w:rPr>
            </w:r>
            <w:r w:rsidR="001348BF">
              <w:rPr>
                <w:noProof/>
                <w:webHidden/>
              </w:rPr>
              <w:fldChar w:fldCharType="separate"/>
            </w:r>
            <w:r w:rsidR="001348BF">
              <w:rPr>
                <w:noProof/>
                <w:webHidden/>
              </w:rPr>
              <w:t>4</w:t>
            </w:r>
            <w:r w:rsidR="001348BF">
              <w:rPr>
                <w:noProof/>
                <w:webHidden/>
              </w:rPr>
              <w:fldChar w:fldCharType="end"/>
            </w:r>
          </w:hyperlink>
        </w:p>
        <w:p w:rsidR="001348BF" w:rsidRDefault="00AA44D6">
          <w:pPr>
            <w:pStyle w:val="TOC1"/>
            <w:tabs>
              <w:tab w:val="right" w:leader="dot" w:pos="9350"/>
            </w:tabs>
            <w:rPr>
              <w:noProof/>
            </w:rPr>
          </w:pPr>
          <w:hyperlink w:anchor="_Toc169018619" w:history="1">
            <w:r w:rsidR="001348BF" w:rsidRPr="00E02930">
              <w:rPr>
                <w:rStyle w:val="Hyperlink"/>
                <w:noProof/>
              </w:rPr>
              <w:t>Office of the Comptroller of the Currency (OCC)</w:t>
            </w:r>
            <w:r w:rsidR="001348BF">
              <w:rPr>
                <w:noProof/>
                <w:webHidden/>
              </w:rPr>
              <w:tab/>
            </w:r>
            <w:r w:rsidR="001348BF">
              <w:rPr>
                <w:noProof/>
                <w:webHidden/>
              </w:rPr>
              <w:fldChar w:fldCharType="begin"/>
            </w:r>
            <w:r w:rsidR="001348BF">
              <w:rPr>
                <w:noProof/>
                <w:webHidden/>
              </w:rPr>
              <w:instrText xml:space="preserve"> PAGEREF _Toc169018619 \h </w:instrText>
            </w:r>
            <w:r w:rsidR="001348BF">
              <w:rPr>
                <w:noProof/>
                <w:webHidden/>
              </w:rPr>
            </w:r>
            <w:r w:rsidR="001348BF">
              <w:rPr>
                <w:noProof/>
                <w:webHidden/>
              </w:rPr>
              <w:fldChar w:fldCharType="separate"/>
            </w:r>
            <w:r w:rsidR="001348BF">
              <w:rPr>
                <w:noProof/>
                <w:webHidden/>
              </w:rPr>
              <w:t>6</w:t>
            </w:r>
            <w:r w:rsidR="001348BF">
              <w:rPr>
                <w:noProof/>
                <w:webHidden/>
              </w:rPr>
              <w:fldChar w:fldCharType="end"/>
            </w:r>
          </w:hyperlink>
        </w:p>
        <w:p w:rsidR="001348BF" w:rsidRDefault="00AA44D6">
          <w:pPr>
            <w:pStyle w:val="TOC1"/>
            <w:tabs>
              <w:tab w:val="right" w:leader="dot" w:pos="9350"/>
            </w:tabs>
            <w:rPr>
              <w:noProof/>
            </w:rPr>
          </w:pPr>
          <w:hyperlink w:anchor="_Toc169018620" w:history="1">
            <w:r w:rsidR="001348BF" w:rsidRPr="00E02930">
              <w:rPr>
                <w:rStyle w:val="Hyperlink"/>
                <w:noProof/>
              </w:rPr>
              <w:t>The Federal Reserve System</w:t>
            </w:r>
            <w:r w:rsidR="001348BF">
              <w:rPr>
                <w:noProof/>
                <w:webHidden/>
              </w:rPr>
              <w:tab/>
            </w:r>
            <w:r w:rsidR="001348BF">
              <w:rPr>
                <w:noProof/>
                <w:webHidden/>
              </w:rPr>
              <w:fldChar w:fldCharType="begin"/>
            </w:r>
            <w:r w:rsidR="001348BF">
              <w:rPr>
                <w:noProof/>
                <w:webHidden/>
              </w:rPr>
              <w:instrText xml:space="preserve"> PAGEREF _Toc169018620 \h </w:instrText>
            </w:r>
            <w:r w:rsidR="001348BF">
              <w:rPr>
                <w:noProof/>
                <w:webHidden/>
              </w:rPr>
            </w:r>
            <w:r w:rsidR="001348BF">
              <w:rPr>
                <w:noProof/>
                <w:webHidden/>
              </w:rPr>
              <w:fldChar w:fldCharType="separate"/>
            </w:r>
            <w:r w:rsidR="001348BF">
              <w:rPr>
                <w:noProof/>
                <w:webHidden/>
              </w:rPr>
              <w:t>10</w:t>
            </w:r>
            <w:r w:rsidR="001348BF">
              <w:rPr>
                <w:noProof/>
                <w:webHidden/>
              </w:rPr>
              <w:fldChar w:fldCharType="end"/>
            </w:r>
          </w:hyperlink>
        </w:p>
        <w:p w:rsidR="001348BF" w:rsidRDefault="001348BF">
          <w:r>
            <w:rPr>
              <w:b/>
              <w:bCs/>
              <w:noProof/>
            </w:rPr>
            <w:fldChar w:fldCharType="end"/>
          </w:r>
        </w:p>
      </w:sdtContent>
    </w:sdt>
    <w:p w:rsidR="001348BF" w:rsidRDefault="001348BF" w:rsidP="007E7D7E">
      <w:pPr>
        <w:pStyle w:val="Heading1"/>
        <w:spacing w:line="360" w:lineRule="auto"/>
        <w:jc w:val="center"/>
      </w:pPr>
      <w:bookmarkStart w:id="46" w:name="_Toc169018617"/>
    </w:p>
    <w:p w:rsidR="00AA44D6" w:rsidRDefault="00AA44D6" w:rsidP="00AA44D6">
      <w:pPr>
        <w:rPr>
          <w:b/>
          <w:sz w:val="28"/>
        </w:rPr>
      </w:pPr>
      <w:bookmarkStart w:id="47" w:name="_GoBack"/>
      <w:bookmarkEnd w:id="47"/>
    </w:p>
    <w:p w:rsidR="001348BF" w:rsidRDefault="001348BF" w:rsidP="007E7D7E">
      <w:pPr>
        <w:pStyle w:val="Heading1"/>
        <w:spacing w:line="360" w:lineRule="auto"/>
        <w:jc w:val="center"/>
      </w:pPr>
    </w:p>
    <w:p w:rsidR="001348BF" w:rsidRDefault="001348BF" w:rsidP="007E7D7E">
      <w:pPr>
        <w:pStyle w:val="Heading1"/>
        <w:spacing w:line="360" w:lineRule="auto"/>
        <w:jc w:val="center"/>
      </w:pPr>
    </w:p>
    <w:p w:rsidR="001348BF" w:rsidRDefault="001348BF" w:rsidP="001348BF">
      <w:pPr>
        <w:rPr>
          <w:rFonts w:asciiTheme="majorHAnsi" w:eastAsiaTheme="majorEastAsia" w:hAnsiTheme="majorHAnsi" w:cstheme="majorBidi"/>
          <w:color w:val="365F91" w:themeColor="accent1" w:themeShade="BF"/>
          <w:sz w:val="28"/>
          <w:szCs w:val="28"/>
        </w:rPr>
      </w:pPr>
      <w:r>
        <w:br w:type="page"/>
      </w:r>
    </w:p>
    <w:p w:rsidR="00C34CA5" w:rsidRDefault="00C34CA5" w:rsidP="007E7D7E">
      <w:pPr>
        <w:pStyle w:val="Heading1"/>
        <w:spacing w:line="360" w:lineRule="auto"/>
        <w:jc w:val="center"/>
      </w:pPr>
      <w:r>
        <w:lastRenderedPageBreak/>
        <w:t>Federal Deposit Insurance Corporation (FDIC)</w:t>
      </w:r>
      <w:bookmarkEnd w:id="46"/>
    </w:p>
    <w:p w:rsidR="00C34CA5" w:rsidRDefault="00C34CA5" w:rsidP="007E7D7E">
      <w:pPr>
        <w:spacing w:line="360" w:lineRule="auto"/>
        <w:rPr>
          <w:noProof/>
        </w:rPr>
      </w:pPr>
      <w:r>
        <w:rPr>
          <w:noProof/>
        </w:rPr>
        <w:drawing>
          <wp:anchor distT="0" distB="0" distL="114300" distR="114300" simplePos="0" relativeHeight="251658240" behindDoc="0" locked="0" layoutInCell="1" allowOverlap="1" wp14:anchorId="2A1F8E78" wp14:editId="17A94AD7">
            <wp:simplePos x="0" y="0"/>
            <wp:positionH relativeFrom="column">
              <wp:posOffset>-127635</wp:posOffset>
            </wp:positionH>
            <wp:positionV relativeFrom="paragraph">
              <wp:posOffset>130810</wp:posOffset>
            </wp:positionV>
            <wp:extent cx="1938655" cy="1938655"/>
            <wp:effectExtent l="0" t="0" r="4445" b="4445"/>
            <wp:wrapSquare wrapText="bothSides"/>
            <wp:docPr id="4" name="Picture 4" descr="What Is the FDIC? | The Motley F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What Is the FDIC? | The Motley Fool"/>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9761" t="18834" r="19761" b="20689"/>
                    <a:stretch/>
                  </pic:blipFill>
                  <pic:spPr bwMode="auto">
                    <a:xfrm>
                      <a:off x="0" y="0"/>
                      <a:ext cx="1938655" cy="19386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C34CA5" w:rsidRPr="00C34CA5" w:rsidRDefault="00C34CA5" w:rsidP="007E7D7E">
      <w:pPr>
        <w:spacing w:line="360" w:lineRule="auto"/>
      </w:pPr>
      <w:r w:rsidRPr="00C34CA5">
        <w:t>The Federal Deposit Insurance Corporation (FDIC) is an independent federal agency established in 1933</w:t>
      </w:r>
      <w:r w:rsidR="00935E24">
        <w:t xml:space="preserve"> </w:t>
      </w:r>
      <w:r w:rsidR="00935E24" w:rsidRPr="00935E24">
        <w:t>during the Great Depression to restore trust in the American banking system</w:t>
      </w:r>
      <w:r w:rsidR="00935E24">
        <w:t xml:space="preserve">. </w:t>
      </w:r>
      <w:r w:rsidRPr="00C34CA5">
        <w:t>It provides deposit insurance to protect depositors</w:t>
      </w:r>
      <w:r w:rsidR="00935E24">
        <w:t>,</w:t>
      </w:r>
      <w:r w:rsidR="00935E24" w:rsidRPr="00935E24">
        <w:t xml:space="preserve"> in American commercial banks and savings banks</w:t>
      </w:r>
      <w:r w:rsidR="00935E24">
        <w:t>,</w:t>
      </w:r>
      <w:r w:rsidRPr="00C34CA5">
        <w:t xml:space="preserve"> in case of bank failures and oversees the safety and soundness of financial institutions.</w:t>
      </w:r>
    </w:p>
    <w:p w:rsidR="00312FE1" w:rsidRDefault="00935E24" w:rsidP="007E7D7E">
      <w:pPr>
        <w:spacing w:line="360" w:lineRule="auto"/>
      </w:pPr>
      <w:r w:rsidRPr="00935E24">
        <w:t>As of 2023, the FDIC insures deposits up to $250,000 per depositor as long as the institution is a member firm. It is critical for consumers to confirm whether their institution is FDIC-insured.</w:t>
      </w:r>
    </w:p>
    <w:p w:rsidR="00935E24" w:rsidRDefault="00935E24" w:rsidP="007E7D7E">
      <w:pPr>
        <w:spacing w:line="360" w:lineRule="auto"/>
      </w:pPr>
      <w:r w:rsidRPr="00935E24">
        <w:t>As of March 2024, the FDIC provided deposit insurance at 4,568 institutions. As of Q1 2024, the Deposit Insurance Fund stood at $125.3 billion</w:t>
      </w:r>
      <w:r>
        <w:t>.</w:t>
      </w:r>
    </w:p>
    <w:p w:rsidR="00FF70B4" w:rsidRPr="00FF70B4" w:rsidRDefault="00FF70B4" w:rsidP="007E7D7E">
      <w:pPr>
        <w:spacing w:line="360" w:lineRule="auto"/>
      </w:pPr>
      <w:r>
        <w:t>T</w:t>
      </w:r>
      <w:r w:rsidRPr="00FF70B4">
        <w:t>he FDIC </w:t>
      </w:r>
      <w:r w:rsidRPr="00FF70B4">
        <w:rPr>
          <w:b/>
          <w:bCs/>
        </w:rPr>
        <w:t>does not</w:t>
      </w:r>
      <w:r w:rsidRPr="00FF70B4">
        <w:t> insure:</w:t>
      </w:r>
    </w:p>
    <w:p w:rsidR="00FF70B4" w:rsidRPr="00FF70B4" w:rsidRDefault="00FF70B4" w:rsidP="007E7D7E">
      <w:pPr>
        <w:numPr>
          <w:ilvl w:val="0"/>
          <w:numId w:val="4"/>
        </w:numPr>
        <w:spacing w:line="360" w:lineRule="auto"/>
      </w:pPr>
      <w:r w:rsidRPr="00FF70B4">
        <w:t>Stock Investments</w:t>
      </w:r>
    </w:p>
    <w:p w:rsidR="00FF70B4" w:rsidRPr="00FF70B4" w:rsidRDefault="00FF70B4" w:rsidP="007E7D7E">
      <w:pPr>
        <w:numPr>
          <w:ilvl w:val="0"/>
          <w:numId w:val="4"/>
        </w:numPr>
        <w:spacing w:line="360" w:lineRule="auto"/>
      </w:pPr>
      <w:r w:rsidRPr="00FF70B4">
        <w:t>Bond Investments</w:t>
      </w:r>
    </w:p>
    <w:p w:rsidR="00FF70B4" w:rsidRPr="00FF70B4" w:rsidRDefault="00FF70B4" w:rsidP="007E7D7E">
      <w:pPr>
        <w:numPr>
          <w:ilvl w:val="0"/>
          <w:numId w:val="4"/>
        </w:numPr>
        <w:spacing w:line="360" w:lineRule="auto"/>
      </w:pPr>
      <w:r w:rsidRPr="00FF70B4">
        <w:t>Mutual Funds</w:t>
      </w:r>
    </w:p>
    <w:p w:rsidR="00FF70B4" w:rsidRPr="00FF70B4" w:rsidRDefault="00FF70B4" w:rsidP="007E7D7E">
      <w:pPr>
        <w:numPr>
          <w:ilvl w:val="0"/>
          <w:numId w:val="4"/>
        </w:numPr>
        <w:spacing w:line="360" w:lineRule="auto"/>
      </w:pPr>
      <w:r w:rsidRPr="00FF70B4">
        <w:t>Crypto Assets</w:t>
      </w:r>
    </w:p>
    <w:p w:rsidR="00FF70B4" w:rsidRPr="00FF70B4" w:rsidRDefault="00FF70B4" w:rsidP="007E7D7E">
      <w:pPr>
        <w:numPr>
          <w:ilvl w:val="0"/>
          <w:numId w:val="4"/>
        </w:numPr>
        <w:spacing w:line="360" w:lineRule="auto"/>
      </w:pPr>
      <w:r w:rsidRPr="00FF70B4">
        <w:t>Life Insurance Policies</w:t>
      </w:r>
    </w:p>
    <w:p w:rsidR="00FF70B4" w:rsidRPr="00FF70B4" w:rsidRDefault="00FF70B4" w:rsidP="007E7D7E">
      <w:pPr>
        <w:numPr>
          <w:ilvl w:val="0"/>
          <w:numId w:val="4"/>
        </w:numPr>
        <w:spacing w:line="360" w:lineRule="auto"/>
      </w:pPr>
      <w:r w:rsidRPr="00FF70B4">
        <w:t>Annuities</w:t>
      </w:r>
    </w:p>
    <w:p w:rsidR="00FF70B4" w:rsidRPr="00FF70B4" w:rsidRDefault="00FF70B4" w:rsidP="007E7D7E">
      <w:pPr>
        <w:numPr>
          <w:ilvl w:val="0"/>
          <w:numId w:val="4"/>
        </w:numPr>
        <w:spacing w:line="360" w:lineRule="auto"/>
      </w:pPr>
      <w:r w:rsidRPr="00FF70B4">
        <w:t>Municipal Securities</w:t>
      </w:r>
    </w:p>
    <w:p w:rsidR="00FF70B4" w:rsidRPr="00FF70B4" w:rsidRDefault="00FF70B4" w:rsidP="007E7D7E">
      <w:pPr>
        <w:numPr>
          <w:ilvl w:val="0"/>
          <w:numId w:val="4"/>
        </w:numPr>
        <w:spacing w:line="360" w:lineRule="auto"/>
      </w:pPr>
      <w:r w:rsidRPr="00FF70B4">
        <w:t>Safe Deposit Boxes or their contents</w:t>
      </w:r>
    </w:p>
    <w:p w:rsidR="00FF70B4" w:rsidRPr="00FF70B4" w:rsidRDefault="00FF70B4" w:rsidP="007E7D7E">
      <w:pPr>
        <w:numPr>
          <w:ilvl w:val="0"/>
          <w:numId w:val="4"/>
        </w:numPr>
        <w:spacing w:line="360" w:lineRule="auto"/>
      </w:pPr>
      <w:r w:rsidRPr="00FF70B4">
        <w:t>U.S. Treasury Bills, Bonds, or Notes</w:t>
      </w:r>
    </w:p>
    <w:p w:rsidR="00FB5C20" w:rsidRDefault="00FB5C20" w:rsidP="007E7D7E">
      <w:pPr>
        <w:spacing w:line="360" w:lineRule="auto"/>
        <w:rPr>
          <w:b/>
          <w:bCs/>
        </w:rPr>
      </w:pPr>
    </w:p>
    <w:p w:rsidR="00FB5C20" w:rsidRDefault="00FB5C20" w:rsidP="007E7D7E">
      <w:pPr>
        <w:spacing w:line="360" w:lineRule="auto"/>
        <w:rPr>
          <w:b/>
          <w:bCs/>
        </w:rPr>
      </w:pPr>
    </w:p>
    <w:p w:rsidR="00E12774" w:rsidRPr="00E12774" w:rsidRDefault="00E12774" w:rsidP="007E7D7E">
      <w:pPr>
        <w:spacing w:line="360" w:lineRule="auto"/>
      </w:pPr>
      <w:r w:rsidRPr="00E12774">
        <w:rPr>
          <w:b/>
          <w:bCs/>
        </w:rPr>
        <w:t>Key Functions and Responsibilities</w:t>
      </w:r>
      <w:r w:rsidRPr="00E12774">
        <w:t>:</w:t>
      </w:r>
    </w:p>
    <w:p w:rsidR="00E12774" w:rsidRPr="00E12774" w:rsidRDefault="00E12774" w:rsidP="007E7D7E">
      <w:pPr>
        <w:numPr>
          <w:ilvl w:val="0"/>
          <w:numId w:val="5"/>
        </w:numPr>
        <w:spacing w:line="360" w:lineRule="auto"/>
      </w:pPr>
      <w:r w:rsidRPr="00E12774">
        <w:rPr>
          <w:b/>
          <w:bCs/>
        </w:rPr>
        <w:t>Deposit Insurance</w:t>
      </w:r>
      <w:r w:rsidRPr="00E12774">
        <w:t>:</w:t>
      </w:r>
      <w:r>
        <w:t xml:space="preserve"> </w:t>
      </w:r>
      <w:r w:rsidR="00FB5C20">
        <w:t xml:space="preserve">Insures deposits in member banks to protect depositors in case of bank failures. </w:t>
      </w:r>
    </w:p>
    <w:p w:rsidR="00E12774" w:rsidRPr="00E12774" w:rsidRDefault="00E12774" w:rsidP="007E7D7E">
      <w:pPr>
        <w:numPr>
          <w:ilvl w:val="0"/>
          <w:numId w:val="5"/>
        </w:numPr>
        <w:spacing w:line="360" w:lineRule="auto"/>
      </w:pPr>
      <w:r w:rsidRPr="00E12774">
        <w:rPr>
          <w:b/>
          <w:bCs/>
        </w:rPr>
        <w:t>Bank Supervision</w:t>
      </w:r>
      <w:r w:rsidRPr="00E12774">
        <w:t>:</w:t>
      </w:r>
      <w:r w:rsidR="00FB5C20">
        <w:t xml:space="preserve"> </w:t>
      </w:r>
      <w:r w:rsidRPr="00E12774">
        <w:t>Conducts regular examinations and evaluations of member banks to ensure compliance with regulatory requirements and to promote sound banking practices.</w:t>
      </w:r>
      <w:r w:rsidR="00FB5C20">
        <w:t xml:space="preserve"> </w:t>
      </w:r>
      <w:r w:rsidRPr="00E12774">
        <w:t>In 2021, the FDIC conducted over 1,500 risk management and consumer compliance examinations</w:t>
      </w:r>
      <w:r w:rsidR="00FB5C20">
        <w:rPr>
          <w:rFonts w:ascii="MS Gothic" w:eastAsia="MS Gothic" w:hAnsi="MS Gothic" w:cs="MS Gothic"/>
        </w:rPr>
        <w:t>.</w:t>
      </w:r>
    </w:p>
    <w:p w:rsidR="00E12774" w:rsidRPr="00E12774" w:rsidRDefault="00E12774" w:rsidP="007E7D7E">
      <w:pPr>
        <w:numPr>
          <w:ilvl w:val="0"/>
          <w:numId w:val="5"/>
        </w:numPr>
        <w:spacing w:line="360" w:lineRule="auto"/>
      </w:pPr>
      <w:r w:rsidRPr="00E12774">
        <w:rPr>
          <w:b/>
          <w:bCs/>
        </w:rPr>
        <w:t>Resolution of Failed Banks</w:t>
      </w:r>
      <w:r w:rsidRPr="00E12774">
        <w:t>:</w:t>
      </w:r>
      <w:r w:rsidR="00FB5C20">
        <w:t xml:space="preserve"> </w:t>
      </w:r>
      <w:r w:rsidRPr="00E12774">
        <w:t>Manages the receivership process for failed banks, ensuring depositors have quick access to their insured funds and that the assets of the failed banks are liquidated efficiently.</w:t>
      </w:r>
    </w:p>
    <w:p w:rsidR="00E12774" w:rsidRPr="00E12774" w:rsidRDefault="00E12774" w:rsidP="007E7D7E">
      <w:pPr>
        <w:numPr>
          <w:ilvl w:val="0"/>
          <w:numId w:val="5"/>
        </w:numPr>
        <w:spacing w:line="360" w:lineRule="auto"/>
      </w:pPr>
      <w:r w:rsidRPr="00E12774">
        <w:rPr>
          <w:b/>
          <w:bCs/>
        </w:rPr>
        <w:t>Consumer Protection</w:t>
      </w:r>
      <w:r w:rsidRPr="00E12774">
        <w:t>: Enforces consumer protection laws and regulations to ensure fair and transparent banking practices.</w:t>
      </w:r>
      <w:r w:rsidR="00FB5C20">
        <w:t xml:space="preserve"> </w:t>
      </w:r>
      <w:r w:rsidRPr="00E12774">
        <w:t>Provides educational resources and tools to help consumers make informed financial decisions. For example, the FDIC's Money Smart program offers free financial education ma</w:t>
      </w:r>
      <w:r w:rsidR="00FB5C20">
        <w:t>terials to consumers of all ages.</w:t>
      </w:r>
    </w:p>
    <w:p w:rsidR="00FF70B4" w:rsidRDefault="00E12774" w:rsidP="007E7D7E">
      <w:pPr>
        <w:numPr>
          <w:ilvl w:val="0"/>
          <w:numId w:val="5"/>
        </w:numPr>
        <w:spacing w:line="360" w:lineRule="auto"/>
      </w:pPr>
      <w:r w:rsidRPr="00FB5C20">
        <w:rPr>
          <w:b/>
          <w:bCs/>
        </w:rPr>
        <w:t>Risk Management and Financial Stability</w:t>
      </w:r>
      <w:r w:rsidRPr="00E12774">
        <w:t>:</w:t>
      </w:r>
      <w:r w:rsidR="00FB5C20">
        <w:t xml:space="preserve"> </w:t>
      </w:r>
      <w:r w:rsidRPr="00E12774">
        <w:t>Identifies and monitors potential risks to the banking system, working proactively to address emerging threats.</w:t>
      </w:r>
      <w:r w:rsidR="00FB5C20">
        <w:t xml:space="preserve"> </w:t>
      </w:r>
      <w:r w:rsidRPr="00E12774">
        <w:t>The FDIC maintains the Deposit Insurance Fund (DIF) to cover insured deposits in case of bank failures. As of December 2021, the DIF balance was approximately $12</w:t>
      </w:r>
      <w:r w:rsidR="00FB5C20">
        <w:t>3.</w:t>
      </w:r>
      <w:r w:rsidRPr="00E12774">
        <w:t>1 billion</w:t>
      </w:r>
      <w:r w:rsidR="00FB5C20">
        <w:rPr>
          <w:rFonts w:ascii="MS Gothic" w:eastAsia="MS Gothic" w:hAnsi="MS Gothic" w:cs="MS Gothic"/>
        </w:rPr>
        <w:t>.</w:t>
      </w:r>
    </w:p>
    <w:p w:rsidR="00FB5C20" w:rsidRDefault="00FB5C20" w:rsidP="007E7D7E">
      <w:pPr>
        <w:pStyle w:val="Heading2"/>
        <w:spacing w:line="360" w:lineRule="auto"/>
      </w:pPr>
    </w:p>
    <w:p w:rsidR="00FB5C20" w:rsidRDefault="00FB5C20" w:rsidP="007E7D7E">
      <w:pPr>
        <w:pStyle w:val="Heading2"/>
        <w:spacing w:line="360" w:lineRule="auto"/>
      </w:pPr>
    </w:p>
    <w:p w:rsidR="00FB5C20" w:rsidRDefault="00FB5C20" w:rsidP="007E7D7E">
      <w:pPr>
        <w:pStyle w:val="Heading2"/>
        <w:spacing w:line="360" w:lineRule="auto"/>
      </w:pPr>
    </w:p>
    <w:p w:rsidR="00FB5C20" w:rsidRDefault="00FB5C20" w:rsidP="007E7D7E">
      <w:pPr>
        <w:pStyle w:val="Heading2"/>
        <w:spacing w:line="360" w:lineRule="auto"/>
      </w:pPr>
    </w:p>
    <w:p w:rsidR="00FB5C20" w:rsidRDefault="00FB5C20" w:rsidP="007E7D7E">
      <w:pPr>
        <w:pStyle w:val="Heading2"/>
        <w:spacing w:line="360" w:lineRule="auto"/>
      </w:pPr>
    </w:p>
    <w:p w:rsidR="00FB5C20" w:rsidRDefault="00FB5C20" w:rsidP="007E7D7E">
      <w:pPr>
        <w:pStyle w:val="Heading2"/>
        <w:spacing w:line="360" w:lineRule="auto"/>
      </w:pPr>
    </w:p>
    <w:p w:rsidR="00FB5C20" w:rsidRPr="00FB5C20" w:rsidRDefault="00FB5C20" w:rsidP="007E7D7E">
      <w:pPr>
        <w:spacing w:line="360" w:lineRule="auto"/>
      </w:pPr>
    </w:p>
    <w:p w:rsidR="006C718B" w:rsidRDefault="006C718B" w:rsidP="007E7D7E">
      <w:pPr>
        <w:pStyle w:val="Heading2"/>
        <w:spacing w:line="360" w:lineRule="auto"/>
      </w:pPr>
      <w:bookmarkStart w:id="48" w:name="_Toc169018618"/>
      <w:r>
        <w:lastRenderedPageBreak/>
        <w:t>Brief History:</w:t>
      </w:r>
      <w:bookmarkEnd w:id="48"/>
    </w:p>
    <w:p w:rsidR="00FB5C20" w:rsidRDefault="00FB5C20" w:rsidP="007E7D7E">
      <w:pPr>
        <w:spacing w:line="360" w:lineRule="auto"/>
      </w:pPr>
      <w:r>
        <w:rPr>
          <w:noProof/>
        </w:rPr>
        <w:drawing>
          <wp:anchor distT="0" distB="0" distL="114300" distR="114300" simplePos="0" relativeHeight="251660288" behindDoc="1" locked="0" layoutInCell="1" allowOverlap="1" wp14:anchorId="54A8EB40" wp14:editId="6F55EB96">
            <wp:simplePos x="0" y="0"/>
            <wp:positionH relativeFrom="column">
              <wp:posOffset>3018790</wp:posOffset>
            </wp:positionH>
            <wp:positionV relativeFrom="paragraph">
              <wp:posOffset>280035</wp:posOffset>
            </wp:positionV>
            <wp:extent cx="3562350" cy="2117090"/>
            <wp:effectExtent l="0" t="0" r="0" b="0"/>
            <wp:wrapTight wrapText="bothSides">
              <wp:wrapPolygon edited="0">
                <wp:start x="0" y="0"/>
                <wp:lineTo x="0" y="21380"/>
                <wp:lineTo x="21484" y="21380"/>
                <wp:lineTo x="21484" y="0"/>
                <wp:lineTo x="0" y="0"/>
              </wp:wrapPolygon>
            </wp:wrapTight>
            <wp:docPr id="7" name="Picture 7" descr="https://blogger.googleusercontent.com/img/b/R29vZ2xl/AVvXsEh4B6ftgz7JRRRLGugvrB26WwYFUuieB85v1uhoWAPWbD1Pt_IbStvgh8jEQx_u3jNp1aGKxNMy75T8YuHM9UUzUQ_dn5k8vsEFLiTCB-X26euoh22SIigD_JlFeBlBvg-p9CvHLYvMuN0/s1600/bankfailures191519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blogger.googleusercontent.com/img/b/R29vZ2xl/AVvXsEh4B6ftgz7JRRRLGugvrB26WwYFUuieB85v1uhoWAPWbD1Pt_IbStvgh8jEQx_u3jNp1aGKxNMy75T8YuHM9UUzUQ_dn5k8vsEFLiTCB-X26euoh22SIigD_JlFeBlBvg-p9CvHLYvMuN0/s1600/bankfailures19151935.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62350" cy="2117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C718B">
        <w:rPr>
          <w:noProof/>
        </w:rPr>
        <w:drawing>
          <wp:anchor distT="0" distB="0" distL="114300" distR="114300" simplePos="0" relativeHeight="251659264" behindDoc="1" locked="0" layoutInCell="1" allowOverlap="1" wp14:anchorId="4E3BC490" wp14:editId="65F0B7E1">
            <wp:simplePos x="0" y="0"/>
            <wp:positionH relativeFrom="column">
              <wp:posOffset>-638175</wp:posOffset>
            </wp:positionH>
            <wp:positionV relativeFrom="paragraph">
              <wp:posOffset>276860</wp:posOffset>
            </wp:positionV>
            <wp:extent cx="3581400" cy="2131060"/>
            <wp:effectExtent l="0" t="0" r="0" b="2540"/>
            <wp:wrapTight wrapText="bothSides">
              <wp:wrapPolygon edited="0">
                <wp:start x="0" y="0"/>
                <wp:lineTo x="0" y="21433"/>
                <wp:lineTo x="21485" y="21433"/>
                <wp:lineTo x="21485" y="0"/>
                <wp:lineTo x="0" y="0"/>
              </wp:wrapPolygon>
            </wp:wrapTight>
            <wp:docPr id="6" name="Picture 6" descr="https://blogger.googleusercontent.com/img/b/R29vZ2xl/AVvXsEgfqKpPcO0Mnf4jM4Mr6IZntMdJUS0hoBSuNKLpK8cVmL8CfeY-_Hz6glWET9i2EVdzwhLbTv5rpphWmY-HIzwmDs4lDRIfemMYu5hUTu12amoFbozT_0VMPsWi7PLu_vZbBGVVMFh03u8/s1600/bankfailures186419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blogger.googleusercontent.com/img/b/R29vZ2xl/AVvXsEgfqKpPcO0Mnf4jM4Mr6IZntMdJUS0hoBSuNKLpK8cVmL8CfeY-_Hz6glWET9i2EVdzwhLbTv5rpphWmY-HIzwmDs4lDRIfemMYu5hUTu12amoFbozT_0VMPsWi7PLu_vZbBGVVMFh03u8/s1600/bankfailures18641914.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81400" cy="21310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B5C20" w:rsidRDefault="00FB5C20" w:rsidP="007E7D7E">
      <w:pPr>
        <w:spacing w:line="360" w:lineRule="auto"/>
      </w:pPr>
    </w:p>
    <w:p w:rsidR="00E14020" w:rsidRPr="00E14020" w:rsidRDefault="00E14020" w:rsidP="007E7D7E">
      <w:pPr>
        <w:spacing w:line="360" w:lineRule="auto"/>
      </w:pPr>
      <w:r w:rsidRPr="00E14020">
        <w:t>US Bank Suspensions 1864-1914:</w:t>
      </w:r>
    </w:p>
    <w:p w:rsidR="00E14020" w:rsidRPr="00E14020" w:rsidRDefault="00E14020" w:rsidP="007E7D7E">
      <w:pPr>
        <w:numPr>
          <w:ilvl w:val="0"/>
          <w:numId w:val="2"/>
        </w:numPr>
        <w:spacing w:line="360" w:lineRule="auto"/>
      </w:pPr>
      <w:r w:rsidRPr="00E14020">
        <w:t>Highest peak was around 1893 with over 500 bank suspensions</w:t>
      </w:r>
    </w:p>
    <w:p w:rsidR="00E14020" w:rsidRPr="00E14020" w:rsidRDefault="00E14020" w:rsidP="007E7D7E">
      <w:pPr>
        <w:numPr>
          <w:ilvl w:val="0"/>
          <w:numId w:val="2"/>
        </w:numPr>
        <w:spacing w:line="360" w:lineRule="auto"/>
      </w:pPr>
      <w:r w:rsidRPr="00E14020">
        <w:t>Other notable peaks around 1878 (around 350 suspensions), 1887 (around 250 suspensions), and 1908 (around 200 suspensions)</w:t>
      </w:r>
    </w:p>
    <w:p w:rsidR="00E14020" w:rsidRPr="00E14020" w:rsidRDefault="00E14020" w:rsidP="007E7D7E">
      <w:pPr>
        <w:spacing w:line="360" w:lineRule="auto"/>
      </w:pPr>
      <w:r w:rsidRPr="00E14020">
        <w:t>US Bank Suspensions 1915-1935:</w:t>
      </w:r>
    </w:p>
    <w:p w:rsidR="00E14020" w:rsidRPr="00E14020" w:rsidRDefault="00E14020" w:rsidP="007E7D7E">
      <w:pPr>
        <w:numPr>
          <w:ilvl w:val="0"/>
          <w:numId w:val="3"/>
        </w:numPr>
        <w:spacing w:line="360" w:lineRule="auto"/>
      </w:pPr>
      <w:r w:rsidRPr="00E14020">
        <w:t>First peak was in 1921 with around 500 suspensions</w:t>
      </w:r>
    </w:p>
    <w:p w:rsidR="00E14020" w:rsidRPr="00E14020" w:rsidRDefault="00E14020" w:rsidP="007E7D7E">
      <w:pPr>
        <w:numPr>
          <w:ilvl w:val="0"/>
          <w:numId w:val="3"/>
        </w:numPr>
        <w:spacing w:line="360" w:lineRule="auto"/>
      </w:pPr>
      <w:r w:rsidRPr="00E14020">
        <w:t>Major peak was in 1933</w:t>
      </w:r>
      <w:r>
        <w:t xml:space="preserve"> with over 4,000 suspensions, </w:t>
      </w:r>
      <w:r w:rsidRPr="00E14020">
        <w:t>during the Great Depression</w:t>
      </w:r>
    </w:p>
    <w:p w:rsidR="00E14020" w:rsidRPr="00E14020" w:rsidRDefault="00E14020" w:rsidP="007E7D7E">
      <w:pPr>
        <w:numPr>
          <w:ilvl w:val="0"/>
          <w:numId w:val="3"/>
        </w:numPr>
        <w:spacing w:line="360" w:lineRule="auto"/>
      </w:pPr>
      <w:r w:rsidRPr="00E14020">
        <w:t>Smaller peaks in 1924 (around 800 suspensions) and 1927 (around 600 suspensions)</w:t>
      </w:r>
    </w:p>
    <w:p w:rsidR="00E14020" w:rsidRPr="00E14020" w:rsidRDefault="00E14020" w:rsidP="007E7D7E">
      <w:pPr>
        <w:numPr>
          <w:ilvl w:val="0"/>
          <w:numId w:val="3"/>
        </w:numPr>
        <w:spacing w:line="360" w:lineRule="auto"/>
      </w:pPr>
      <w:r w:rsidRPr="00E14020">
        <w:t>In most years between 1915-1935, there were under 200 bank suspensions annually</w:t>
      </w:r>
    </w:p>
    <w:p w:rsidR="00E14020" w:rsidRDefault="00A06692" w:rsidP="007E7D7E">
      <w:pPr>
        <w:spacing w:line="360" w:lineRule="auto"/>
      </w:pPr>
      <w:r w:rsidRPr="00A06692">
        <w:t>Before deposit insurance, depositors risked losing money if their bank failed due to loan losses or sudden withdrawals, often triggering wider panics. The Panics of 1893 and 1907 highlighted the need for deposit insurance</w:t>
      </w:r>
      <w:r>
        <w:t xml:space="preserve">. </w:t>
      </w:r>
    </w:p>
    <w:p w:rsidR="00A06692" w:rsidRPr="00A06692" w:rsidRDefault="00A06692" w:rsidP="007E7D7E">
      <w:pPr>
        <w:spacing w:line="360" w:lineRule="auto"/>
      </w:pPr>
      <w:r w:rsidRPr="00A06692">
        <w:t>Bank instability was severe before the Great Depression, with 5,700 failures from 1921 to 1929 and nearly 10,000 from 1929 to 1933. A panic in February 1933 led most states to close all banks.</w:t>
      </w:r>
    </w:p>
    <w:p w:rsidR="006C718B" w:rsidRDefault="00E14020" w:rsidP="007E7D7E">
      <w:pPr>
        <w:spacing w:line="360" w:lineRule="auto"/>
      </w:pPr>
      <w:r w:rsidRPr="00E14020">
        <w:lastRenderedPageBreak/>
        <w:t>On June 16, 1933, President Franklin D. Roosevelt signed the 1933 Banking Act into law, creating the FDIC. The initial plan set by Congress in 1934 was to insure deposits up to $2,500 ($56,940 today) and adoption of a more generous, long-term plan after six months.</w:t>
      </w:r>
    </w:p>
    <w:p w:rsidR="00FF70B4" w:rsidRDefault="00E12774" w:rsidP="007E7D7E">
      <w:pPr>
        <w:spacing w:line="360" w:lineRule="auto"/>
      </w:pPr>
      <w:r w:rsidRPr="00E12774">
        <w:t xml:space="preserve">The graph shows the real value of deposit insurance coverage in the United States over time from 1934 to 2018, adjusted for inflation (in 2008 dollars) and nominal values. The real value of deposit insurance fluctuated significantly, peaking </w:t>
      </w:r>
      <w:r>
        <w:t>around $225,000 in the late 1970s/early 1980s</w:t>
      </w:r>
      <w:r w:rsidRPr="00E12774">
        <w:t xml:space="preserve"> before declining in recent years.</w:t>
      </w:r>
      <w:r>
        <w:rPr>
          <w:noProof/>
        </w:rPr>
        <w:drawing>
          <wp:anchor distT="0" distB="0" distL="114300" distR="114300" simplePos="0" relativeHeight="251661312" behindDoc="1" locked="0" layoutInCell="1" allowOverlap="1" wp14:anchorId="5ECB1E55" wp14:editId="31579CCA">
            <wp:simplePos x="0" y="0"/>
            <wp:positionH relativeFrom="column">
              <wp:posOffset>-136525</wp:posOffset>
            </wp:positionH>
            <wp:positionV relativeFrom="paragraph">
              <wp:posOffset>0</wp:posOffset>
            </wp:positionV>
            <wp:extent cx="6299200" cy="4121150"/>
            <wp:effectExtent l="0" t="0" r="6350" b="0"/>
            <wp:wrapTight wrapText="bothSides">
              <wp:wrapPolygon edited="0">
                <wp:start x="0" y="0"/>
                <wp:lineTo x="0" y="21467"/>
                <wp:lineTo x="21556" y="21467"/>
                <wp:lineTo x="21556" y="0"/>
                <wp:lineTo x="0" y="0"/>
              </wp:wrapPolygon>
            </wp:wrapTight>
            <wp:docPr id="11" name="Picture 11" descr="https://miro.medium.com/v2/resize:fit:700/1*6lQyTOCv3RxNsLoa00hxuw.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miro.medium.com/v2/resize:fit:700/1*6lQyTOCv3RxNsLoa00hxuw.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99200" cy="412115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r w:rsidRPr="00E12774">
        <w:t>FDIC insures deposits up to $250,000 per depositor</w:t>
      </w:r>
      <w:r>
        <w:t xml:space="preserve"> as of 2023.</w:t>
      </w:r>
    </w:p>
    <w:p w:rsidR="00D233FC" w:rsidRDefault="00D233FC" w:rsidP="007E7D7E">
      <w:pPr>
        <w:pStyle w:val="Heading1"/>
        <w:spacing w:line="360" w:lineRule="auto"/>
      </w:pPr>
    </w:p>
    <w:p w:rsidR="00D233FC" w:rsidRDefault="00D233FC" w:rsidP="007E7D7E">
      <w:pPr>
        <w:pStyle w:val="Heading1"/>
        <w:spacing w:line="360" w:lineRule="auto"/>
      </w:pPr>
    </w:p>
    <w:p w:rsidR="00D233FC" w:rsidRPr="00D233FC" w:rsidRDefault="00D233FC" w:rsidP="007E7D7E">
      <w:pPr>
        <w:spacing w:line="360" w:lineRule="auto"/>
      </w:pPr>
    </w:p>
    <w:p w:rsidR="00D233FC" w:rsidRPr="00D233FC" w:rsidRDefault="00D233FC" w:rsidP="007E7D7E">
      <w:pPr>
        <w:spacing w:line="360" w:lineRule="auto"/>
      </w:pPr>
    </w:p>
    <w:p w:rsidR="005A46D6" w:rsidRDefault="00D233FC" w:rsidP="007E7D7E">
      <w:pPr>
        <w:pStyle w:val="Heading1"/>
        <w:spacing w:line="360" w:lineRule="auto"/>
        <w:jc w:val="center"/>
      </w:pPr>
      <w:bookmarkStart w:id="49" w:name="_Toc169018619"/>
      <w:r>
        <w:lastRenderedPageBreak/>
        <w:t>Office of the Comptroller of the Currency (OCC)</w:t>
      </w:r>
      <w:bookmarkEnd w:id="49"/>
    </w:p>
    <w:p w:rsidR="00D233FC" w:rsidRDefault="00D233FC" w:rsidP="007E7D7E">
      <w:pPr>
        <w:spacing w:line="360" w:lineRule="auto"/>
      </w:pPr>
      <w:r>
        <w:t xml:space="preserve"> </w:t>
      </w:r>
    </w:p>
    <w:p w:rsidR="00D233FC" w:rsidRDefault="00D233FC" w:rsidP="007E7D7E">
      <w:pPr>
        <w:spacing w:line="360" w:lineRule="auto"/>
      </w:pPr>
      <w:r>
        <w:t>The Office of the Comptroller of the Currency (OCC) is</w:t>
      </w:r>
      <w:r w:rsidR="00BE11F2" w:rsidRPr="00BE11F2">
        <w:t xml:space="preserve"> an independent bureau within the United States Department of the Treasury that was established by the National Currency Act of 1863</w:t>
      </w:r>
      <w:r>
        <w:t xml:space="preserve"> that regulates and supervises national banks and federal savings associations. </w:t>
      </w:r>
      <w:r w:rsidR="00BE11F2">
        <w:t>It</w:t>
      </w:r>
      <w:r>
        <w:t xml:space="preserve"> ensures the safety and soundness of these financial institutions, enforces banking laws, and promotes fair and equal access to financial services.</w:t>
      </w:r>
    </w:p>
    <w:p w:rsidR="00BE11F2" w:rsidRDefault="00BE11F2" w:rsidP="007E7D7E">
      <w:pPr>
        <w:spacing w:line="360" w:lineRule="auto"/>
      </w:pPr>
      <w:r w:rsidRPr="00BE11F2">
        <w:t>Headquartered in Washington, D.C., it has four district offices located in New York City, Chicago, Dallas and Denver. It has an additional 92 operating locations throughout the United States.</w:t>
      </w:r>
      <w:r>
        <w:t xml:space="preserve"> </w:t>
      </w:r>
    </w:p>
    <w:p w:rsidR="00BE11F2" w:rsidRPr="00D233FC" w:rsidRDefault="00BE11F2" w:rsidP="007E7D7E">
      <w:pPr>
        <w:spacing w:line="360" w:lineRule="auto"/>
      </w:pPr>
      <w:r w:rsidRPr="00BE11F2">
        <w:t>The acting Comptroller of the Currency is Michael J. Hsu, who took office on May 10, 2021.</w:t>
      </w:r>
    </w:p>
    <w:p w:rsidR="00327EF0" w:rsidRDefault="00BE11F2" w:rsidP="007E7D7E">
      <w:pPr>
        <w:spacing w:line="360" w:lineRule="auto"/>
        <w:rPr>
          <w:noProof/>
        </w:rPr>
      </w:pPr>
      <w:r w:rsidRPr="00BE11F2">
        <w:rPr>
          <w:noProof/>
        </w:rPr>
        <w:t xml:space="preserve">The OCC </w:t>
      </w:r>
      <w:r w:rsidR="00327EF0">
        <w:rPr>
          <w:noProof/>
        </w:rPr>
        <w:t xml:space="preserve">currently </w:t>
      </w:r>
      <w:r w:rsidRPr="00BE11F2">
        <w:rPr>
          <w:noProof/>
        </w:rPr>
        <w:t xml:space="preserve">supervises </w:t>
      </w:r>
      <w:r w:rsidR="00327EF0">
        <w:rPr>
          <w:noProof/>
        </w:rPr>
        <w:t xml:space="preserve">1055 </w:t>
      </w:r>
      <w:r w:rsidRPr="00BE11F2">
        <w:rPr>
          <w:noProof/>
        </w:rPr>
        <w:t>national banks, federal savings associations, and federal branches an</w:t>
      </w:r>
      <w:r w:rsidR="00327EF0">
        <w:rPr>
          <w:noProof/>
        </w:rPr>
        <w:t>d associations of foreign banks and has 2349 OCC examiners</w:t>
      </w:r>
      <w:r w:rsidR="00327EF0" w:rsidRPr="00327EF0">
        <w:rPr>
          <w:noProof/>
        </w:rPr>
        <w:t xml:space="preserve"> located across 70 operating locations.</w:t>
      </w:r>
    </w:p>
    <w:p w:rsidR="00327EF0" w:rsidRDefault="00327EF0" w:rsidP="007E7D7E">
      <w:pPr>
        <w:spacing w:line="360" w:lineRule="auto"/>
      </w:pPr>
      <w:r w:rsidRPr="00327EF0">
        <w:t>The OCC's operating and capital budget</w:t>
      </w:r>
      <w:r>
        <w:t xml:space="preserve"> ($1.289B for FY2024)</w:t>
      </w:r>
      <w:r w:rsidRPr="00327EF0">
        <w:t xml:space="preserve"> is funded primarily by assessments, fees paid by banks, interest received on investments, and other income</w:t>
      </w:r>
      <w:r>
        <w:t>.</w:t>
      </w:r>
    </w:p>
    <w:p w:rsidR="00327EF0" w:rsidRDefault="00327EF0" w:rsidP="007E7D7E">
      <w:pPr>
        <w:spacing w:line="360" w:lineRule="auto"/>
      </w:pPr>
      <w:r>
        <w:t>Value of Bank Assets ($15.6T) held by OCC-regulated institutions compose 66 percent of all U.S. commercial banking assets.</w:t>
      </w:r>
    </w:p>
    <w:p w:rsidR="008B283E" w:rsidRDefault="008B283E" w:rsidP="007E7D7E">
      <w:pPr>
        <w:spacing w:line="360" w:lineRule="auto"/>
        <w:rPr>
          <w:noProof/>
        </w:rPr>
      </w:pPr>
      <w:r>
        <w:rPr>
          <w:noProof/>
        </w:rPr>
        <w:drawing>
          <wp:anchor distT="0" distB="0" distL="114300" distR="114300" simplePos="0" relativeHeight="251662336" behindDoc="1" locked="0" layoutInCell="1" allowOverlap="1" wp14:anchorId="0926B92B" wp14:editId="2D9A5A8C">
            <wp:simplePos x="0" y="0"/>
            <wp:positionH relativeFrom="column">
              <wp:posOffset>-475615</wp:posOffset>
            </wp:positionH>
            <wp:positionV relativeFrom="paragraph">
              <wp:posOffset>255905</wp:posOffset>
            </wp:positionV>
            <wp:extent cx="6899275" cy="3300730"/>
            <wp:effectExtent l="19050" t="19050" r="15875" b="13970"/>
            <wp:wrapTight wrapText="bothSides">
              <wp:wrapPolygon edited="0">
                <wp:start x="-60" y="-125"/>
                <wp:lineTo x="-60" y="21567"/>
                <wp:lineTo x="21590" y="21567"/>
                <wp:lineTo x="21590" y="-125"/>
                <wp:lineTo x="-60" y="-125"/>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58).png"/>
                    <pic:cNvPicPr/>
                  </pic:nvPicPr>
                  <pic:blipFill rotWithShape="1">
                    <a:blip r:embed="rId13">
                      <a:extLst>
                        <a:ext uri="{28A0092B-C50C-407E-A947-70E740481C1C}">
                          <a14:useLocalDpi xmlns:a14="http://schemas.microsoft.com/office/drawing/2010/main" val="0"/>
                        </a:ext>
                      </a:extLst>
                    </a:blip>
                    <a:srcRect l="27009" t="12811" r="4970" b="24555"/>
                    <a:stretch/>
                  </pic:blipFill>
                  <pic:spPr bwMode="auto">
                    <a:xfrm>
                      <a:off x="0" y="0"/>
                      <a:ext cx="6899275" cy="3300730"/>
                    </a:xfrm>
                    <a:prstGeom prst="rect">
                      <a:avLst/>
                    </a:prstGeom>
                    <a:ln w="3175">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B35D5">
        <w:rPr>
          <w:b/>
          <w:bCs/>
        </w:rPr>
        <w:t>All OCC-supervised institutions, total assets (in $ trillions)</w:t>
      </w:r>
      <w:r>
        <w:rPr>
          <w:b/>
          <w:bCs/>
        </w:rPr>
        <w:t>:</w:t>
      </w:r>
    </w:p>
    <w:p w:rsidR="00327EF0" w:rsidRPr="00327EF0" w:rsidRDefault="00327EF0" w:rsidP="007E7D7E">
      <w:pPr>
        <w:spacing w:line="360" w:lineRule="auto"/>
      </w:pPr>
      <w:r w:rsidRPr="00327EF0">
        <w:rPr>
          <w:b/>
          <w:bCs/>
        </w:rPr>
        <w:lastRenderedPageBreak/>
        <w:t>Key</w:t>
      </w:r>
      <w:r w:rsidR="007E7D7E">
        <w:rPr>
          <w:b/>
          <w:bCs/>
        </w:rPr>
        <w:t xml:space="preserve"> Functions and Responsibilities</w:t>
      </w:r>
      <w:r w:rsidRPr="00327EF0">
        <w:t>:</w:t>
      </w:r>
    </w:p>
    <w:p w:rsidR="00327EF0" w:rsidRDefault="00327EF0" w:rsidP="007E7D7E">
      <w:pPr>
        <w:numPr>
          <w:ilvl w:val="0"/>
          <w:numId w:val="6"/>
        </w:numPr>
        <w:spacing w:line="360" w:lineRule="auto"/>
      </w:pPr>
      <w:r w:rsidRPr="00327EF0">
        <w:rPr>
          <w:b/>
          <w:bCs/>
        </w:rPr>
        <w:t>Chartering National Banks</w:t>
      </w:r>
      <w:r w:rsidRPr="00327EF0">
        <w:t>:</w:t>
      </w:r>
      <w:r>
        <w:t xml:space="preserve"> </w:t>
      </w:r>
      <w:r w:rsidRPr="00327EF0">
        <w:t>Issues charters for new national banks and federal savings associations, allowing them to operate legally in the United States.</w:t>
      </w:r>
    </w:p>
    <w:p w:rsidR="00327EF0" w:rsidRPr="00327EF0" w:rsidRDefault="002B35D5" w:rsidP="007E7D7E">
      <w:pPr>
        <w:spacing w:line="360" w:lineRule="auto"/>
        <w:ind w:left="720"/>
      </w:pPr>
      <w:r>
        <w:t>As of Year 2023, OCC supervises 765 national banks, 248 federal savings associations, 49 federal branches and agencies</w:t>
      </w:r>
      <w:r w:rsidR="00327EF0" w:rsidRPr="00327EF0">
        <w:t>.</w:t>
      </w:r>
    </w:p>
    <w:p w:rsidR="00327EF0" w:rsidRPr="00327EF0" w:rsidRDefault="00327EF0" w:rsidP="007E7D7E">
      <w:pPr>
        <w:numPr>
          <w:ilvl w:val="0"/>
          <w:numId w:val="6"/>
        </w:numPr>
        <w:spacing w:line="360" w:lineRule="auto"/>
      </w:pPr>
      <w:r w:rsidRPr="00327EF0">
        <w:rPr>
          <w:b/>
          <w:bCs/>
        </w:rPr>
        <w:t>Regulating and Supervising</w:t>
      </w:r>
      <w:r w:rsidRPr="00327EF0">
        <w:t>:</w:t>
      </w:r>
    </w:p>
    <w:p w:rsidR="00327EF0" w:rsidRPr="00327EF0" w:rsidRDefault="00327EF0" w:rsidP="007E7D7E">
      <w:pPr>
        <w:numPr>
          <w:ilvl w:val="1"/>
          <w:numId w:val="6"/>
        </w:numPr>
        <w:spacing w:line="360" w:lineRule="auto"/>
      </w:pPr>
      <w:r w:rsidRPr="00327EF0">
        <w:rPr>
          <w:b/>
          <w:bCs/>
        </w:rPr>
        <w:t>Supervision</w:t>
      </w:r>
      <w:r w:rsidRPr="00327EF0">
        <w:t>: Conducts regular examinations and evaluations to ensure national banks and federal savings associations adhere to sound banking practices and comply with applicable laws and regulations.</w:t>
      </w:r>
      <w:r w:rsidR="002B35D5">
        <w:t xml:space="preserve"> </w:t>
      </w:r>
      <w:r w:rsidR="002B35D5" w:rsidRPr="00327EF0">
        <w:t>In 2021, the OCC conducted over 1,700 examinations of national banks and federal savings associations.</w:t>
      </w:r>
    </w:p>
    <w:p w:rsidR="00327EF0" w:rsidRPr="00327EF0" w:rsidRDefault="00327EF0" w:rsidP="007E7D7E">
      <w:pPr>
        <w:numPr>
          <w:ilvl w:val="1"/>
          <w:numId w:val="6"/>
        </w:numPr>
        <w:spacing w:line="360" w:lineRule="auto"/>
      </w:pPr>
      <w:r w:rsidRPr="00327EF0">
        <w:rPr>
          <w:b/>
          <w:bCs/>
        </w:rPr>
        <w:t>Guidance</w:t>
      </w:r>
      <w:r w:rsidRPr="00327EF0">
        <w:t>: Provides guidance on risk management, capital adequacy, and operational practices.</w:t>
      </w:r>
    </w:p>
    <w:p w:rsidR="00327EF0" w:rsidRPr="00327EF0" w:rsidRDefault="00327EF0" w:rsidP="007E7D7E">
      <w:pPr>
        <w:numPr>
          <w:ilvl w:val="0"/>
          <w:numId w:val="6"/>
        </w:numPr>
        <w:spacing w:line="360" w:lineRule="auto"/>
      </w:pPr>
      <w:r w:rsidRPr="00327EF0">
        <w:rPr>
          <w:b/>
          <w:bCs/>
        </w:rPr>
        <w:t>Enforcing Compliance</w:t>
      </w:r>
      <w:r w:rsidRPr="00327EF0">
        <w:t>:</w:t>
      </w:r>
    </w:p>
    <w:p w:rsidR="00327EF0" w:rsidRPr="00327EF0" w:rsidRDefault="00327EF0" w:rsidP="007E7D7E">
      <w:pPr>
        <w:numPr>
          <w:ilvl w:val="1"/>
          <w:numId w:val="6"/>
        </w:numPr>
        <w:spacing w:line="360" w:lineRule="auto"/>
      </w:pPr>
      <w:r w:rsidRPr="00327EF0">
        <w:rPr>
          <w:b/>
          <w:bCs/>
        </w:rPr>
        <w:t>Compliance</w:t>
      </w:r>
      <w:r w:rsidRPr="00327EF0">
        <w:t>: Enforces banking laws and regulations, including anti-money laundering (AML) laws, the Bank Secrecy Act (BSA), and consumer protection laws.</w:t>
      </w:r>
    </w:p>
    <w:p w:rsidR="00327EF0" w:rsidRPr="00327EF0" w:rsidRDefault="00327EF0" w:rsidP="007E7D7E">
      <w:pPr>
        <w:numPr>
          <w:ilvl w:val="1"/>
          <w:numId w:val="6"/>
        </w:numPr>
        <w:spacing w:line="360" w:lineRule="auto"/>
      </w:pPr>
      <w:r w:rsidRPr="00327EF0">
        <w:rPr>
          <w:b/>
          <w:bCs/>
        </w:rPr>
        <w:t>Penalties</w:t>
      </w:r>
      <w:r w:rsidRPr="00327EF0">
        <w:t>: Imposes penalties and takes corrective actions against institutions that violate laws or engage in unsafe practices.</w:t>
      </w:r>
    </w:p>
    <w:p w:rsidR="00327EF0" w:rsidRPr="00327EF0" w:rsidRDefault="00327EF0" w:rsidP="007E7D7E">
      <w:pPr>
        <w:spacing w:line="360" w:lineRule="auto"/>
        <w:ind w:left="1440"/>
      </w:pPr>
      <w:r w:rsidRPr="00327EF0">
        <w:t>In 202</w:t>
      </w:r>
      <w:r w:rsidR="008B283E">
        <w:t>3</w:t>
      </w:r>
      <w:r w:rsidRPr="00327EF0">
        <w:t>, the OCC issued 4</w:t>
      </w:r>
      <w:r w:rsidR="008B283E">
        <w:t>3</w:t>
      </w:r>
      <w:r w:rsidRPr="00327EF0">
        <w:t xml:space="preserve"> enforceme</w:t>
      </w:r>
      <w:r w:rsidR="008B283E">
        <w:t>nt actions of $107,052,500</w:t>
      </w:r>
      <w:r w:rsidRPr="00327EF0">
        <w:t>.</w:t>
      </w:r>
    </w:p>
    <w:p w:rsidR="00327EF0" w:rsidRPr="00327EF0" w:rsidRDefault="00327EF0" w:rsidP="007E7D7E">
      <w:pPr>
        <w:numPr>
          <w:ilvl w:val="0"/>
          <w:numId w:val="6"/>
        </w:numPr>
        <w:spacing w:line="360" w:lineRule="auto"/>
      </w:pPr>
      <w:r w:rsidRPr="00327EF0">
        <w:rPr>
          <w:b/>
          <w:bCs/>
        </w:rPr>
        <w:t>Ensuring Fair Access</w:t>
      </w:r>
      <w:r w:rsidRPr="00327EF0">
        <w:t>:</w:t>
      </w:r>
    </w:p>
    <w:p w:rsidR="00327EF0" w:rsidRPr="00327EF0" w:rsidRDefault="00327EF0" w:rsidP="007E7D7E">
      <w:pPr>
        <w:numPr>
          <w:ilvl w:val="1"/>
          <w:numId w:val="6"/>
        </w:numPr>
        <w:spacing w:line="360" w:lineRule="auto"/>
      </w:pPr>
      <w:r w:rsidRPr="00327EF0">
        <w:rPr>
          <w:b/>
          <w:bCs/>
        </w:rPr>
        <w:t>Fair Lending</w:t>
      </w:r>
      <w:r w:rsidRPr="00327EF0">
        <w:t>: Promotes fair access to financial services and enforces laws that prohibit discriminatory lending practices.</w:t>
      </w:r>
    </w:p>
    <w:p w:rsidR="00327EF0" w:rsidRPr="00327EF0" w:rsidRDefault="00327EF0" w:rsidP="007E7D7E">
      <w:pPr>
        <w:numPr>
          <w:ilvl w:val="1"/>
          <w:numId w:val="6"/>
        </w:numPr>
        <w:spacing w:line="360" w:lineRule="auto"/>
      </w:pPr>
      <w:r w:rsidRPr="00327EF0">
        <w:rPr>
          <w:b/>
          <w:bCs/>
        </w:rPr>
        <w:t>Community Reinvestment</w:t>
      </w:r>
      <w:r w:rsidRPr="00327EF0">
        <w:t>: Ensures that banks meet the credit needs of their communities, particularly low- and moderate-income neighborhoods, through the Community Reinvestment Act (CRA).</w:t>
      </w:r>
    </w:p>
    <w:p w:rsidR="00327EF0" w:rsidRPr="00327EF0" w:rsidRDefault="00327EF0" w:rsidP="007E7D7E">
      <w:pPr>
        <w:spacing w:line="360" w:lineRule="auto"/>
        <w:ind w:left="1440"/>
      </w:pPr>
      <w:r w:rsidRPr="00327EF0">
        <w:t>In 2021, the OCC rated 90% of national banks and federal savings associations as satisfactory or outstanding under CRA evaluations.</w:t>
      </w:r>
    </w:p>
    <w:p w:rsidR="00327EF0" w:rsidRPr="00327EF0" w:rsidRDefault="00327EF0" w:rsidP="007E7D7E">
      <w:pPr>
        <w:numPr>
          <w:ilvl w:val="0"/>
          <w:numId w:val="6"/>
        </w:numPr>
        <w:spacing w:line="360" w:lineRule="auto"/>
      </w:pPr>
      <w:r w:rsidRPr="00327EF0">
        <w:rPr>
          <w:b/>
          <w:bCs/>
        </w:rPr>
        <w:lastRenderedPageBreak/>
        <w:t>Monitoring Financial Health</w:t>
      </w:r>
      <w:r w:rsidRPr="00327EF0">
        <w:t>:</w:t>
      </w:r>
    </w:p>
    <w:p w:rsidR="00327EF0" w:rsidRPr="00327EF0" w:rsidRDefault="00327EF0" w:rsidP="007E7D7E">
      <w:pPr>
        <w:numPr>
          <w:ilvl w:val="1"/>
          <w:numId w:val="6"/>
        </w:numPr>
        <w:spacing w:line="360" w:lineRule="auto"/>
      </w:pPr>
      <w:r w:rsidRPr="00327EF0">
        <w:rPr>
          <w:b/>
          <w:bCs/>
        </w:rPr>
        <w:t>Risk Assessment</w:t>
      </w:r>
      <w:r w:rsidRPr="00327EF0">
        <w:t>: Identifies and monitors risks to the banking system, including credit risk, market risk, and operational risk.</w:t>
      </w:r>
    </w:p>
    <w:p w:rsidR="00327EF0" w:rsidRPr="00327EF0" w:rsidRDefault="00327EF0" w:rsidP="007E7D7E">
      <w:pPr>
        <w:numPr>
          <w:ilvl w:val="1"/>
          <w:numId w:val="6"/>
        </w:numPr>
        <w:spacing w:line="360" w:lineRule="auto"/>
      </w:pPr>
      <w:r w:rsidRPr="00327EF0">
        <w:rPr>
          <w:b/>
          <w:bCs/>
        </w:rPr>
        <w:t>Stress Testing</w:t>
      </w:r>
      <w:r w:rsidRPr="00327EF0">
        <w:t>: Conducts stress tests to assess the resilience of banks under adverse economic conditions.</w:t>
      </w:r>
    </w:p>
    <w:p w:rsidR="00327EF0" w:rsidRPr="00327EF0" w:rsidRDefault="00327EF0" w:rsidP="007E7D7E">
      <w:pPr>
        <w:numPr>
          <w:ilvl w:val="1"/>
          <w:numId w:val="6"/>
        </w:numPr>
        <w:spacing w:line="360" w:lineRule="auto"/>
      </w:pPr>
      <w:r w:rsidRPr="00327EF0">
        <w:rPr>
          <w:b/>
          <w:bCs/>
        </w:rPr>
        <w:t>Data</w:t>
      </w:r>
      <w:r w:rsidRPr="00327EF0">
        <w:t>: In 2021, the OCC's stress tests covered banks holding over $10 trillion in combined assets.</w:t>
      </w:r>
    </w:p>
    <w:p w:rsidR="00327EF0" w:rsidRPr="00327EF0" w:rsidRDefault="00327EF0" w:rsidP="007E7D7E">
      <w:pPr>
        <w:numPr>
          <w:ilvl w:val="0"/>
          <w:numId w:val="6"/>
        </w:numPr>
        <w:spacing w:line="360" w:lineRule="auto"/>
      </w:pPr>
      <w:r w:rsidRPr="00327EF0">
        <w:rPr>
          <w:b/>
          <w:bCs/>
        </w:rPr>
        <w:t>Providing Expert Guidance</w:t>
      </w:r>
      <w:r w:rsidRPr="00327EF0">
        <w:t>:</w:t>
      </w:r>
    </w:p>
    <w:p w:rsidR="00327EF0" w:rsidRPr="00327EF0" w:rsidRDefault="00327EF0" w:rsidP="007E7D7E">
      <w:pPr>
        <w:numPr>
          <w:ilvl w:val="1"/>
          <w:numId w:val="6"/>
        </w:numPr>
        <w:spacing w:line="360" w:lineRule="auto"/>
      </w:pPr>
      <w:r w:rsidRPr="00327EF0">
        <w:rPr>
          <w:b/>
          <w:bCs/>
        </w:rPr>
        <w:t>Advisory</w:t>
      </w:r>
      <w:r w:rsidRPr="00327EF0">
        <w:t>: Offers expert guidance and technical assistance to national banks and federal savings associations on regulatory compliance, risk management, and best practices.</w:t>
      </w:r>
    </w:p>
    <w:p w:rsidR="00327EF0" w:rsidRPr="00327EF0" w:rsidRDefault="00327EF0" w:rsidP="007E7D7E">
      <w:pPr>
        <w:numPr>
          <w:ilvl w:val="1"/>
          <w:numId w:val="6"/>
        </w:numPr>
        <w:spacing w:line="360" w:lineRule="auto"/>
      </w:pPr>
      <w:r w:rsidRPr="00327EF0">
        <w:rPr>
          <w:b/>
          <w:bCs/>
        </w:rPr>
        <w:t>Data</w:t>
      </w:r>
      <w:r w:rsidRPr="00327EF0">
        <w:t>: The OCC issued over 40 new or revised supervisory policies and guidance documents in 2021.</w:t>
      </w:r>
    </w:p>
    <w:p w:rsidR="00327EF0" w:rsidRPr="00327EF0" w:rsidRDefault="00327EF0" w:rsidP="007E7D7E">
      <w:pPr>
        <w:numPr>
          <w:ilvl w:val="0"/>
          <w:numId w:val="6"/>
        </w:numPr>
        <w:spacing w:line="360" w:lineRule="auto"/>
      </w:pPr>
      <w:r w:rsidRPr="00327EF0">
        <w:rPr>
          <w:b/>
          <w:bCs/>
        </w:rPr>
        <w:t>Facilitating Innovation</w:t>
      </w:r>
      <w:r w:rsidRPr="00327EF0">
        <w:t>:</w:t>
      </w:r>
    </w:p>
    <w:p w:rsidR="00327EF0" w:rsidRPr="00327EF0" w:rsidRDefault="00327EF0" w:rsidP="007E7D7E">
      <w:pPr>
        <w:numPr>
          <w:ilvl w:val="1"/>
          <w:numId w:val="6"/>
        </w:numPr>
        <w:spacing w:line="360" w:lineRule="auto"/>
      </w:pPr>
      <w:proofErr w:type="spellStart"/>
      <w:r w:rsidRPr="00327EF0">
        <w:rPr>
          <w:b/>
          <w:bCs/>
        </w:rPr>
        <w:t>Fintech</w:t>
      </w:r>
      <w:proofErr w:type="spellEnd"/>
      <w:r w:rsidRPr="00327EF0">
        <w:rPr>
          <w:b/>
          <w:bCs/>
        </w:rPr>
        <w:t xml:space="preserve"> and Innovation</w:t>
      </w:r>
      <w:r w:rsidRPr="00327EF0">
        <w:t>: Supports responsible innovation in the financial sector, including the adoption of new technologies and business models, while ensuring risks are managed appropriately.</w:t>
      </w:r>
    </w:p>
    <w:p w:rsidR="00327EF0" w:rsidRPr="00327EF0" w:rsidRDefault="00327EF0" w:rsidP="007E7D7E">
      <w:pPr>
        <w:spacing w:line="360" w:lineRule="auto"/>
        <w:ind w:left="1440"/>
      </w:pPr>
      <w:r w:rsidRPr="00327EF0">
        <w:t xml:space="preserve">The OCC’s Office of Innovation engaged with over 200 </w:t>
      </w:r>
      <w:proofErr w:type="spellStart"/>
      <w:r w:rsidRPr="00327EF0">
        <w:t>fintech</w:t>
      </w:r>
      <w:proofErr w:type="spellEnd"/>
      <w:r w:rsidRPr="00327EF0">
        <w:t xml:space="preserve"> companies and banks in 2021 to discuss regulatory expectations and promote innovation.</w:t>
      </w:r>
    </w:p>
    <w:p w:rsidR="00327EF0" w:rsidRPr="00327EF0" w:rsidRDefault="00327EF0" w:rsidP="007E7D7E">
      <w:pPr>
        <w:numPr>
          <w:ilvl w:val="0"/>
          <w:numId w:val="6"/>
        </w:numPr>
        <w:spacing w:line="360" w:lineRule="auto"/>
      </w:pPr>
      <w:r w:rsidRPr="00327EF0">
        <w:rPr>
          <w:b/>
          <w:bCs/>
        </w:rPr>
        <w:t>Maintaining Public Trust</w:t>
      </w:r>
      <w:r w:rsidRPr="00327EF0">
        <w:t>:</w:t>
      </w:r>
    </w:p>
    <w:p w:rsidR="00327EF0" w:rsidRPr="00327EF0" w:rsidRDefault="00327EF0" w:rsidP="007E7D7E">
      <w:pPr>
        <w:numPr>
          <w:ilvl w:val="1"/>
          <w:numId w:val="6"/>
        </w:numPr>
        <w:spacing w:line="360" w:lineRule="auto"/>
      </w:pPr>
      <w:r w:rsidRPr="00327EF0">
        <w:rPr>
          <w:b/>
          <w:bCs/>
        </w:rPr>
        <w:t>Transparency and Accountability</w:t>
      </w:r>
      <w:r w:rsidRPr="00327EF0">
        <w:t>: Ensures transparency in its operations and decision-making processes to maintain public trust in the national banking system.</w:t>
      </w:r>
    </w:p>
    <w:p w:rsidR="00327EF0" w:rsidRPr="00327EF0" w:rsidRDefault="00327EF0" w:rsidP="007E7D7E">
      <w:pPr>
        <w:spacing w:line="360" w:lineRule="auto"/>
        <w:ind w:left="1440"/>
      </w:pPr>
      <w:r w:rsidRPr="00327EF0">
        <w:t>The OCC held 12 public meetings and forums in 2021 to discuss regulatory changes and gather stakeholder feedback.</w:t>
      </w:r>
    </w:p>
    <w:p w:rsidR="007E7D7E" w:rsidRDefault="007E7D7E" w:rsidP="007E7D7E">
      <w:pPr>
        <w:spacing w:line="360" w:lineRule="auto"/>
        <w:rPr>
          <w:b/>
          <w:bCs/>
        </w:rPr>
      </w:pPr>
    </w:p>
    <w:p w:rsidR="002B35D5" w:rsidRDefault="007E7D7E" w:rsidP="007E7D7E">
      <w:pPr>
        <w:spacing w:line="360" w:lineRule="auto"/>
        <w:rPr>
          <w:b/>
          <w:bCs/>
        </w:rPr>
      </w:pPr>
      <w:r>
        <w:rPr>
          <w:b/>
          <w:bCs/>
          <w:noProof/>
        </w:rPr>
        <w:lastRenderedPageBreak/>
        <w:drawing>
          <wp:anchor distT="0" distB="0" distL="114300" distR="114300" simplePos="0" relativeHeight="251663360" behindDoc="1" locked="0" layoutInCell="1" allowOverlap="1" wp14:anchorId="159081FB" wp14:editId="63D73AD8">
            <wp:simplePos x="0" y="0"/>
            <wp:positionH relativeFrom="column">
              <wp:posOffset>-629920</wp:posOffset>
            </wp:positionH>
            <wp:positionV relativeFrom="paragraph">
              <wp:posOffset>328930</wp:posOffset>
            </wp:positionV>
            <wp:extent cx="6982460" cy="3858895"/>
            <wp:effectExtent l="19050" t="19050" r="27940" b="27305"/>
            <wp:wrapTight wrapText="bothSides">
              <wp:wrapPolygon edited="0">
                <wp:start x="-59" y="-107"/>
                <wp:lineTo x="-59" y="21646"/>
                <wp:lineTo x="21628" y="21646"/>
                <wp:lineTo x="21628" y="-107"/>
                <wp:lineTo x="-59" y="-107"/>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57).png"/>
                    <pic:cNvPicPr/>
                  </pic:nvPicPr>
                  <pic:blipFill rotWithShape="1">
                    <a:blip r:embed="rId14">
                      <a:extLst>
                        <a:ext uri="{28A0092B-C50C-407E-A947-70E740481C1C}">
                          <a14:useLocalDpi xmlns:a14="http://schemas.microsoft.com/office/drawing/2010/main" val="0"/>
                        </a:ext>
                      </a:extLst>
                    </a:blip>
                    <a:srcRect l="26408" t="10676" r="7970" b="15659"/>
                    <a:stretch/>
                  </pic:blipFill>
                  <pic:spPr bwMode="auto">
                    <a:xfrm>
                      <a:off x="0" y="0"/>
                      <a:ext cx="6982460" cy="3858895"/>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B35D5" w:rsidRPr="002B35D5">
        <w:rPr>
          <w:b/>
          <w:bCs/>
        </w:rPr>
        <w:t>Change in Bank Control Act (Notices Processed With Disposition)</w:t>
      </w:r>
      <w:r w:rsidR="008B283E">
        <w:rPr>
          <w:b/>
          <w:bCs/>
        </w:rPr>
        <w:t>:</w:t>
      </w:r>
    </w:p>
    <w:p w:rsidR="008B283E" w:rsidRPr="007E7D7E" w:rsidRDefault="007E7D7E" w:rsidP="007E7D7E">
      <w:pPr>
        <w:spacing w:line="360" w:lineRule="auto"/>
        <w:rPr>
          <w:bCs/>
          <w:noProof/>
        </w:rPr>
      </w:pPr>
      <w:r w:rsidRPr="007E7D7E">
        <w:rPr>
          <w:bCs/>
          <w:noProof/>
        </w:rPr>
        <w:t>The Change in Bank Control Act of 1978 is a U.S. federal law designed to ensure that acquisitions of control of banks and bank holding companies occur in a manner consistent with the soundness and stability of the banking system. The Act requires individuals or entities intending to acquire control of a bank to notify the appropriate federal banking agency, which in the case of national banks and federal savings associations, is the Office of the Comptroller of the Currency (OCC).</w:t>
      </w:r>
    </w:p>
    <w:p w:rsidR="00CE2693" w:rsidRDefault="00CE2693" w:rsidP="00CE2693">
      <w:pPr>
        <w:pStyle w:val="Heading3"/>
        <w:spacing w:line="480" w:lineRule="auto"/>
      </w:pPr>
      <w:bookmarkStart w:id="50" w:name="_Toc168407335"/>
    </w:p>
    <w:p w:rsidR="00CE2693" w:rsidRPr="00CE2693" w:rsidRDefault="00CE2693" w:rsidP="00CE2693"/>
    <w:p w:rsidR="00CE2693" w:rsidRPr="00CE2693" w:rsidRDefault="00CE2693" w:rsidP="00CE2693"/>
    <w:p w:rsidR="00CE2693" w:rsidRDefault="00CE2693" w:rsidP="00CE2693">
      <w:pPr>
        <w:pStyle w:val="Heading3"/>
        <w:spacing w:line="480" w:lineRule="auto"/>
      </w:pPr>
    </w:p>
    <w:p w:rsidR="00CE2693" w:rsidRPr="00CE2693" w:rsidRDefault="00CE2693" w:rsidP="00CE2693"/>
    <w:p w:rsidR="00CE2693" w:rsidRDefault="00CE2693" w:rsidP="00CE2693">
      <w:pPr>
        <w:pStyle w:val="Heading1"/>
        <w:spacing w:line="360" w:lineRule="auto"/>
        <w:jc w:val="center"/>
      </w:pPr>
      <w:bookmarkStart w:id="51" w:name="_Toc169018620"/>
      <w:r w:rsidRPr="006673B5">
        <w:lastRenderedPageBreak/>
        <w:t>The Federal Reserve Syste</w:t>
      </w:r>
      <w:bookmarkEnd w:id="50"/>
      <w:r>
        <w:t>m</w:t>
      </w:r>
      <w:bookmarkEnd w:id="51"/>
    </w:p>
    <w:p w:rsidR="00CE2693" w:rsidRPr="006673B5" w:rsidRDefault="008547AA" w:rsidP="00CE2693">
      <w:pPr>
        <w:spacing w:line="360" w:lineRule="auto"/>
      </w:pPr>
      <w:r w:rsidRPr="00970139">
        <w:t xml:space="preserve">The </w:t>
      </w:r>
      <w:r w:rsidRPr="00970139">
        <w:rPr>
          <w:b/>
          <w:bCs/>
        </w:rPr>
        <w:t>Federal Reserve System</w:t>
      </w:r>
      <w:r w:rsidRPr="00970139">
        <w:t>, established by the Federal Reserve Act of 1913, is the central bank of the United States. Created to address financial instability, the Fed consists of a Board of Governors in Washington, D.C., and twelve regional Federal Reserve Banks. It manages the nation's money supply and interest rates, supervises banks, maintains financial stability, and provides financial services to institutions and the government. The Fed conducts monetary policy through open market operations, setting the discount rate, and regulating reserve requirements, aiming to promote maximum employment, stable prices, and moderate long-term interest rates</w:t>
      </w:r>
      <w:r w:rsidR="00CE2693" w:rsidRPr="006673B5">
        <w:t>.</w:t>
      </w:r>
    </w:p>
    <w:p w:rsidR="00CE2693" w:rsidRPr="006673B5" w:rsidRDefault="00CE2693" w:rsidP="00CE2693">
      <w:pPr>
        <w:spacing w:line="360" w:lineRule="auto"/>
      </w:pPr>
      <w:r w:rsidRPr="006673B5">
        <w:t>The Fed is a complex system with several key entities working together:</w:t>
      </w:r>
    </w:p>
    <w:p w:rsidR="00CE2693" w:rsidRPr="006673B5" w:rsidRDefault="00CE2693" w:rsidP="00CE2693">
      <w:pPr>
        <w:numPr>
          <w:ilvl w:val="0"/>
          <w:numId w:val="7"/>
        </w:numPr>
        <w:spacing w:line="360" w:lineRule="auto"/>
      </w:pPr>
      <w:r w:rsidRPr="006673B5">
        <w:rPr>
          <w:b/>
          <w:bCs/>
        </w:rPr>
        <w:t>Board of Governors:</w:t>
      </w:r>
      <w:r w:rsidRPr="006673B5">
        <w:t xml:space="preserve"> Appointed by the President and confirmed by the Senate, these seven individuals oversee the entire Federal Reserve System. They set monetary policy by determining the federal funds rate, which influences other interest rates in the economy.</w:t>
      </w:r>
    </w:p>
    <w:p w:rsidR="00CE2693" w:rsidRPr="006673B5" w:rsidRDefault="00CE2693" w:rsidP="00CE2693">
      <w:pPr>
        <w:numPr>
          <w:ilvl w:val="0"/>
          <w:numId w:val="7"/>
        </w:numPr>
        <w:spacing w:line="360" w:lineRule="auto"/>
      </w:pPr>
      <w:r w:rsidRPr="006673B5">
        <w:rPr>
          <w:b/>
          <w:bCs/>
        </w:rPr>
        <w:t>Federal Reserve Banks:</w:t>
      </w:r>
      <w:r w:rsidRPr="006673B5">
        <w:t xml:space="preserve"> There are twelve regional Federal Reserve Banks located throughout the US. They:</w:t>
      </w:r>
    </w:p>
    <w:p w:rsidR="00CE2693" w:rsidRPr="006673B5" w:rsidRDefault="00CE2693" w:rsidP="00CE2693">
      <w:pPr>
        <w:numPr>
          <w:ilvl w:val="1"/>
          <w:numId w:val="7"/>
        </w:numPr>
        <w:spacing w:line="360" w:lineRule="auto"/>
      </w:pPr>
      <w:r w:rsidRPr="006673B5">
        <w:t>Hold reserves for member banks.</w:t>
      </w:r>
    </w:p>
    <w:p w:rsidR="00CE2693" w:rsidRPr="006673B5" w:rsidRDefault="00CE2693" w:rsidP="00CE2693">
      <w:pPr>
        <w:numPr>
          <w:ilvl w:val="1"/>
          <w:numId w:val="7"/>
        </w:numPr>
        <w:spacing w:line="360" w:lineRule="auto"/>
      </w:pPr>
      <w:r w:rsidRPr="006673B5">
        <w:t>Provide financial services to banks, including lending and check clearing.</w:t>
      </w:r>
    </w:p>
    <w:p w:rsidR="00CE2693" w:rsidRPr="006673B5" w:rsidRDefault="00CE2693" w:rsidP="00CE2693">
      <w:pPr>
        <w:numPr>
          <w:ilvl w:val="1"/>
          <w:numId w:val="7"/>
        </w:numPr>
        <w:spacing w:line="360" w:lineRule="auto"/>
      </w:pPr>
      <w:r w:rsidRPr="006673B5">
        <w:t>Implement monetary policy directives set by the Board of Governors.</w:t>
      </w:r>
    </w:p>
    <w:p w:rsidR="00CE2693" w:rsidRPr="008547AA" w:rsidRDefault="00CE2693" w:rsidP="00CE2693">
      <w:pPr>
        <w:pStyle w:val="ListParagraph"/>
        <w:numPr>
          <w:ilvl w:val="0"/>
          <w:numId w:val="7"/>
        </w:numPr>
        <w:spacing w:line="360" w:lineRule="auto"/>
        <w:rPr>
          <w:b/>
          <w:bCs/>
        </w:rPr>
      </w:pPr>
      <w:r w:rsidRPr="00CE2693">
        <w:rPr>
          <w:b/>
          <w:bCs/>
        </w:rPr>
        <w:t>Federal Open Market Committee (FOMC):</w:t>
      </w:r>
      <w:r w:rsidRPr="006673B5">
        <w:t xml:space="preserve"> This committee, made up of the Board of Governors and five representatives from the Federal Reserve Banks, sets the target federal funds rate through open market operations.</w:t>
      </w:r>
    </w:p>
    <w:p w:rsidR="008547AA" w:rsidRDefault="008547AA" w:rsidP="008547AA">
      <w:pPr>
        <w:spacing w:before="100" w:beforeAutospacing="1" w:after="100" w:afterAutospacing="1" w:line="360" w:lineRule="auto"/>
        <w:rPr>
          <w:rFonts w:eastAsia="Times New Roman" w:cstheme="minorHAnsi"/>
          <w:b/>
          <w:bCs/>
        </w:rPr>
      </w:pPr>
    </w:p>
    <w:p w:rsidR="008547AA" w:rsidRDefault="008547AA" w:rsidP="008547AA">
      <w:pPr>
        <w:spacing w:before="100" w:beforeAutospacing="1" w:after="100" w:afterAutospacing="1" w:line="360" w:lineRule="auto"/>
        <w:rPr>
          <w:rFonts w:eastAsia="Times New Roman" w:cstheme="minorHAnsi"/>
          <w:b/>
          <w:bCs/>
        </w:rPr>
      </w:pPr>
    </w:p>
    <w:p w:rsidR="008547AA" w:rsidRDefault="008547AA" w:rsidP="008547AA">
      <w:pPr>
        <w:spacing w:before="100" w:beforeAutospacing="1" w:after="100" w:afterAutospacing="1" w:line="360" w:lineRule="auto"/>
        <w:rPr>
          <w:rFonts w:eastAsia="Times New Roman" w:cstheme="minorHAnsi"/>
          <w:b/>
          <w:bCs/>
        </w:rPr>
      </w:pPr>
    </w:p>
    <w:p w:rsidR="008547AA" w:rsidRDefault="008547AA" w:rsidP="008547AA">
      <w:pPr>
        <w:spacing w:before="100" w:beforeAutospacing="1" w:after="100" w:afterAutospacing="1" w:line="360" w:lineRule="auto"/>
        <w:rPr>
          <w:rFonts w:eastAsia="Times New Roman" w:cstheme="minorHAnsi"/>
          <w:b/>
          <w:bCs/>
        </w:rPr>
      </w:pPr>
    </w:p>
    <w:p w:rsidR="008547AA" w:rsidRDefault="008547AA" w:rsidP="008547AA">
      <w:pPr>
        <w:spacing w:before="100" w:beforeAutospacing="1" w:after="100" w:afterAutospacing="1" w:line="360" w:lineRule="auto"/>
        <w:rPr>
          <w:rFonts w:eastAsia="Times New Roman" w:cstheme="minorHAnsi"/>
          <w:b/>
          <w:bCs/>
        </w:rPr>
      </w:pPr>
    </w:p>
    <w:p w:rsidR="008547AA" w:rsidRPr="008547AA" w:rsidRDefault="008547AA" w:rsidP="008547AA">
      <w:pPr>
        <w:spacing w:before="100" w:beforeAutospacing="1" w:after="100" w:afterAutospacing="1" w:line="360" w:lineRule="auto"/>
        <w:rPr>
          <w:rFonts w:eastAsia="Times New Roman" w:cstheme="minorHAnsi"/>
        </w:rPr>
      </w:pPr>
      <w:r w:rsidRPr="008547AA">
        <w:rPr>
          <w:rFonts w:eastAsia="Times New Roman" w:cstheme="minorHAnsi"/>
          <w:b/>
          <w:bCs/>
        </w:rPr>
        <w:lastRenderedPageBreak/>
        <w:t>Key Functions and Responsibilities</w:t>
      </w:r>
      <w:r w:rsidRPr="008547AA">
        <w:rPr>
          <w:rFonts w:eastAsia="Times New Roman" w:cstheme="minorHAnsi"/>
        </w:rPr>
        <w:t>:</w:t>
      </w:r>
    </w:p>
    <w:p w:rsidR="008547AA" w:rsidRPr="008547AA" w:rsidRDefault="008547AA" w:rsidP="008547AA">
      <w:pPr>
        <w:numPr>
          <w:ilvl w:val="0"/>
          <w:numId w:val="8"/>
        </w:numPr>
        <w:spacing w:before="100" w:beforeAutospacing="1" w:after="100" w:afterAutospacing="1" w:line="360" w:lineRule="auto"/>
        <w:rPr>
          <w:rFonts w:eastAsia="Times New Roman" w:cstheme="minorHAnsi"/>
        </w:rPr>
      </w:pPr>
      <w:r w:rsidRPr="008547AA">
        <w:rPr>
          <w:rFonts w:eastAsia="Times New Roman" w:cstheme="minorHAnsi"/>
          <w:b/>
          <w:bCs/>
        </w:rPr>
        <w:t>Monetary Policy</w:t>
      </w:r>
      <w:r w:rsidRPr="008547AA">
        <w:rPr>
          <w:rFonts w:eastAsia="Times New Roman" w:cstheme="minorHAnsi"/>
        </w:rPr>
        <w:t>:</w:t>
      </w:r>
    </w:p>
    <w:p w:rsidR="008547AA" w:rsidRPr="008547AA" w:rsidRDefault="008547AA" w:rsidP="008547AA">
      <w:pPr>
        <w:numPr>
          <w:ilvl w:val="1"/>
          <w:numId w:val="8"/>
        </w:numPr>
        <w:spacing w:before="100" w:beforeAutospacing="1" w:after="100" w:afterAutospacing="1" w:line="360" w:lineRule="auto"/>
        <w:rPr>
          <w:rFonts w:eastAsia="Times New Roman" w:cstheme="minorHAnsi"/>
        </w:rPr>
      </w:pPr>
      <w:r w:rsidRPr="008547AA">
        <w:rPr>
          <w:rFonts w:eastAsia="Times New Roman" w:cstheme="minorHAnsi"/>
          <w:b/>
          <w:bCs/>
        </w:rPr>
        <w:t>Objective</w:t>
      </w:r>
      <w:r w:rsidRPr="008547AA">
        <w:rPr>
          <w:rFonts w:eastAsia="Times New Roman" w:cstheme="minorHAnsi"/>
        </w:rPr>
        <w:t>: Manages the nation’s money supply and interest rates to achieve maximum employment, stable prices, and moderate long-term interest rates.</w:t>
      </w:r>
    </w:p>
    <w:p w:rsidR="008547AA" w:rsidRDefault="008547AA" w:rsidP="008547AA">
      <w:pPr>
        <w:numPr>
          <w:ilvl w:val="1"/>
          <w:numId w:val="8"/>
        </w:numPr>
        <w:spacing w:before="100" w:beforeAutospacing="1" w:after="100" w:afterAutospacing="1" w:line="360" w:lineRule="auto"/>
        <w:rPr>
          <w:rFonts w:eastAsia="Times New Roman" w:cstheme="minorHAnsi"/>
        </w:rPr>
      </w:pPr>
      <w:r w:rsidRPr="008547AA">
        <w:rPr>
          <w:rFonts w:eastAsia="Times New Roman" w:cstheme="minorHAnsi"/>
          <w:b/>
          <w:bCs/>
        </w:rPr>
        <w:t>Tools</w:t>
      </w:r>
      <w:r w:rsidRPr="008547AA">
        <w:rPr>
          <w:rFonts w:eastAsia="Times New Roman" w:cstheme="minorHAnsi"/>
        </w:rPr>
        <w:t>: Utilizes tools such as open market operations, the discount rate, and reserve requirements.</w:t>
      </w:r>
    </w:p>
    <w:p w:rsidR="008547AA" w:rsidRPr="008547AA" w:rsidRDefault="008547AA" w:rsidP="008547AA">
      <w:pPr>
        <w:pStyle w:val="ListParagraph"/>
        <w:numPr>
          <w:ilvl w:val="1"/>
          <w:numId w:val="8"/>
        </w:numPr>
        <w:spacing w:before="100" w:beforeAutospacing="1" w:after="100" w:afterAutospacing="1" w:line="360" w:lineRule="auto"/>
        <w:rPr>
          <w:rFonts w:eastAsia="Times New Roman" w:cstheme="minorHAnsi"/>
        </w:rPr>
      </w:pPr>
      <w:r w:rsidRPr="008547AA">
        <w:rPr>
          <w:rFonts w:eastAsia="Times New Roman" w:cstheme="minorHAnsi"/>
        </w:rPr>
        <w:t>As of June 2023, the federal funds rate target range is 5.00% to 5.25%</w:t>
      </w:r>
      <w:r>
        <w:rPr>
          <w:rFonts w:eastAsia="MS Gothic" w:cstheme="minorHAnsi"/>
        </w:rPr>
        <w:t>.</w:t>
      </w:r>
    </w:p>
    <w:p w:rsidR="008547AA" w:rsidRPr="008547AA" w:rsidRDefault="008547AA" w:rsidP="008547AA">
      <w:pPr>
        <w:numPr>
          <w:ilvl w:val="0"/>
          <w:numId w:val="8"/>
        </w:numPr>
        <w:spacing w:before="100" w:beforeAutospacing="1" w:after="100" w:afterAutospacing="1" w:line="360" w:lineRule="auto"/>
        <w:rPr>
          <w:rFonts w:eastAsia="Times New Roman" w:cstheme="minorHAnsi"/>
        </w:rPr>
      </w:pPr>
      <w:r w:rsidRPr="008547AA">
        <w:rPr>
          <w:rFonts w:eastAsia="Times New Roman" w:cstheme="minorHAnsi"/>
          <w:b/>
          <w:bCs/>
        </w:rPr>
        <w:t>Financial Supervision and Regulation</w:t>
      </w:r>
      <w:r w:rsidRPr="008547AA">
        <w:rPr>
          <w:rFonts w:eastAsia="Times New Roman" w:cstheme="minorHAnsi"/>
        </w:rPr>
        <w:t>:</w:t>
      </w:r>
    </w:p>
    <w:p w:rsidR="008547AA" w:rsidRPr="008547AA" w:rsidRDefault="008547AA" w:rsidP="008547AA">
      <w:pPr>
        <w:numPr>
          <w:ilvl w:val="1"/>
          <w:numId w:val="8"/>
        </w:numPr>
        <w:spacing w:before="100" w:beforeAutospacing="1" w:after="100" w:afterAutospacing="1" w:line="360" w:lineRule="auto"/>
        <w:rPr>
          <w:rFonts w:eastAsia="Times New Roman" w:cstheme="minorHAnsi"/>
        </w:rPr>
      </w:pPr>
      <w:r w:rsidRPr="008547AA">
        <w:rPr>
          <w:rFonts w:eastAsia="Times New Roman" w:cstheme="minorHAnsi"/>
          <w:b/>
          <w:bCs/>
        </w:rPr>
        <w:t>Supervision</w:t>
      </w:r>
      <w:r w:rsidRPr="008547AA">
        <w:rPr>
          <w:rFonts w:eastAsia="Times New Roman" w:cstheme="minorHAnsi"/>
        </w:rPr>
        <w:t>: Supervises and regulates banking institutions to ensure the safety and soundness of the nation’s banking and financial system.</w:t>
      </w:r>
    </w:p>
    <w:p w:rsidR="008547AA" w:rsidRPr="008547AA" w:rsidRDefault="008547AA" w:rsidP="008547AA">
      <w:pPr>
        <w:numPr>
          <w:ilvl w:val="1"/>
          <w:numId w:val="8"/>
        </w:numPr>
        <w:spacing w:before="100" w:beforeAutospacing="1" w:after="100" w:afterAutospacing="1" w:line="360" w:lineRule="auto"/>
        <w:rPr>
          <w:rFonts w:eastAsia="Times New Roman" w:cstheme="minorHAnsi"/>
        </w:rPr>
      </w:pPr>
      <w:r w:rsidRPr="008547AA">
        <w:rPr>
          <w:rFonts w:eastAsia="Times New Roman" w:cstheme="minorHAnsi"/>
          <w:b/>
          <w:bCs/>
        </w:rPr>
        <w:t>Consumer Protection</w:t>
      </w:r>
      <w:r w:rsidRPr="008547AA">
        <w:rPr>
          <w:rFonts w:eastAsia="Times New Roman" w:cstheme="minorHAnsi"/>
        </w:rPr>
        <w:t>: Enforces consumer protection laws and promotes fair lending practices.</w:t>
      </w:r>
    </w:p>
    <w:p w:rsidR="008547AA" w:rsidRPr="008547AA" w:rsidRDefault="008547AA" w:rsidP="008547AA">
      <w:pPr>
        <w:numPr>
          <w:ilvl w:val="1"/>
          <w:numId w:val="8"/>
        </w:numPr>
        <w:spacing w:before="100" w:beforeAutospacing="1" w:after="100" w:afterAutospacing="1" w:line="360" w:lineRule="auto"/>
        <w:rPr>
          <w:rFonts w:eastAsia="Times New Roman" w:cstheme="minorHAnsi"/>
        </w:rPr>
      </w:pPr>
      <w:r w:rsidRPr="008547AA">
        <w:rPr>
          <w:rFonts w:eastAsia="Times New Roman" w:cstheme="minorHAnsi"/>
        </w:rPr>
        <w:t xml:space="preserve"> The Fed oversees approximately 5,000 bank holding companies, 850 state-chartered banks, and numerous other financial institutions</w:t>
      </w:r>
      <w:r>
        <w:rPr>
          <w:rFonts w:eastAsia="MS Gothic" w:cstheme="minorHAnsi"/>
        </w:rPr>
        <w:t xml:space="preserve"> as of 2022</w:t>
      </w:r>
      <w:r w:rsidRPr="008547AA">
        <w:rPr>
          <w:rFonts w:eastAsia="Times New Roman" w:cstheme="minorHAnsi"/>
        </w:rPr>
        <w:t>.</w:t>
      </w:r>
    </w:p>
    <w:p w:rsidR="008547AA" w:rsidRPr="008547AA" w:rsidRDefault="008547AA" w:rsidP="008547AA">
      <w:pPr>
        <w:numPr>
          <w:ilvl w:val="0"/>
          <w:numId w:val="8"/>
        </w:numPr>
        <w:spacing w:before="100" w:beforeAutospacing="1" w:after="100" w:afterAutospacing="1" w:line="360" w:lineRule="auto"/>
        <w:rPr>
          <w:rFonts w:eastAsia="Times New Roman" w:cstheme="minorHAnsi"/>
        </w:rPr>
      </w:pPr>
      <w:r w:rsidRPr="008547AA">
        <w:rPr>
          <w:rFonts w:eastAsia="Times New Roman" w:cstheme="minorHAnsi"/>
          <w:b/>
          <w:bCs/>
        </w:rPr>
        <w:t>Financial Stability</w:t>
      </w:r>
      <w:r w:rsidRPr="008547AA">
        <w:rPr>
          <w:rFonts w:eastAsia="Times New Roman" w:cstheme="minorHAnsi"/>
        </w:rPr>
        <w:t>:</w:t>
      </w:r>
    </w:p>
    <w:p w:rsidR="008547AA" w:rsidRPr="008547AA" w:rsidRDefault="008547AA" w:rsidP="008547AA">
      <w:pPr>
        <w:numPr>
          <w:ilvl w:val="1"/>
          <w:numId w:val="8"/>
        </w:numPr>
        <w:spacing w:before="100" w:beforeAutospacing="1" w:after="100" w:afterAutospacing="1" w:line="360" w:lineRule="auto"/>
        <w:rPr>
          <w:rFonts w:eastAsia="Times New Roman" w:cstheme="minorHAnsi"/>
        </w:rPr>
      </w:pPr>
      <w:r w:rsidRPr="008547AA">
        <w:rPr>
          <w:rFonts w:eastAsia="Times New Roman" w:cstheme="minorHAnsi"/>
          <w:b/>
          <w:bCs/>
        </w:rPr>
        <w:t>Monitoring</w:t>
      </w:r>
      <w:r w:rsidRPr="008547AA">
        <w:rPr>
          <w:rFonts w:eastAsia="Times New Roman" w:cstheme="minorHAnsi"/>
        </w:rPr>
        <w:t>: Monitors and addresses risks to the financial system to enhance stability and prevent financial crises.</w:t>
      </w:r>
    </w:p>
    <w:p w:rsidR="008547AA" w:rsidRPr="008547AA" w:rsidRDefault="008547AA" w:rsidP="008547AA">
      <w:pPr>
        <w:numPr>
          <w:ilvl w:val="1"/>
          <w:numId w:val="8"/>
        </w:numPr>
        <w:spacing w:before="100" w:beforeAutospacing="1" w:after="100" w:afterAutospacing="1" w:line="360" w:lineRule="auto"/>
        <w:rPr>
          <w:rFonts w:eastAsia="Times New Roman" w:cstheme="minorHAnsi"/>
        </w:rPr>
      </w:pPr>
      <w:r w:rsidRPr="008547AA">
        <w:rPr>
          <w:rFonts w:eastAsia="Times New Roman" w:cstheme="minorHAnsi"/>
          <w:b/>
          <w:bCs/>
        </w:rPr>
        <w:t>Crisis Management</w:t>
      </w:r>
      <w:r w:rsidRPr="008547AA">
        <w:rPr>
          <w:rFonts w:eastAsia="Times New Roman" w:cstheme="minorHAnsi"/>
        </w:rPr>
        <w:t>: Provides liquidity to banks during times of financial stress through its lender of last resort function.</w:t>
      </w:r>
    </w:p>
    <w:p w:rsidR="008547AA" w:rsidRPr="008547AA" w:rsidRDefault="008547AA" w:rsidP="008547AA">
      <w:pPr>
        <w:numPr>
          <w:ilvl w:val="1"/>
          <w:numId w:val="8"/>
        </w:numPr>
        <w:spacing w:before="100" w:beforeAutospacing="1" w:after="100" w:afterAutospacing="1" w:line="360" w:lineRule="auto"/>
        <w:rPr>
          <w:rFonts w:eastAsia="Times New Roman" w:cstheme="minorHAnsi"/>
        </w:rPr>
      </w:pPr>
      <w:r w:rsidRPr="008547AA">
        <w:rPr>
          <w:rFonts w:eastAsia="Times New Roman" w:cstheme="minorHAnsi"/>
        </w:rPr>
        <w:t>During the 2020 COVID-19 pandemic, the Fed launched emergency lending programs totaling over $2 trillion to support the economy.</w:t>
      </w:r>
    </w:p>
    <w:p w:rsidR="008547AA" w:rsidRPr="008547AA" w:rsidRDefault="008547AA" w:rsidP="008547AA">
      <w:pPr>
        <w:numPr>
          <w:ilvl w:val="0"/>
          <w:numId w:val="8"/>
        </w:numPr>
        <w:spacing w:before="100" w:beforeAutospacing="1" w:after="100" w:afterAutospacing="1" w:line="360" w:lineRule="auto"/>
        <w:rPr>
          <w:rFonts w:eastAsia="Times New Roman" w:cstheme="minorHAnsi"/>
        </w:rPr>
      </w:pPr>
      <w:r w:rsidRPr="008547AA">
        <w:rPr>
          <w:rFonts w:eastAsia="Times New Roman" w:cstheme="minorHAnsi"/>
          <w:b/>
          <w:bCs/>
        </w:rPr>
        <w:t>Payment Systems</w:t>
      </w:r>
      <w:r w:rsidRPr="008547AA">
        <w:rPr>
          <w:rFonts w:eastAsia="Times New Roman" w:cstheme="minorHAnsi"/>
        </w:rPr>
        <w:t>:</w:t>
      </w:r>
    </w:p>
    <w:p w:rsidR="008547AA" w:rsidRPr="008547AA" w:rsidRDefault="008547AA" w:rsidP="008547AA">
      <w:pPr>
        <w:numPr>
          <w:ilvl w:val="1"/>
          <w:numId w:val="8"/>
        </w:numPr>
        <w:spacing w:before="100" w:beforeAutospacing="1" w:after="100" w:afterAutospacing="1" w:line="360" w:lineRule="auto"/>
        <w:rPr>
          <w:rFonts w:eastAsia="Times New Roman" w:cstheme="minorHAnsi"/>
        </w:rPr>
      </w:pPr>
      <w:r w:rsidRPr="008547AA">
        <w:rPr>
          <w:rFonts w:eastAsia="Times New Roman" w:cstheme="minorHAnsi"/>
          <w:b/>
          <w:bCs/>
        </w:rPr>
        <w:t>Facilitation</w:t>
      </w:r>
      <w:r w:rsidRPr="008547AA">
        <w:rPr>
          <w:rFonts w:eastAsia="Times New Roman" w:cstheme="minorHAnsi"/>
        </w:rPr>
        <w:t>: Ensures the efficiency and safety of the payments and settlement system, including electronic payments and check clearing.</w:t>
      </w:r>
    </w:p>
    <w:p w:rsidR="008547AA" w:rsidRPr="008547AA" w:rsidRDefault="008547AA" w:rsidP="008547AA">
      <w:pPr>
        <w:numPr>
          <w:ilvl w:val="1"/>
          <w:numId w:val="8"/>
        </w:numPr>
        <w:spacing w:before="100" w:beforeAutospacing="1" w:after="100" w:afterAutospacing="1" w:line="360" w:lineRule="auto"/>
        <w:rPr>
          <w:rFonts w:eastAsia="Times New Roman" w:cstheme="minorHAnsi"/>
        </w:rPr>
      </w:pPr>
      <w:r w:rsidRPr="008547AA">
        <w:rPr>
          <w:rFonts w:eastAsia="Times New Roman" w:cstheme="minorHAnsi"/>
          <w:b/>
          <w:bCs/>
        </w:rPr>
        <w:t>Innovation</w:t>
      </w:r>
      <w:r w:rsidRPr="008547AA">
        <w:rPr>
          <w:rFonts w:eastAsia="Times New Roman" w:cstheme="minorHAnsi"/>
        </w:rPr>
        <w:t>: Supports and implements innovations in payment technologies.</w:t>
      </w:r>
    </w:p>
    <w:p w:rsidR="008547AA" w:rsidRPr="008547AA" w:rsidRDefault="008547AA" w:rsidP="008547AA">
      <w:pPr>
        <w:numPr>
          <w:ilvl w:val="1"/>
          <w:numId w:val="8"/>
        </w:numPr>
        <w:spacing w:before="100" w:beforeAutospacing="1" w:after="100" w:afterAutospacing="1" w:line="360" w:lineRule="auto"/>
        <w:rPr>
          <w:rFonts w:eastAsia="Times New Roman" w:cstheme="minorHAnsi"/>
        </w:rPr>
      </w:pPr>
      <w:r w:rsidRPr="008547AA">
        <w:rPr>
          <w:rFonts w:eastAsia="Times New Roman" w:cstheme="minorHAnsi"/>
        </w:rPr>
        <w:t>The Fed processes approximately 6 billion checks annually, with a total value exceeding $30 trillion.</w:t>
      </w:r>
    </w:p>
    <w:p w:rsidR="008547AA" w:rsidRPr="008547AA" w:rsidRDefault="008547AA" w:rsidP="008547AA">
      <w:pPr>
        <w:numPr>
          <w:ilvl w:val="0"/>
          <w:numId w:val="8"/>
        </w:numPr>
        <w:spacing w:before="100" w:beforeAutospacing="1" w:after="100" w:afterAutospacing="1" w:line="360" w:lineRule="auto"/>
        <w:rPr>
          <w:rFonts w:eastAsia="Times New Roman" w:cstheme="minorHAnsi"/>
        </w:rPr>
      </w:pPr>
      <w:r w:rsidRPr="008547AA">
        <w:rPr>
          <w:rFonts w:eastAsia="Times New Roman" w:cstheme="minorHAnsi"/>
          <w:b/>
          <w:bCs/>
        </w:rPr>
        <w:t>Economic Research and Data</w:t>
      </w:r>
      <w:r w:rsidRPr="008547AA">
        <w:rPr>
          <w:rFonts w:eastAsia="Times New Roman" w:cstheme="minorHAnsi"/>
        </w:rPr>
        <w:t>:</w:t>
      </w:r>
    </w:p>
    <w:p w:rsidR="008547AA" w:rsidRPr="008547AA" w:rsidRDefault="008547AA" w:rsidP="008547AA">
      <w:pPr>
        <w:numPr>
          <w:ilvl w:val="1"/>
          <w:numId w:val="8"/>
        </w:numPr>
        <w:spacing w:before="100" w:beforeAutospacing="1" w:after="100" w:afterAutospacing="1" w:line="360" w:lineRule="auto"/>
        <w:rPr>
          <w:rFonts w:eastAsia="Times New Roman" w:cstheme="minorHAnsi"/>
        </w:rPr>
      </w:pPr>
      <w:r w:rsidRPr="008547AA">
        <w:rPr>
          <w:rFonts w:eastAsia="Times New Roman" w:cstheme="minorHAnsi"/>
          <w:b/>
          <w:bCs/>
        </w:rPr>
        <w:t>Research</w:t>
      </w:r>
      <w:r w:rsidRPr="008547AA">
        <w:rPr>
          <w:rFonts w:eastAsia="Times New Roman" w:cstheme="minorHAnsi"/>
        </w:rPr>
        <w:t>: Conducts research on economic issues and provides data and analysis to policymakers, academics, and the public.</w:t>
      </w:r>
    </w:p>
    <w:p w:rsidR="008547AA" w:rsidRPr="008547AA" w:rsidRDefault="008547AA" w:rsidP="008547AA">
      <w:pPr>
        <w:numPr>
          <w:ilvl w:val="1"/>
          <w:numId w:val="8"/>
        </w:numPr>
        <w:spacing w:before="100" w:beforeAutospacing="1" w:after="100" w:afterAutospacing="1" w:line="360" w:lineRule="auto"/>
        <w:rPr>
          <w:rFonts w:eastAsia="Times New Roman" w:cstheme="minorHAnsi"/>
        </w:rPr>
      </w:pPr>
      <w:r w:rsidRPr="008547AA">
        <w:rPr>
          <w:rFonts w:eastAsia="Times New Roman" w:cstheme="minorHAnsi"/>
          <w:b/>
          <w:bCs/>
        </w:rPr>
        <w:lastRenderedPageBreak/>
        <w:t>Publications</w:t>
      </w:r>
      <w:r w:rsidRPr="008547AA">
        <w:rPr>
          <w:rFonts w:eastAsia="Times New Roman" w:cstheme="minorHAnsi"/>
        </w:rPr>
        <w:t>: Publishes reports such as the Beige Book, which provides a summary of economic conditions across the country.</w:t>
      </w:r>
    </w:p>
    <w:p w:rsidR="008547AA" w:rsidRPr="008547AA" w:rsidRDefault="008547AA" w:rsidP="008547AA">
      <w:pPr>
        <w:numPr>
          <w:ilvl w:val="1"/>
          <w:numId w:val="8"/>
        </w:numPr>
        <w:spacing w:before="100" w:beforeAutospacing="1" w:after="100" w:afterAutospacing="1" w:line="360" w:lineRule="auto"/>
        <w:rPr>
          <w:rFonts w:eastAsia="Times New Roman" w:cstheme="minorHAnsi"/>
        </w:rPr>
      </w:pPr>
      <w:r w:rsidRPr="008547AA">
        <w:rPr>
          <w:rFonts w:eastAsia="Times New Roman" w:cstheme="minorHAnsi"/>
        </w:rPr>
        <w:t>The Fed’s research division produces hundreds of working papers, research articles, and policy reports each year.</w:t>
      </w:r>
    </w:p>
    <w:p w:rsidR="008547AA" w:rsidRPr="008547AA" w:rsidRDefault="008547AA" w:rsidP="008547AA">
      <w:pPr>
        <w:numPr>
          <w:ilvl w:val="0"/>
          <w:numId w:val="8"/>
        </w:numPr>
        <w:spacing w:before="100" w:beforeAutospacing="1" w:after="100" w:afterAutospacing="1" w:line="360" w:lineRule="auto"/>
        <w:rPr>
          <w:rFonts w:eastAsia="Times New Roman" w:cstheme="minorHAnsi"/>
        </w:rPr>
      </w:pPr>
      <w:r w:rsidRPr="008547AA">
        <w:rPr>
          <w:rFonts w:eastAsia="Times New Roman" w:cstheme="minorHAnsi"/>
          <w:b/>
          <w:bCs/>
        </w:rPr>
        <w:t>Services to the U.S. Government</w:t>
      </w:r>
      <w:r w:rsidRPr="008547AA">
        <w:rPr>
          <w:rFonts w:eastAsia="Times New Roman" w:cstheme="minorHAnsi"/>
        </w:rPr>
        <w:t>:</w:t>
      </w:r>
    </w:p>
    <w:p w:rsidR="008547AA" w:rsidRPr="008547AA" w:rsidRDefault="008547AA" w:rsidP="008547AA">
      <w:pPr>
        <w:numPr>
          <w:ilvl w:val="1"/>
          <w:numId w:val="8"/>
        </w:numPr>
        <w:spacing w:before="100" w:beforeAutospacing="1" w:after="100" w:afterAutospacing="1" w:line="360" w:lineRule="auto"/>
        <w:rPr>
          <w:rFonts w:eastAsia="Times New Roman" w:cstheme="minorHAnsi"/>
        </w:rPr>
      </w:pPr>
      <w:r w:rsidRPr="008547AA">
        <w:rPr>
          <w:rFonts w:eastAsia="Times New Roman" w:cstheme="minorHAnsi"/>
          <w:b/>
          <w:bCs/>
        </w:rPr>
        <w:t>Fiscal Agent</w:t>
      </w:r>
      <w:r w:rsidRPr="008547AA">
        <w:rPr>
          <w:rFonts w:eastAsia="Times New Roman" w:cstheme="minorHAnsi"/>
        </w:rPr>
        <w:t>: Acts as a fiscal agent for the U.S. government, managing the Treasury's payments, selling government securities, and handling currency issuance.</w:t>
      </w:r>
    </w:p>
    <w:p w:rsidR="008547AA" w:rsidRPr="008547AA" w:rsidRDefault="008547AA" w:rsidP="008547AA">
      <w:pPr>
        <w:numPr>
          <w:ilvl w:val="1"/>
          <w:numId w:val="8"/>
        </w:numPr>
        <w:spacing w:before="100" w:beforeAutospacing="1" w:after="100" w:afterAutospacing="1" w:line="360" w:lineRule="auto"/>
        <w:rPr>
          <w:rFonts w:eastAsia="Times New Roman" w:cstheme="minorHAnsi"/>
        </w:rPr>
      </w:pPr>
      <w:r w:rsidRPr="008547AA">
        <w:rPr>
          <w:rFonts w:eastAsia="Times New Roman" w:cstheme="minorHAnsi"/>
          <w:b/>
          <w:bCs/>
        </w:rPr>
        <w:t>Advisory</w:t>
      </w:r>
      <w:r w:rsidRPr="008547AA">
        <w:rPr>
          <w:rFonts w:eastAsia="Times New Roman" w:cstheme="minorHAnsi"/>
        </w:rPr>
        <w:t>: Provides financial and economic advice to the federal government.</w:t>
      </w:r>
    </w:p>
    <w:p w:rsidR="008547AA" w:rsidRPr="008547AA" w:rsidRDefault="008547AA" w:rsidP="008547AA">
      <w:pPr>
        <w:numPr>
          <w:ilvl w:val="1"/>
          <w:numId w:val="8"/>
        </w:numPr>
        <w:spacing w:before="100" w:beforeAutospacing="1" w:after="100" w:afterAutospacing="1" w:line="360" w:lineRule="auto"/>
        <w:rPr>
          <w:rFonts w:eastAsia="Times New Roman" w:cstheme="minorHAnsi"/>
        </w:rPr>
      </w:pPr>
      <w:r w:rsidRPr="008547AA">
        <w:rPr>
          <w:rFonts w:eastAsia="Times New Roman" w:cstheme="minorHAnsi"/>
        </w:rPr>
        <w:t>The Fed manages the issuance of over $2 trillion in Treasury securities annually.</w:t>
      </w:r>
    </w:p>
    <w:p w:rsidR="008547AA" w:rsidRDefault="008547AA" w:rsidP="008547AA">
      <w:pPr>
        <w:spacing w:line="360" w:lineRule="auto"/>
        <w:rPr>
          <w:b/>
          <w:bCs/>
        </w:rPr>
      </w:pPr>
    </w:p>
    <w:p w:rsidR="00342292" w:rsidRDefault="00342292" w:rsidP="00342292">
      <w:pPr>
        <w:pStyle w:val="Title"/>
        <w:jc w:val="right"/>
      </w:pPr>
    </w:p>
    <w:p w:rsidR="00342292" w:rsidRDefault="00342292" w:rsidP="00342292">
      <w:pPr>
        <w:pStyle w:val="Title"/>
        <w:jc w:val="right"/>
      </w:pPr>
    </w:p>
    <w:p w:rsidR="00342292" w:rsidRDefault="00342292" w:rsidP="00342292">
      <w:pPr>
        <w:pStyle w:val="Title"/>
        <w:jc w:val="right"/>
      </w:pPr>
    </w:p>
    <w:p w:rsidR="00342292" w:rsidRDefault="00342292" w:rsidP="00342292">
      <w:pPr>
        <w:pStyle w:val="Title"/>
        <w:jc w:val="right"/>
      </w:pPr>
    </w:p>
    <w:p w:rsidR="00342292" w:rsidRDefault="00342292" w:rsidP="00342292">
      <w:pPr>
        <w:pStyle w:val="Title"/>
        <w:jc w:val="right"/>
      </w:pPr>
    </w:p>
    <w:p w:rsidR="00342292" w:rsidRDefault="00342292" w:rsidP="00342292">
      <w:pPr>
        <w:pStyle w:val="Title"/>
        <w:jc w:val="right"/>
      </w:pPr>
    </w:p>
    <w:p w:rsidR="00342292" w:rsidRDefault="00342292" w:rsidP="00342292">
      <w:pPr>
        <w:pStyle w:val="Title"/>
        <w:jc w:val="right"/>
      </w:pPr>
    </w:p>
    <w:p w:rsidR="00342292" w:rsidRDefault="00342292" w:rsidP="00342292">
      <w:pPr>
        <w:pStyle w:val="Title"/>
        <w:jc w:val="right"/>
      </w:pPr>
    </w:p>
    <w:p w:rsidR="00342292" w:rsidRDefault="00342292" w:rsidP="00342292">
      <w:pPr>
        <w:pStyle w:val="Title"/>
        <w:jc w:val="right"/>
      </w:pPr>
    </w:p>
    <w:p w:rsidR="00342292" w:rsidRDefault="00342292" w:rsidP="00342292">
      <w:pPr>
        <w:pStyle w:val="Title"/>
        <w:jc w:val="right"/>
      </w:pPr>
    </w:p>
    <w:p w:rsidR="00342292" w:rsidRDefault="00342292" w:rsidP="00342292">
      <w:pPr>
        <w:pStyle w:val="Title"/>
        <w:jc w:val="right"/>
      </w:pPr>
    </w:p>
    <w:p w:rsidR="00342292" w:rsidRDefault="00342292" w:rsidP="00342292">
      <w:pPr>
        <w:pStyle w:val="Title"/>
        <w:jc w:val="right"/>
      </w:pPr>
    </w:p>
    <w:p w:rsidR="00342292" w:rsidRPr="008547AA" w:rsidRDefault="00342292" w:rsidP="00342292">
      <w:pPr>
        <w:pStyle w:val="Title"/>
        <w:jc w:val="right"/>
      </w:pPr>
      <w:r>
        <w:t>Thank You</w:t>
      </w:r>
    </w:p>
    <w:sectPr w:rsidR="00342292" w:rsidRPr="008547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9B2DE2"/>
    <w:multiLevelType w:val="multilevel"/>
    <w:tmpl w:val="D74C2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B93523"/>
    <w:multiLevelType w:val="multilevel"/>
    <w:tmpl w:val="88AEF3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38387B"/>
    <w:multiLevelType w:val="multilevel"/>
    <w:tmpl w:val="116014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ECA399B"/>
    <w:multiLevelType w:val="multilevel"/>
    <w:tmpl w:val="59408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7455C67"/>
    <w:multiLevelType w:val="multilevel"/>
    <w:tmpl w:val="32C8A8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CFF242D"/>
    <w:multiLevelType w:val="multilevel"/>
    <w:tmpl w:val="0EA2B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EC64486"/>
    <w:multiLevelType w:val="multilevel"/>
    <w:tmpl w:val="0728C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48C4D08"/>
    <w:multiLevelType w:val="multilevel"/>
    <w:tmpl w:val="F020BC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3"/>
  </w:num>
  <w:num w:numId="4">
    <w:abstractNumId w:val="6"/>
  </w:num>
  <w:num w:numId="5">
    <w:abstractNumId w:val="7"/>
  </w:num>
  <w:num w:numId="6">
    <w:abstractNumId w:val="4"/>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4CA5"/>
    <w:rsid w:val="001348BF"/>
    <w:rsid w:val="002B35D5"/>
    <w:rsid w:val="00312FE1"/>
    <w:rsid w:val="00327EF0"/>
    <w:rsid w:val="00342292"/>
    <w:rsid w:val="005A46D6"/>
    <w:rsid w:val="005C2270"/>
    <w:rsid w:val="006C718B"/>
    <w:rsid w:val="007E7D7E"/>
    <w:rsid w:val="008547AA"/>
    <w:rsid w:val="008B283E"/>
    <w:rsid w:val="00935E24"/>
    <w:rsid w:val="00A06692"/>
    <w:rsid w:val="00AA44D6"/>
    <w:rsid w:val="00BE11F2"/>
    <w:rsid w:val="00C34CA5"/>
    <w:rsid w:val="00CE2693"/>
    <w:rsid w:val="00D233FC"/>
    <w:rsid w:val="00E12774"/>
    <w:rsid w:val="00E14020"/>
    <w:rsid w:val="00E808EA"/>
    <w:rsid w:val="00E83D08"/>
    <w:rsid w:val="00FB5C20"/>
    <w:rsid w:val="00FF70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4CA5"/>
  </w:style>
  <w:style w:type="paragraph" w:styleId="Heading1">
    <w:name w:val="heading 1"/>
    <w:basedOn w:val="Normal"/>
    <w:next w:val="Normal"/>
    <w:link w:val="Heading1Char"/>
    <w:uiPriority w:val="9"/>
    <w:qFormat/>
    <w:rsid w:val="00C34CA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34CA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34CA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4CA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34CA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34CA5"/>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C34C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4CA5"/>
    <w:rPr>
      <w:rFonts w:ascii="Tahoma" w:hAnsi="Tahoma" w:cs="Tahoma"/>
      <w:sz w:val="16"/>
      <w:szCs w:val="16"/>
    </w:rPr>
  </w:style>
  <w:style w:type="character" w:styleId="Hyperlink">
    <w:name w:val="Hyperlink"/>
    <w:basedOn w:val="DefaultParagraphFont"/>
    <w:uiPriority w:val="99"/>
    <w:unhideWhenUsed/>
    <w:rsid w:val="00935E24"/>
    <w:rPr>
      <w:color w:val="0000FF" w:themeColor="hyperlink"/>
      <w:u w:val="single"/>
    </w:rPr>
  </w:style>
  <w:style w:type="paragraph" w:styleId="ListParagraph">
    <w:name w:val="List Paragraph"/>
    <w:basedOn w:val="Normal"/>
    <w:uiPriority w:val="34"/>
    <w:qFormat/>
    <w:rsid w:val="00CE2693"/>
    <w:pPr>
      <w:ind w:left="720"/>
      <w:contextualSpacing/>
    </w:pPr>
  </w:style>
  <w:style w:type="paragraph" w:styleId="NormalWeb">
    <w:name w:val="Normal (Web)"/>
    <w:basedOn w:val="Normal"/>
    <w:uiPriority w:val="99"/>
    <w:semiHidden/>
    <w:unhideWhenUsed/>
    <w:rsid w:val="008547A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547AA"/>
    <w:rPr>
      <w:b/>
      <w:bCs/>
    </w:rPr>
  </w:style>
  <w:style w:type="paragraph" w:styleId="TOCHeading">
    <w:name w:val="TOC Heading"/>
    <w:basedOn w:val="Heading1"/>
    <w:next w:val="Normal"/>
    <w:uiPriority w:val="39"/>
    <w:semiHidden/>
    <w:unhideWhenUsed/>
    <w:qFormat/>
    <w:rsid w:val="001348BF"/>
    <w:pPr>
      <w:outlineLvl w:val="9"/>
    </w:pPr>
    <w:rPr>
      <w:lang w:eastAsia="ja-JP"/>
    </w:rPr>
  </w:style>
  <w:style w:type="paragraph" w:styleId="TOC1">
    <w:name w:val="toc 1"/>
    <w:basedOn w:val="Normal"/>
    <w:next w:val="Normal"/>
    <w:autoRedefine/>
    <w:uiPriority w:val="39"/>
    <w:unhideWhenUsed/>
    <w:rsid w:val="001348BF"/>
    <w:pPr>
      <w:spacing w:after="100"/>
    </w:pPr>
  </w:style>
  <w:style w:type="paragraph" w:styleId="TOC2">
    <w:name w:val="toc 2"/>
    <w:basedOn w:val="Normal"/>
    <w:next w:val="Normal"/>
    <w:autoRedefine/>
    <w:uiPriority w:val="39"/>
    <w:unhideWhenUsed/>
    <w:rsid w:val="001348BF"/>
    <w:pPr>
      <w:spacing w:after="100"/>
      <w:ind w:left="220"/>
    </w:pPr>
  </w:style>
  <w:style w:type="paragraph" w:styleId="TOC3">
    <w:name w:val="toc 3"/>
    <w:basedOn w:val="Normal"/>
    <w:next w:val="Normal"/>
    <w:autoRedefine/>
    <w:uiPriority w:val="39"/>
    <w:unhideWhenUsed/>
    <w:rsid w:val="001348BF"/>
    <w:pPr>
      <w:spacing w:after="100"/>
      <w:ind w:left="440"/>
    </w:pPr>
  </w:style>
  <w:style w:type="paragraph" w:styleId="Title">
    <w:name w:val="Title"/>
    <w:basedOn w:val="Normal"/>
    <w:next w:val="Normal"/>
    <w:link w:val="TitleChar"/>
    <w:uiPriority w:val="10"/>
    <w:qFormat/>
    <w:rsid w:val="0034229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42292"/>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4CA5"/>
  </w:style>
  <w:style w:type="paragraph" w:styleId="Heading1">
    <w:name w:val="heading 1"/>
    <w:basedOn w:val="Normal"/>
    <w:next w:val="Normal"/>
    <w:link w:val="Heading1Char"/>
    <w:uiPriority w:val="9"/>
    <w:qFormat/>
    <w:rsid w:val="00C34CA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34CA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34CA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4CA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34CA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34CA5"/>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C34C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4CA5"/>
    <w:rPr>
      <w:rFonts w:ascii="Tahoma" w:hAnsi="Tahoma" w:cs="Tahoma"/>
      <w:sz w:val="16"/>
      <w:szCs w:val="16"/>
    </w:rPr>
  </w:style>
  <w:style w:type="character" w:styleId="Hyperlink">
    <w:name w:val="Hyperlink"/>
    <w:basedOn w:val="DefaultParagraphFont"/>
    <w:uiPriority w:val="99"/>
    <w:unhideWhenUsed/>
    <w:rsid w:val="00935E24"/>
    <w:rPr>
      <w:color w:val="0000FF" w:themeColor="hyperlink"/>
      <w:u w:val="single"/>
    </w:rPr>
  </w:style>
  <w:style w:type="paragraph" w:styleId="ListParagraph">
    <w:name w:val="List Paragraph"/>
    <w:basedOn w:val="Normal"/>
    <w:uiPriority w:val="34"/>
    <w:qFormat/>
    <w:rsid w:val="00CE2693"/>
    <w:pPr>
      <w:ind w:left="720"/>
      <w:contextualSpacing/>
    </w:pPr>
  </w:style>
  <w:style w:type="paragraph" w:styleId="NormalWeb">
    <w:name w:val="Normal (Web)"/>
    <w:basedOn w:val="Normal"/>
    <w:uiPriority w:val="99"/>
    <w:semiHidden/>
    <w:unhideWhenUsed/>
    <w:rsid w:val="008547A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547AA"/>
    <w:rPr>
      <w:b/>
      <w:bCs/>
    </w:rPr>
  </w:style>
  <w:style w:type="paragraph" w:styleId="TOCHeading">
    <w:name w:val="TOC Heading"/>
    <w:basedOn w:val="Heading1"/>
    <w:next w:val="Normal"/>
    <w:uiPriority w:val="39"/>
    <w:semiHidden/>
    <w:unhideWhenUsed/>
    <w:qFormat/>
    <w:rsid w:val="001348BF"/>
    <w:pPr>
      <w:outlineLvl w:val="9"/>
    </w:pPr>
    <w:rPr>
      <w:lang w:eastAsia="ja-JP"/>
    </w:rPr>
  </w:style>
  <w:style w:type="paragraph" w:styleId="TOC1">
    <w:name w:val="toc 1"/>
    <w:basedOn w:val="Normal"/>
    <w:next w:val="Normal"/>
    <w:autoRedefine/>
    <w:uiPriority w:val="39"/>
    <w:unhideWhenUsed/>
    <w:rsid w:val="001348BF"/>
    <w:pPr>
      <w:spacing w:after="100"/>
    </w:pPr>
  </w:style>
  <w:style w:type="paragraph" w:styleId="TOC2">
    <w:name w:val="toc 2"/>
    <w:basedOn w:val="Normal"/>
    <w:next w:val="Normal"/>
    <w:autoRedefine/>
    <w:uiPriority w:val="39"/>
    <w:unhideWhenUsed/>
    <w:rsid w:val="001348BF"/>
    <w:pPr>
      <w:spacing w:after="100"/>
      <w:ind w:left="220"/>
    </w:pPr>
  </w:style>
  <w:style w:type="paragraph" w:styleId="TOC3">
    <w:name w:val="toc 3"/>
    <w:basedOn w:val="Normal"/>
    <w:next w:val="Normal"/>
    <w:autoRedefine/>
    <w:uiPriority w:val="39"/>
    <w:unhideWhenUsed/>
    <w:rsid w:val="001348BF"/>
    <w:pPr>
      <w:spacing w:after="100"/>
      <w:ind w:left="440"/>
    </w:pPr>
  </w:style>
  <w:style w:type="paragraph" w:styleId="Title">
    <w:name w:val="Title"/>
    <w:basedOn w:val="Normal"/>
    <w:next w:val="Normal"/>
    <w:link w:val="TitleChar"/>
    <w:uiPriority w:val="10"/>
    <w:qFormat/>
    <w:rsid w:val="0034229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42292"/>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9176866">
      <w:bodyDiv w:val="1"/>
      <w:marLeft w:val="0"/>
      <w:marRight w:val="0"/>
      <w:marTop w:val="0"/>
      <w:marBottom w:val="0"/>
      <w:divBdr>
        <w:top w:val="none" w:sz="0" w:space="0" w:color="auto"/>
        <w:left w:val="none" w:sz="0" w:space="0" w:color="auto"/>
        <w:bottom w:val="none" w:sz="0" w:space="0" w:color="auto"/>
        <w:right w:val="none" w:sz="0" w:space="0" w:color="auto"/>
      </w:divBdr>
    </w:div>
    <w:div w:id="300962882">
      <w:bodyDiv w:val="1"/>
      <w:marLeft w:val="0"/>
      <w:marRight w:val="0"/>
      <w:marTop w:val="0"/>
      <w:marBottom w:val="0"/>
      <w:divBdr>
        <w:top w:val="none" w:sz="0" w:space="0" w:color="auto"/>
        <w:left w:val="none" w:sz="0" w:space="0" w:color="auto"/>
        <w:bottom w:val="none" w:sz="0" w:space="0" w:color="auto"/>
        <w:right w:val="none" w:sz="0" w:space="0" w:color="auto"/>
      </w:divBdr>
    </w:div>
    <w:div w:id="329721866">
      <w:bodyDiv w:val="1"/>
      <w:marLeft w:val="0"/>
      <w:marRight w:val="0"/>
      <w:marTop w:val="0"/>
      <w:marBottom w:val="0"/>
      <w:divBdr>
        <w:top w:val="none" w:sz="0" w:space="0" w:color="auto"/>
        <w:left w:val="none" w:sz="0" w:space="0" w:color="auto"/>
        <w:bottom w:val="none" w:sz="0" w:space="0" w:color="auto"/>
        <w:right w:val="none" w:sz="0" w:space="0" w:color="auto"/>
      </w:divBdr>
    </w:div>
    <w:div w:id="493686447">
      <w:bodyDiv w:val="1"/>
      <w:marLeft w:val="0"/>
      <w:marRight w:val="0"/>
      <w:marTop w:val="0"/>
      <w:marBottom w:val="0"/>
      <w:divBdr>
        <w:top w:val="none" w:sz="0" w:space="0" w:color="auto"/>
        <w:left w:val="none" w:sz="0" w:space="0" w:color="auto"/>
        <w:bottom w:val="none" w:sz="0" w:space="0" w:color="auto"/>
        <w:right w:val="none" w:sz="0" w:space="0" w:color="auto"/>
      </w:divBdr>
    </w:div>
    <w:div w:id="646011073">
      <w:bodyDiv w:val="1"/>
      <w:marLeft w:val="0"/>
      <w:marRight w:val="0"/>
      <w:marTop w:val="0"/>
      <w:marBottom w:val="0"/>
      <w:divBdr>
        <w:top w:val="none" w:sz="0" w:space="0" w:color="auto"/>
        <w:left w:val="none" w:sz="0" w:space="0" w:color="auto"/>
        <w:bottom w:val="none" w:sz="0" w:space="0" w:color="auto"/>
        <w:right w:val="none" w:sz="0" w:space="0" w:color="auto"/>
      </w:divBdr>
    </w:div>
    <w:div w:id="704328057">
      <w:bodyDiv w:val="1"/>
      <w:marLeft w:val="0"/>
      <w:marRight w:val="0"/>
      <w:marTop w:val="0"/>
      <w:marBottom w:val="0"/>
      <w:divBdr>
        <w:top w:val="none" w:sz="0" w:space="0" w:color="auto"/>
        <w:left w:val="none" w:sz="0" w:space="0" w:color="auto"/>
        <w:bottom w:val="none" w:sz="0" w:space="0" w:color="auto"/>
        <w:right w:val="none" w:sz="0" w:space="0" w:color="auto"/>
      </w:divBdr>
    </w:div>
    <w:div w:id="791945508">
      <w:bodyDiv w:val="1"/>
      <w:marLeft w:val="0"/>
      <w:marRight w:val="0"/>
      <w:marTop w:val="0"/>
      <w:marBottom w:val="0"/>
      <w:divBdr>
        <w:top w:val="none" w:sz="0" w:space="0" w:color="auto"/>
        <w:left w:val="none" w:sz="0" w:space="0" w:color="auto"/>
        <w:bottom w:val="none" w:sz="0" w:space="0" w:color="auto"/>
        <w:right w:val="none" w:sz="0" w:space="0" w:color="auto"/>
      </w:divBdr>
    </w:div>
    <w:div w:id="866680450">
      <w:bodyDiv w:val="1"/>
      <w:marLeft w:val="0"/>
      <w:marRight w:val="0"/>
      <w:marTop w:val="0"/>
      <w:marBottom w:val="0"/>
      <w:divBdr>
        <w:top w:val="none" w:sz="0" w:space="0" w:color="auto"/>
        <w:left w:val="none" w:sz="0" w:space="0" w:color="auto"/>
        <w:bottom w:val="none" w:sz="0" w:space="0" w:color="auto"/>
        <w:right w:val="none" w:sz="0" w:space="0" w:color="auto"/>
      </w:divBdr>
      <w:divsChild>
        <w:div w:id="457065608">
          <w:marLeft w:val="0"/>
          <w:marRight w:val="0"/>
          <w:marTop w:val="0"/>
          <w:marBottom w:val="0"/>
          <w:divBdr>
            <w:top w:val="none" w:sz="0" w:space="0" w:color="auto"/>
            <w:left w:val="none" w:sz="0" w:space="0" w:color="auto"/>
            <w:bottom w:val="none" w:sz="0" w:space="0" w:color="auto"/>
            <w:right w:val="none" w:sz="0" w:space="0" w:color="auto"/>
          </w:divBdr>
          <w:divsChild>
            <w:div w:id="1548953473">
              <w:marLeft w:val="0"/>
              <w:marRight w:val="0"/>
              <w:marTop w:val="0"/>
              <w:marBottom w:val="0"/>
              <w:divBdr>
                <w:top w:val="none" w:sz="0" w:space="0" w:color="auto"/>
                <w:left w:val="none" w:sz="0" w:space="0" w:color="auto"/>
                <w:bottom w:val="none" w:sz="0" w:space="0" w:color="auto"/>
                <w:right w:val="none" w:sz="0" w:space="0" w:color="auto"/>
              </w:divBdr>
              <w:divsChild>
                <w:div w:id="1059522186">
                  <w:marLeft w:val="0"/>
                  <w:marRight w:val="0"/>
                  <w:marTop w:val="0"/>
                  <w:marBottom w:val="0"/>
                  <w:divBdr>
                    <w:top w:val="none" w:sz="0" w:space="0" w:color="auto"/>
                    <w:left w:val="none" w:sz="0" w:space="0" w:color="auto"/>
                    <w:bottom w:val="none" w:sz="0" w:space="0" w:color="auto"/>
                    <w:right w:val="none" w:sz="0" w:space="0" w:color="auto"/>
                  </w:divBdr>
                  <w:divsChild>
                    <w:div w:id="213945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158695">
          <w:marLeft w:val="0"/>
          <w:marRight w:val="0"/>
          <w:marTop w:val="0"/>
          <w:marBottom w:val="0"/>
          <w:divBdr>
            <w:top w:val="none" w:sz="0" w:space="0" w:color="auto"/>
            <w:left w:val="none" w:sz="0" w:space="0" w:color="auto"/>
            <w:bottom w:val="none" w:sz="0" w:space="0" w:color="auto"/>
            <w:right w:val="none" w:sz="0" w:space="0" w:color="auto"/>
          </w:divBdr>
          <w:divsChild>
            <w:div w:id="952249959">
              <w:marLeft w:val="0"/>
              <w:marRight w:val="0"/>
              <w:marTop w:val="0"/>
              <w:marBottom w:val="0"/>
              <w:divBdr>
                <w:top w:val="none" w:sz="0" w:space="0" w:color="auto"/>
                <w:left w:val="none" w:sz="0" w:space="0" w:color="auto"/>
                <w:bottom w:val="none" w:sz="0" w:space="0" w:color="auto"/>
                <w:right w:val="none" w:sz="0" w:space="0" w:color="auto"/>
              </w:divBdr>
              <w:divsChild>
                <w:div w:id="1138763900">
                  <w:marLeft w:val="0"/>
                  <w:marRight w:val="0"/>
                  <w:marTop w:val="0"/>
                  <w:marBottom w:val="0"/>
                  <w:divBdr>
                    <w:top w:val="none" w:sz="0" w:space="0" w:color="auto"/>
                    <w:left w:val="none" w:sz="0" w:space="0" w:color="auto"/>
                    <w:bottom w:val="none" w:sz="0" w:space="0" w:color="auto"/>
                    <w:right w:val="none" w:sz="0" w:space="0" w:color="auto"/>
                  </w:divBdr>
                  <w:divsChild>
                    <w:div w:id="99722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2057442">
      <w:bodyDiv w:val="1"/>
      <w:marLeft w:val="0"/>
      <w:marRight w:val="0"/>
      <w:marTop w:val="0"/>
      <w:marBottom w:val="0"/>
      <w:divBdr>
        <w:top w:val="none" w:sz="0" w:space="0" w:color="auto"/>
        <w:left w:val="none" w:sz="0" w:space="0" w:color="auto"/>
        <w:bottom w:val="none" w:sz="0" w:space="0" w:color="auto"/>
        <w:right w:val="none" w:sz="0" w:space="0" w:color="auto"/>
      </w:divBdr>
    </w:div>
    <w:div w:id="1143080186">
      <w:bodyDiv w:val="1"/>
      <w:marLeft w:val="0"/>
      <w:marRight w:val="0"/>
      <w:marTop w:val="0"/>
      <w:marBottom w:val="0"/>
      <w:divBdr>
        <w:top w:val="none" w:sz="0" w:space="0" w:color="auto"/>
        <w:left w:val="none" w:sz="0" w:space="0" w:color="auto"/>
        <w:bottom w:val="none" w:sz="0" w:space="0" w:color="auto"/>
        <w:right w:val="none" w:sz="0" w:space="0" w:color="auto"/>
      </w:divBdr>
      <w:divsChild>
        <w:div w:id="150830204">
          <w:marLeft w:val="0"/>
          <w:marRight w:val="0"/>
          <w:marTop w:val="0"/>
          <w:marBottom w:val="0"/>
          <w:divBdr>
            <w:top w:val="none" w:sz="0" w:space="0" w:color="auto"/>
            <w:left w:val="none" w:sz="0" w:space="0" w:color="auto"/>
            <w:bottom w:val="none" w:sz="0" w:space="0" w:color="auto"/>
            <w:right w:val="none" w:sz="0" w:space="0" w:color="auto"/>
          </w:divBdr>
        </w:div>
      </w:divsChild>
    </w:div>
    <w:div w:id="1146121526">
      <w:bodyDiv w:val="1"/>
      <w:marLeft w:val="0"/>
      <w:marRight w:val="0"/>
      <w:marTop w:val="0"/>
      <w:marBottom w:val="0"/>
      <w:divBdr>
        <w:top w:val="none" w:sz="0" w:space="0" w:color="auto"/>
        <w:left w:val="none" w:sz="0" w:space="0" w:color="auto"/>
        <w:bottom w:val="none" w:sz="0" w:space="0" w:color="auto"/>
        <w:right w:val="none" w:sz="0" w:space="0" w:color="auto"/>
      </w:divBdr>
      <w:divsChild>
        <w:div w:id="98569345">
          <w:marLeft w:val="0"/>
          <w:marRight w:val="0"/>
          <w:marTop w:val="0"/>
          <w:marBottom w:val="0"/>
          <w:divBdr>
            <w:top w:val="single" w:sz="6" w:space="0" w:color="71767A"/>
            <w:left w:val="single" w:sz="6" w:space="0" w:color="71767A"/>
            <w:bottom w:val="single" w:sz="6" w:space="0" w:color="71767A"/>
            <w:right w:val="single" w:sz="6" w:space="0" w:color="71767A"/>
          </w:divBdr>
          <w:divsChild>
            <w:div w:id="1379429739">
              <w:marLeft w:val="0"/>
              <w:marRight w:val="0"/>
              <w:marTop w:val="0"/>
              <w:marBottom w:val="0"/>
              <w:divBdr>
                <w:top w:val="none" w:sz="0" w:space="0" w:color="auto"/>
                <w:left w:val="none" w:sz="0" w:space="0" w:color="auto"/>
                <w:bottom w:val="none" w:sz="0" w:space="0" w:color="auto"/>
                <w:right w:val="none" w:sz="0" w:space="0" w:color="auto"/>
              </w:divBdr>
            </w:div>
            <w:div w:id="120332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499669">
      <w:bodyDiv w:val="1"/>
      <w:marLeft w:val="0"/>
      <w:marRight w:val="0"/>
      <w:marTop w:val="0"/>
      <w:marBottom w:val="0"/>
      <w:divBdr>
        <w:top w:val="none" w:sz="0" w:space="0" w:color="auto"/>
        <w:left w:val="none" w:sz="0" w:space="0" w:color="auto"/>
        <w:bottom w:val="none" w:sz="0" w:space="0" w:color="auto"/>
        <w:right w:val="none" w:sz="0" w:space="0" w:color="auto"/>
      </w:divBdr>
    </w:div>
    <w:div w:id="1231502709">
      <w:bodyDiv w:val="1"/>
      <w:marLeft w:val="0"/>
      <w:marRight w:val="0"/>
      <w:marTop w:val="0"/>
      <w:marBottom w:val="0"/>
      <w:divBdr>
        <w:top w:val="none" w:sz="0" w:space="0" w:color="auto"/>
        <w:left w:val="none" w:sz="0" w:space="0" w:color="auto"/>
        <w:bottom w:val="none" w:sz="0" w:space="0" w:color="auto"/>
        <w:right w:val="none" w:sz="0" w:space="0" w:color="auto"/>
      </w:divBdr>
    </w:div>
    <w:div w:id="1285455041">
      <w:bodyDiv w:val="1"/>
      <w:marLeft w:val="0"/>
      <w:marRight w:val="0"/>
      <w:marTop w:val="0"/>
      <w:marBottom w:val="0"/>
      <w:divBdr>
        <w:top w:val="none" w:sz="0" w:space="0" w:color="auto"/>
        <w:left w:val="none" w:sz="0" w:space="0" w:color="auto"/>
        <w:bottom w:val="none" w:sz="0" w:space="0" w:color="auto"/>
        <w:right w:val="none" w:sz="0" w:space="0" w:color="auto"/>
      </w:divBdr>
    </w:div>
    <w:div w:id="1306426388">
      <w:bodyDiv w:val="1"/>
      <w:marLeft w:val="0"/>
      <w:marRight w:val="0"/>
      <w:marTop w:val="0"/>
      <w:marBottom w:val="0"/>
      <w:divBdr>
        <w:top w:val="none" w:sz="0" w:space="0" w:color="auto"/>
        <w:left w:val="none" w:sz="0" w:space="0" w:color="auto"/>
        <w:bottom w:val="none" w:sz="0" w:space="0" w:color="auto"/>
        <w:right w:val="none" w:sz="0" w:space="0" w:color="auto"/>
      </w:divBdr>
    </w:div>
    <w:div w:id="1340349344">
      <w:bodyDiv w:val="1"/>
      <w:marLeft w:val="0"/>
      <w:marRight w:val="0"/>
      <w:marTop w:val="0"/>
      <w:marBottom w:val="0"/>
      <w:divBdr>
        <w:top w:val="none" w:sz="0" w:space="0" w:color="auto"/>
        <w:left w:val="none" w:sz="0" w:space="0" w:color="auto"/>
        <w:bottom w:val="none" w:sz="0" w:space="0" w:color="auto"/>
        <w:right w:val="none" w:sz="0" w:space="0" w:color="auto"/>
      </w:divBdr>
    </w:div>
    <w:div w:id="1581479921">
      <w:bodyDiv w:val="1"/>
      <w:marLeft w:val="0"/>
      <w:marRight w:val="0"/>
      <w:marTop w:val="0"/>
      <w:marBottom w:val="0"/>
      <w:divBdr>
        <w:top w:val="none" w:sz="0" w:space="0" w:color="auto"/>
        <w:left w:val="none" w:sz="0" w:space="0" w:color="auto"/>
        <w:bottom w:val="none" w:sz="0" w:space="0" w:color="auto"/>
        <w:right w:val="none" w:sz="0" w:space="0" w:color="auto"/>
      </w:divBdr>
      <w:divsChild>
        <w:div w:id="1850101899">
          <w:marLeft w:val="0"/>
          <w:marRight w:val="0"/>
          <w:marTop w:val="0"/>
          <w:marBottom w:val="0"/>
          <w:divBdr>
            <w:top w:val="none" w:sz="0" w:space="0" w:color="auto"/>
            <w:left w:val="none" w:sz="0" w:space="0" w:color="auto"/>
            <w:bottom w:val="none" w:sz="0" w:space="0" w:color="auto"/>
            <w:right w:val="none" w:sz="0" w:space="0" w:color="auto"/>
          </w:divBdr>
          <w:divsChild>
            <w:div w:id="517087531">
              <w:marLeft w:val="0"/>
              <w:marRight w:val="0"/>
              <w:marTop w:val="0"/>
              <w:marBottom w:val="0"/>
              <w:divBdr>
                <w:top w:val="none" w:sz="0" w:space="0" w:color="auto"/>
                <w:left w:val="none" w:sz="0" w:space="0" w:color="auto"/>
                <w:bottom w:val="none" w:sz="0" w:space="0" w:color="auto"/>
                <w:right w:val="none" w:sz="0" w:space="0" w:color="auto"/>
              </w:divBdr>
              <w:divsChild>
                <w:div w:id="548490419">
                  <w:marLeft w:val="0"/>
                  <w:marRight w:val="0"/>
                  <w:marTop w:val="0"/>
                  <w:marBottom w:val="0"/>
                  <w:divBdr>
                    <w:top w:val="none" w:sz="0" w:space="0" w:color="auto"/>
                    <w:left w:val="none" w:sz="0" w:space="0" w:color="auto"/>
                    <w:bottom w:val="none" w:sz="0" w:space="0" w:color="auto"/>
                    <w:right w:val="none" w:sz="0" w:space="0" w:color="auto"/>
                  </w:divBdr>
                  <w:divsChild>
                    <w:div w:id="74850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266231">
          <w:marLeft w:val="0"/>
          <w:marRight w:val="0"/>
          <w:marTop w:val="0"/>
          <w:marBottom w:val="0"/>
          <w:divBdr>
            <w:top w:val="none" w:sz="0" w:space="0" w:color="auto"/>
            <w:left w:val="none" w:sz="0" w:space="0" w:color="auto"/>
            <w:bottom w:val="none" w:sz="0" w:space="0" w:color="auto"/>
            <w:right w:val="none" w:sz="0" w:space="0" w:color="auto"/>
          </w:divBdr>
          <w:divsChild>
            <w:div w:id="1137600491">
              <w:marLeft w:val="0"/>
              <w:marRight w:val="0"/>
              <w:marTop w:val="0"/>
              <w:marBottom w:val="0"/>
              <w:divBdr>
                <w:top w:val="none" w:sz="0" w:space="0" w:color="auto"/>
                <w:left w:val="none" w:sz="0" w:space="0" w:color="auto"/>
                <w:bottom w:val="none" w:sz="0" w:space="0" w:color="auto"/>
                <w:right w:val="none" w:sz="0" w:space="0" w:color="auto"/>
              </w:divBdr>
              <w:divsChild>
                <w:div w:id="1528642292">
                  <w:marLeft w:val="0"/>
                  <w:marRight w:val="0"/>
                  <w:marTop w:val="0"/>
                  <w:marBottom w:val="0"/>
                  <w:divBdr>
                    <w:top w:val="none" w:sz="0" w:space="0" w:color="auto"/>
                    <w:left w:val="none" w:sz="0" w:space="0" w:color="auto"/>
                    <w:bottom w:val="none" w:sz="0" w:space="0" w:color="auto"/>
                    <w:right w:val="none" w:sz="0" w:space="0" w:color="auto"/>
                  </w:divBdr>
                  <w:divsChild>
                    <w:div w:id="644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154154">
      <w:bodyDiv w:val="1"/>
      <w:marLeft w:val="0"/>
      <w:marRight w:val="0"/>
      <w:marTop w:val="0"/>
      <w:marBottom w:val="0"/>
      <w:divBdr>
        <w:top w:val="none" w:sz="0" w:space="0" w:color="auto"/>
        <w:left w:val="none" w:sz="0" w:space="0" w:color="auto"/>
        <w:bottom w:val="none" w:sz="0" w:space="0" w:color="auto"/>
        <w:right w:val="none" w:sz="0" w:space="0" w:color="auto"/>
      </w:divBdr>
    </w:div>
    <w:div w:id="1888176098">
      <w:bodyDiv w:val="1"/>
      <w:marLeft w:val="0"/>
      <w:marRight w:val="0"/>
      <w:marTop w:val="0"/>
      <w:marBottom w:val="0"/>
      <w:divBdr>
        <w:top w:val="none" w:sz="0" w:space="0" w:color="auto"/>
        <w:left w:val="none" w:sz="0" w:space="0" w:color="auto"/>
        <w:bottom w:val="none" w:sz="0" w:space="0" w:color="auto"/>
        <w:right w:val="none" w:sz="0" w:space="0" w:color="auto"/>
      </w:divBdr>
    </w:div>
    <w:div w:id="1912692741">
      <w:bodyDiv w:val="1"/>
      <w:marLeft w:val="0"/>
      <w:marRight w:val="0"/>
      <w:marTop w:val="0"/>
      <w:marBottom w:val="0"/>
      <w:divBdr>
        <w:top w:val="none" w:sz="0" w:space="0" w:color="auto"/>
        <w:left w:val="none" w:sz="0" w:space="0" w:color="auto"/>
        <w:bottom w:val="none" w:sz="0" w:space="0" w:color="auto"/>
        <w:right w:val="none" w:sz="0" w:space="0" w:color="auto"/>
      </w:divBdr>
      <w:divsChild>
        <w:div w:id="1536691761">
          <w:marLeft w:val="0"/>
          <w:marRight w:val="0"/>
          <w:marTop w:val="0"/>
          <w:marBottom w:val="0"/>
          <w:divBdr>
            <w:top w:val="none" w:sz="0" w:space="0" w:color="auto"/>
            <w:left w:val="none" w:sz="0" w:space="0" w:color="auto"/>
            <w:bottom w:val="none" w:sz="0" w:space="0" w:color="auto"/>
            <w:right w:val="none" w:sz="0" w:space="0" w:color="auto"/>
          </w:divBdr>
        </w:div>
      </w:divsChild>
    </w:div>
    <w:div w:id="1969358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fdic.gov/analysis/options-deposit-insurance-reforms/report/options-deposit-insurance-reform-section-3.pdf"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587DE4-7B0F-406E-9F65-F1A47C8D1A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271</TotalTime>
  <Pages>13</Pages>
  <Words>1954</Words>
  <Characters>11143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7</cp:revision>
  <dcterms:created xsi:type="dcterms:W3CDTF">2024-06-11T07:20:00Z</dcterms:created>
  <dcterms:modified xsi:type="dcterms:W3CDTF">2024-06-26T11:51:00Z</dcterms:modified>
</cp:coreProperties>
</file>