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F0C" w:rsidRDefault="00536F0C" w:rsidP="00536F0C">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r>
        <w:rPr>
          <w:noProof/>
        </w:rPr>
        <w:drawing>
          <wp:inline distT="0" distB="0" distL="0" distR="0" wp14:anchorId="375780D3" wp14:editId="32F6012F">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536F0C" w:rsidRDefault="00536F0C" w:rsidP="00536F0C">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536F0C" w:rsidRPr="00DF16FE" w:rsidRDefault="00536F0C" w:rsidP="00536F0C">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536F0C" w:rsidRPr="00536F0C" w:rsidRDefault="00536F0C" w:rsidP="00536F0C">
      <w:pPr>
        <w:jc w:val="center"/>
        <w:rPr>
          <w:b/>
          <w:sz w:val="28"/>
        </w:rPr>
      </w:pPr>
      <w:r w:rsidRPr="00536F0C">
        <w:rPr>
          <w:b/>
          <w:sz w:val="28"/>
        </w:rPr>
        <w:t>BASEL III, SECURITIES AND EXCHANGE COMMISSION,</w:t>
      </w:r>
    </w:p>
    <w:p w:rsidR="00536F0C" w:rsidRPr="00536F0C" w:rsidRDefault="00536F0C" w:rsidP="00536F0C">
      <w:pPr>
        <w:jc w:val="center"/>
        <w:rPr>
          <w:b/>
          <w:sz w:val="28"/>
        </w:rPr>
      </w:pPr>
      <w:r w:rsidRPr="00536F0C">
        <w:rPr>
          <w:b/>
          <w:sz w:val="28"/>
        </w:rPr>
        <w:t>DODD-FRANK WALL STREET REFORM AND CONSUMER PROTECTION ACT</w:t>
      </w:r>
    </w:p>
    <w:p w:rsidR="00536F0C" w:rsidRPr="00536F0C" w:rsidRDefault="00536F0C" w:rsidP="00536F0C">
      <w:pPr>
        <w:jc w:val="center"/>
        <w:rPr>
          <w:b/>
          <w:sz w:val="28"/>
        </w:rPr>
      </w:pPr>
      <w:r w:rsidRPr="00536F0C">
        <w:rPr>
          <w:b/>
          <w:sz w:val="28"/>
        </w:rPr>
        <w:t>AND SARBANES-OXLEY ACT (SOX)</w:t>
      </w:r>
    </w:p>
    <w:p w:rsidR="00536F0C" w:rsidRDefault="00536F0C" w:rsidP="00536F0C">
      <w:pPr>
        <w:jc w:val="center"/>
        <w:rPr>
          <w:b/>
          <w:sz w:val="28"/>
        </w:rPr>
      </w:pPr>
    </w:p>
    <w:p w:rsidR="00536F0C" w:rsidRPr="00DF16FE" w:rsidRDefault="00536F0C" w:rsidP="00536F0C">
      <w:pPr>
        <w:jc w:val="center"/>
        <w:rPr>
          <w:b/>
          <w:sz w:val="28"/>
        </w:rPr>
      </w:pPr>
    </w:p>
    <w:p w:rsidR="00536F0C" w:rsidRPr="00DF16FE" w:rsidRDefault="00536F0C" w:rsidP="00536F0C">
      <w:pPr>
        <w:jc w:val="center"/>
        <w:rPr>
          <w:b/>
          <w:sz w:val="28"/>
        </w:rPr>
      </w:pPr>
      <w:bookmarkStart w:id="14" w:name="_Toc168493929"/>
      <w:bookmarkStart w:id="15" w:name="_Toc168494040"/>
      <w:bookmarkStart w:id="16" w:name="_Toc168681398"/>
      <w:bookmarkStart w:id="17" w:name="_Toc169018613"/>
      <w:bookmarkStart w:id="18" w:name="_Toc169099751"/>
      <w:bookmarkStart w:id="19" w:name="_Toc169194470"/>
      <w:bookmarkStart w:id="20" w:name="_Toc169526158"/>
      <w:bookmarkStart w:id="21" w:name="_Toc169624173"/>
      <w:r w:rsidRPr="00DF16FE">
        <w:rPr>
          <w:b/>
          <w:sz w:val="28"/>
        </w:rPr>
        <w:t>Under Supervision of:</w:t>
      </w:r>
      <w:bookmarkEnd w:id="14"/>
      <w:bookmarkEnd w:id="15"/>
      <w:bookmarkEnd w:id="16"/>
      <w:bookmarkEnd w:id="17"/>
      <w:bookmarkEnd w:id="18"/>
      <w:bookmarkEnd w:id="19"/>
      <w:bookmarkEnd w:id="20"/>
      <w:bookmarkEnd w:id="21"/>
    </w:p>
    <w:p w:rsidR="00536F0C" w:rsidRPr="00DF16FE" w:rsidRDefault="00536F0C" w:rsidP="00536F0C">
      <w:pPr>
        <w:jc w:val="center"/>
        <w:rPr>
          <w:b/>
          <w:sz w:val="28"/>
        </w:rPr>
      </w:pPr>
      <w:bookmarkStart w:id="22" w:name="_Toc168493930"/>
      <w:bookmarkStart w:id="23" w:name="_Toc168494041"/>
      <w:bookmarkStart w:id="24" w:name="_Toc168681399"/>
      <w:bookmarkStart w:id="25" w:name="_Toc169018614"/>
      <w:bookmarkStart w:id="26" w:name="_Toc169099752"/>
      <w:bookmarkStart w:id="27" w:name="_Toc169194471"/>
      <w:bookmarkStart w:id="28" w:name="_Toc169526159"/>
      <w:bookmarkStart w:id="29" w:name="_Toc169624174"/>
      <w:r w:rsidRPr="00DF16FE">
        <w:rPr>
          <w:b/>
          <w:sz w:val="28"/>
        </w:rPr>
        <w:t xml:space="preserve">Mr. Mohammad </w:t>
      </w:r>
      <w:proofErr w:type="spellStart"/>
      <w:r w:rsidRPr="00DF16FE">
        <w:rPr>
          <w:b/>
          <w:sz w:val="28"/>
        </w:rPr>
        <w:t>Mozammil</w:t>
      </w:r>
      <w:bookmarkEnd w:id="22"/>
      <w:bookmarkEnd w:id="23"/>
      <w:bookmarkEnd w:id="24"/>
      <w:bookmarkEnd w:id="25"/>
      <w:bookmarkEnd w:id="26"/>
      <w:bookmarkEnd w:id="27"/>
      <w:bookmarkEnd w:id="28"/>
      <w:bookmarkEnd w:id="29"/>
      <w:proofErr w:type="spellEnd"/>
    </w:p>
    <w:p w:rsidR="00536F0C" w:rsidRDefault="00536F0C" w:rsidP="00536F0C">
      <w:pPr>
        <w:jc w:val="center"/>
        <w:rPr>
          <w:b/>
          <w:sz w:val="28"/>
        </w:rPr>
      </w:pPr>
      <w:bookmarkStart w:id="30" w:name="_Toc168493931"/>
      <w:bookmarkStart w:id="31" w:name="_Toc168494042"/>
      <w:bookmarkStart w:id="32" w:name="_Toc168681400"/>
      <w:bookmarkStart w:id="33" w:name="_Toc169018615"/>
      <w:bookmarkStart w:id="34" w:name="_Toc169099753"/>
      <w:bookmarkStart w:id="35" w:name="_Toc169194472"/>
      <w:bookmarkStart w:id="36" w:name="_Toc169526160"/>
      <w:bookmarkStart w:id="37" w:name="_Toc169624175"/>
    </w:p>
    <w:p w:rsidR="00536F0C" w:rsidRPr="00DF16FE" w:rsidRDefault="00536F0C" w:rsidP="00536F0C">
      <w:pPr>
        <w:jc w:val="center"/>
        <w:rPr>
          <w:b/>
          <w:sz w:val="28"/>
        </w:rPr>
      </w:pPr>
    </w:p>
    <w:p w:rsidR="00536F0C" w:rsidRPr="00DF16FE" w:rsidRDefault="00536F0C" w:rsidP="00536F0C">
      <w:pPr>
        <w:jc w:val="center"/>
        <w:rPr>
          <w:b/>
          <w:sz w:val="28"/>
        </w:rPr>
      </w:pPr>
      <w:r w:rsidRPr="00DF16FE">
        <w:rPr>
          <w:b/>
          <w:sz w:val="28"/>
        </w:rPr>
        <w:t>Submitted On:</w:t>
      </w:r>
    </w:p>
    <w:p w:rsidR="00536F0C" w:rsidRPr="00DF16FE" w:rsidRDefault="00536F0C" w:rsidP="00536F0C">
      <w:pPr>
        <w:jc w:val="center"/>
        <w:rPr>
          <w:b/>
          <w:sz w:val="28"/>
        </w:rPr>
      </w:pPr>
      <w:r>
        <w:rPr>
          <w:b/>
          <w:sz w:val="28"/>
        </w:rPr>
        <w:t>13</w:t>
      </w:r>
      <w:bookmarkStart w:id="38" w:name="_GoBack"/>
      <w:bookmarkEnd w:id="38"/>
      <w:r w:rsidRPr="00DF16FE">
        <w:rPr>
          <w:b/>
          <w:sz w:val="28"/>
          <w:vertAlign w:val="superscript"/>
        </w:rPr>
        <w:t xml:space="preserve">th </w:t>
      </w:r>
      <w:r w:rsidRPr="00DF16FE">
        <w:rPr>
          <w:b/>
          <w:sz w:val="28"/>
        </w:rPr>
        <w:t>June, 2024</w:t>
      </w:r>
    </w:p>
    <w:p w:rsidR="00536F0C" w:rsidRPr="00DF16FE" w:rsidRDefault="00536F0C" w:rsidP="00536F0C">
      <w:pPr>
        <w:jc w:val="center"/>
        <w:rPr>
          <w:b/>
          <w:sz w:val="28"/>
        </w:rPr>
      </w:pPr>
    </w:p>
    <w:p w:rsidR="00536F0C" w:rsidRPr="00DF16FE" w:rsidRDefault="00536F0C" w:rsidP="00536F0C">
      <w:pPr>
        <w:jc w:val="center"/>
        <w:rPr>
          <w:b/>
          <w:sz w:val="28"/>
        </w:rPr>
      </w:pPr>
    </w:p>
    <w:p w:rsidR="00536F0C" w:rsidRPr="00DF16FE" w:rsidRDefault="00536F0C" w:rsidP="00536F0C">
      <w:pPr>
        <w:jc w:val="center"/>
        <w:rPr>
          <w:b/>
          <w:sz w:val="28"/>
        </w:rPr>
      </w:pPr>
      <w:r w:rsidRPr="00DF16FE">
        <w:rPr>
          <w:b/>
          <w:sz w:val="28"/>
        </w:rPr>
        <w:t>Submitted By:</w:t>
      </w:r>
      <w:bookmarkEnd w:id="30"/>
      <w:bookmarkEnd w:id="31"/>
      <w:bookmarkEnd w:id="32"/>
      <w:bookmarkEnd w:id="33"/>
      <w:bookmarkEnd w:id="34"/>
      <w:bookmarkEnd w:id="35"/>
      <w:bookmarkEnd w:id="36"/>
      <w:bookmarkEnd w:id="37"/>
    </w:p>
    <w:p w:rsidR="00536F0C" w:rsidRPr="00DF16FE" w:rsidRDefault="00536F0C" w:rsidP="00536F0C">
      <w:pPr>
        <w:jc w:val="center"/>
        <w:rPr>
          <w:b/>
          <w:sz w:val="28"/>
        </w:rPr>
      </w:pPr>
      <w:bookmarkStart w:id="39" w:name="_Toc168493932"/>
      <w:bookmarkStart w:id="40" w:name="_Toc168494043"/>
      <w:bookmarkStart w:id="41" w:name="_Toc168681401"/>
      <w:bookmarkStart w:id="42" w:name="_Toc169018616"/>
      <w:bookmarkStart w:id="43" w:name="_Toc169099754"/>
      <w:bookmarkStart w:id="44" w:name="_Toc169194473"/>
      <w:bookmarkStart w:id="45" w:name="_Toc169526161"/>
      <w:bookmarkStart w:id="46" w:name="_Toc169624176"/>
      <w:proofErr w:type="spellStart"/>
      <w:r w:rsidRPr="00DF16FE">
        <w:rPr>
          <w:b/>
          <w:sz w:val="28"/>
        </w:rPr>
        <w:t>Archita</w:t>
      </w:r>
      <w:proofErr w:type="spellEnd"/>
      <w:r w:rsidRPr="00DF16FE">
        <w:rPr>
          <w:b/>
          <w:sz w:val="28"/>
        </w:rPr>
        <w:t xml:space="preserve"> Gupta</w:t>
      </w:r>
      <w:bookmarkEnd w:id="39"/>
      <w:bookmarkEnd w:id="40"/>
      <w:bookmarkEnd w:id="41"/>
      <w:bookmarkEnd w:id="42"/>
      <w:bookmarkEnd w:id="43"/>
      <w:bookmarkEnd w:id="44"/>
      <w:bookmarkEnd w:id="45"/>
      <w:bookmarkEnd w:id="46"/>
    </w:p>
    <w:sdt>
      <w:sdtPr>
        <w:rPr>
          <w:rFonts w:asciiTheme="minorHAnsi" w:eastAsiaTheme="minorHAnsi" w:hAnsiTheme="minorHAnsi" w:cstheme="minorBidi"/>
          <w:b w:val="0"/>
          <w:bCs w:val="0"/>
          <w:color w:val="auto"/>
          <w:sz w:val="22"/>
          <w:szCs w:val="22"/>
          <w:lang w:eastAsia="en-US"/>
        </w:rPr>
        <w:id w:val="1912193913"/>
        <w:docPartObj>
          <w:docPartGallery w:val="Table of Contents"/>
          <w:docPartUnique/>
        </w:docPartObj>
      </w:sdtPr>
      <w:sdtEndPr>
        <w:rPr>
          <w:noProof/>
        </w:rPr>
      </w:sdtEndPr>
      <w:sdtContent>
        <w:p w:rsidR="00A2479A" w:rsidRDefault="00A2479A" w:rsidP="00A2479A">
          <w:pPr>
            <w:pStyle w:val="TOCHeading"/>
          </w:pPr>
          <w:r>
            <w:t>Table of Contents</w:t>
          </w:r>
          <w:r>
            <w:fldChar w:fldCharType="begin"/>
          </w:r>
          <w:r>
            <w:instrText xml:space="preserve"> TOC \o "1-3" \h \z \u </w:instrText>
          </w:r>
          <w:r>
            <w:fldChar w:fldCharType="separate"/>
          </w:r>
        </w:p>
        <w:p w:rsidR="00A2479A" w:rsidRDefault="00536F0C">
          <w:pPr>
            <w:pStyle w:val="TOC1"/>
            <w:tabs>
              <w:tab w:val="right" w:leader="dot" w:pos="9350"/>
            </w:tabs>
            <w:rPr>
              <w:noProof/>
            </w:rPr>
          </w:pPr>
          <w:hyperlink w:anchor="_Toc169194474" w:history="1">
            <w:r w:rsidR="00A2479A" w:rsidRPr="000B63C6">
              <w:rPr>
                <w:rStyle w:val="Hyperlink"/>
                <w:noProof/>
              </w:rPr>
              <w:t>Basel III</w:t>
            </w:r>
            <w:r w:rsidR="00A2479A">
              <w:rPr>
                <w:noProof/>
                <w:webHidden/>
              </w:rPr>
              <w:tab/>
            </w:r>
            <w:r w:rsidR="00A2479A">
              <w:rPr>
                <w:noProof/>
                <w:webHidden/>
              </w:rPr>
              <w:fldChar w:fldCharType="begin"/>
            </w:r>
            <w:r w:rsidR="00A2479A">
              <w:rPr>
                <w:noProof/>
                <w:webHidden/>
              </w:rPr>
              <w:instrText xml:space="preserve"> PAGEREF _Toc169194474 \h </w:instrText>
            </w:r>
            <w:r w:rsidR="00A2479A">
              <w:rPr>
                <w:noProof/>
                <w:webHidden/>
              </w:rPr>
            </w:r>
            <w:r w:rsidR="00A2479A">
              <w:rPr>
                <w:noProof/>
                <w:webHidden/>
              </w:rPr>
              <w:fldChar w:fldCharType="separate"/>
            </w:r>
            <w:r w:rsidR="00A2479A">
              <w:rPr>
                <w:noProof/>
                <w:webHidden/>
              </w:rPr>
              <w:t>3</w:t>
            </w:r>
            <w:r w:rsidR="00A2479A">
              <w:rPr>
                <w:noProof/>
                <w:webHidden/>
              </w:rPr>
              <w:fldChar w:fldCharType="end"/>
            </w:r>
          </w:hyperlink>
        </w:p>
        <w:p w:rsidR="00A2479A" w:rsidRDefault="00536F0C">
          <w:pPr>
            <w:pStyle w:val="TOC1"/>
            <w:tabs>
              <w:tab w:val="right" w:leader="dot" w:pos="9350"/>
            </w:tabs>
            <w:rPr>
              <w:noProof/>
            </w:rPr>
          </w:pPr>
          <w:hyperlink w:anchor="_Toc169194475" w:history="1">
            <w:r w:rsidR="00A2479A" w:rsidRPr="000B63C6">
              <w:rPr>
                <w:rStyle w:val="Hyperlink"/>
                <w:rFonts w:eastAsia="Times New Roman"/>
                <w:noProof/>
              </w:rPr>
              <w:t>Securities and Exchange Commission</w:t>
            </w:r>
            <w:r w:rsidR="00A2479A">
              <w:rPr>
                <w:noProof/>
                <w:webHidden/>
              </w:rPr>
              <w:tab/>
            </w:r>
            <w:r w:rsidR="00A2479A">
              <w:rPr>
                <w:noProof/>
                <w:webHidden/>
              </w:rPr>
              <w:fldChar w:fldCharType="begin"/>
            </w:r>
            <w:r w:rsidR="00A2479A">
              <w:rPr>
                <w:noProof/>
                <w:webHidden/>
              </w:rPr>
              <w:instrText xml:space="preserve"> PAGEREF _Toc169194475 \h </w:instrText>
            </w:r>
            <w:r w:rsidR="00A2479A">
              <w:rPr>
                <w:noProof/>
                <w:webHidden/>
              </w:rPr>
            </w:r>
            <w:r w:rsidR="00A2479A">
              <w:rPr>
                <w:noProof/>
                <w:webHidden/>
              </w:rPr>
              <w:fldChar w:fldCharType="separate"/>
            </w:r>
            <w:r w:rsidR="00A2479A">
              <w:rPr>
                <w:noProof/>
                <w:webHidden/>
              </w:rPr>
              <w:t>6</w:t>
            </w:r>
            <w:r w:rsidR="00A2479A">
              <w:rPr>
                <w:noProof/>
                <w:webHidden/>
              </w:rPr>
              <w:fldChar w:fldCharType="end"/>
            </w:r>
          </w:hyperlink>
        </w:p>
        <w:p w:rsidR="00A2479A" w:rsidRDefault="00536F0C">
          <w:pPr>
            <w:pStyle w:val="TOC1"/>
            <w:tabs>
              <w:tab w:val="right" w:leader="dot" w:pos="9350"/>
            </w:tabs>
            <w:rPr>
              <w:noProof/>
            </w:rPr>
          </w:pPr>
          <w:hyperlink w:anchor="_Toc169194476" w:history="1">
            <w:r w:rsidR="00A2479A" w:rsidRPr="000B63C6">
              <w:rPr>
                <w:rStyle w:val="Hyperlink"/>
                <w:noProof/>
              </w:rPr>
              <w:t>Dodd-Frank Wall Street Reform and Consumer Protection Act</w:t>
            </w:r>
            <w:r w:rsidR="00A2479A">
              <w:rPr>
                <w:noProof/>
                <w:webHidden/>
              </w:rPr>
              <w:tab/>
            </w:r>
            <w:r w:rsidR="00A2479A">
              <w:rPr>
                <w:noProof/>
                <w:webHidden/>
              </w:rPr>
              <w:fldChar w:fldCharType="begin"/>
            </w:r>
            <w:r w:rsidR="00A2479A">
              <w:rPr>
                <w:noProof/>
                <w:webHidden/>
              </w:rPr>
              <w:instrText xml:space="preserve"> PAGEREF _Toc169194476 \h </w:instrText>
            </w:r>
            <w:r w:rsidR="00A2479A">
              <w:rPr>
                <w:noProof/>
                <w:webHidden/>
              </w:rPr>
            </w:r>
            <w:r w:rsidR="00A2479A">
              <w:rPr>
                <w:noProof/>
                <w:webHidden/>
              </w:rPr>
              <w:fldChar w:fldCharType="separate"/>
            </w:r>
            <w:r w:rsidR="00A2479A">
              <w:rPr>
                <w:noProof/>
                <w:webHidden/>
              </w:rPr>
              <w:t>9</w:t>
            </w:r>
            <w:r w:rsidR="00A2479A">
              <w:rPr>
                <w:noProof/>
                <w:webHidden/>
              </w:rPr>
              <w:fldChar w:fldCharType="end"/>
            </w:r>
          </w:hyperlink>
        </w:p>
        <w:p w:rsidR="00A2479A" w:rsidRDefault="00536F0C">
          <w:pPr>
            <w:pStyle w:val="TOC1"/>
            <w:tabs>
              <w:tab w:val="right" w:leader="dot" w:pos="9350"/>
            </w:tabs>
            <w:rPr>
              <w:noProof/>
            </w:rPr>
          </w:pPr>
          <w:hyperlink w:anchor="_Toc169194477" w:history="1">
            <w:r w:rsidR="00A2479A" w:rsidRPr="000B63C6">
              <w:rPr>
                <w:rStyle w:val="Hyperlink"/>
                <w:noProof/>
              </w:rPr>
              <w:t>Sarbanes-Oxley Act (SOX)</w:t>
            </w:r>
            <w:r w:rsidR="00A2479A">
              <w:rPr>
                <w:noProof/>
                <w:webHidden/>
              </w:rPr>
              <w:tab/>
            </w:r>
            <w:r w:rsidR="00A2479A">
              <w:rPr>
                <w:noProof/>
                <w:webHidden/>
              </w:rPr>
              <w:fldChar w:fldCharType="begin"/>
            </w:r>
            <w:r w:rsidR="00A2479A">
              <w:rPr>
                <w:noProof/>
                <w:webHidden/>
              </w:rPr>
              <w:instrText xml:space="preserve"> PAGEREF _Toc169194477 \h </w:instrText>
            </w:r>
            <w:r w:rsidR="00A2479A">
              <w:rPr>
                <w:noProof/>
                <w:webHidden/>
              </w:rPr>
            </w:r>
            <w:r w:rsidR="00A2479A">
              <w:rPr>
                <w:noProof/>
                <w:webHidden/>
              </w:rPr>
              <w:fldChar w:fldCharType="separate"/>
            </w:r>
            <w:r w:rsidR="00A2479A">
              <w:rPr>
                <w:noProof/>
                <w:webHidden/>
              </w:rPr>
              <w:t>13</w:t>
            </w:r>
            <w:r w:rsidR="00A2479A">
              <w:rPr>
                <w:noProof/>
                <w:webHidden/>
              </w:rPr>
              <w:fldChar w:fldCharType="end"/>
            </w:r>
          </w:hyperlink>
        </w:p>
        <w:p w:rsidR="00A2479A" w:rsidRDefault="00A2479A">
          <w:r>
            <w:rPr>
              <w:b/>
              <w:bCs/>
              <w:noProof/>
            </w:rPr>
            <w:fldChar w:fldCharType="end"/>
          </w:r>
        </w:p>
      </w:sdtContent>
    </w:sdt>
    <w:p w:rsidR="00B10A4F" w:rsidRDefault="00B10A4F" w:rsidP="00B10A4F">
      <w:pPr>
        <w:pStyle w:val="Heading3"/>
      </w:pPr>
    </w:p>
    <w:p w:rsidR="00B10A4F" w:rsidRDefault="00B10A4F" w:rsidP="00B10A4F">
      <w:pPr>
        <w:rPr>
          <w:rFonts w:asciiTheme="majorHAnsi" w:eastAsiaTheme="majorEastAsia" w:hAnsiTheme="majorHAnsi" w:cstheme="majorBidi"/>
          <w:color w:val="4F81BD" w:themeColor="accent1"/>
        </w:rPr>
      </w:pPr>
      <w:r>
        <w:br w:type="page"/>
      </w:r>
    </w:p>
    <w:p w:rsidR="00E42611" w:rsidRDefault="00B10A4F" w:rsidP="00B10A4F">
      <w:pPr>
        <w:pStyle w:val="Heading1"/>
        <w:jc w:val="center"/>
      </w:pPr>
      <w:bookmarkStart w:id="47" w:name="_Toc169194474"/>
      <w:r>
        <w:lastRenderedPageBreak/>
        <w:t>Basel III</w:t>
      </w:r>
      <w:bookmarkEnd w:id="47"/>
    </w:p>
    <w:p w:rsidR="00B10A4F" w:rsidRDefault="00B10A4F" w:rsidP="00B10A4F">
      <w:r w:rsidRPr="00B10A4F">
        <w:t>Basel III is the third Basel Accord, a framework that sets international standards for bank capital adequacy, stress testing, and liquidity requirements.</w:t>
      </w:r>
    </w:p>
    <w:p w:rsidR="00B10A4F" w:rsidRDefault="00B10A4F" w:rsidP="00B10A4F">
      <w:r w:rsidRPr="00B10A4F">
        <w:t>Basel III aims to strengthen the requirements in the Basel II regulatory standards for banks. In addition to increasing capital requirements, it introduces requirements on liquid asset holdings and funding stability, thereby seeking to mitigate the risk of a run on the bank.</w:t>
      </w:r>
    </w:p>
    <w:p w:rsidR="00AC4853" w:rsidRPr="00AC4853" w:rsidRDefault="00AC4853" w:rsidP="00AC4853">
      <w:pPr>
        <w:rPr>
          <w:b/>
          <w:bCs/>
        </w:rPr>
      </w:pPr>
      <w:r w:rsidRPr="00AC4853">
        <w:rPr>
          <w:b/>
          <w:bCs/>
        </w:rPr>
        <w:t>Key Components of Basel III</w:t>
      </w:r>
    </w:p>
    <w:p w:rsidR="00AC4853" w:rsidRDefault="00AC4853" w:rsidP="00AC4853">
      <w:pPr>
        <w:numPr>
          <w:ilvl w:val="0"/>
          <w:numId w:val="1"/>
        </w:numPr>
        <w:rPr>
          <w:b/>
        </w:rPr>
      </w:pPr>
      <w:r w:rsidRPr="00AC4853">
        <w:rPr>
          <w:b/>
          <w:bCs/>
        </w:rPr>
        <w:t>Capital Requirements</w:t>
      </w:r>
      <w:r w:rsidR="00325284">
        <w:rPr>
          <w:b/>
          <w:bCs/>
        </w:rPr>
        <w:t xml:space="preserve"> and buffers</w:t>
      </w:r>
      <w:r w:rsidRPr="00AC4853">
        <w:rPr>
          <w:b/>
        </w:rPr>
        <w:t>:</w:t>
      </w:r>
    </w:p>
    <w:p w:rsidR="00AC4853" w:rsidRPr="00AC4853" w:rsidRDefault="00AC4853" w:rsidP="00AC4853">
      <w:pPr>
        <w:ind w:left="720"/>
      </w:pPr>
      <w:r w:rsidRPr="00AC4853">
        <w:t>Regulatory capital consists of:</w:t>
      </w:r>
    </w:p>
    <w:p w:rsidR="00AC4853" w:rsidRPr="00AC4853" w:rsidRDefault="00AC4853" w:rsidP="00AC4853">
      <w:pPr>
        <w:pStyle w:val="ListParagraph"/>
        <w:numPr>
          <w:ilvl w:val="1"/>
          <w:numId w:val="1"/>
        </w:numPr>
      </w:pPr>
      <w:r w:rsidRPr="00AC4853">
        <w:t>Common Equity Tier 1 – c</w:t>
      </w:r>
      <w:r>
        <w:t xml:space="preserve">ommon shares, retained earnings </w:t>
      </w:r>
      <w:r w:rsidRPr="00AC4853">
        <w:t>and other reserves.</w:t>
      </w:r>
    </w:p>
    <w:p w:rsidR="00AC4853" w:rsidRPr="00AC4853" w:rsidRDefault="00AC4853" w:rsidP="00AC4853">
      <w:pPr>
        <w:pStyle w:val="ListParagraph"/>
        <w:numPr>
          <w:ilvl w:val="1"/>
          <w:numId w:val="1"/>
        </w:numPr>
      </w:pPr>
      <w:r w:rsidRPr="00AC4853">
        <w:t>Additional Tier 1 – ca</w:t>
      </w:r>
      <w:r>
        <w:t xml:space="preserve">pital instruments with no fixed </w:t>
      </w:r>
      <w:r w:rsidRPr="00AC4853">
        <w:t>maturity.</w:t>
      </w:r>
    </w:p>
    <w:p w:rsidR="00AC4853" w:rsidRDefault="00AC4853" w:rsidP="00AC4853">
      <w:pPr>
        <w:pStyle w:val="ListParagraph"/>
        <w:numPr>
          <w:ilvl w:val="1"/>
          <w:numId w:val="1"/>
        </w:numPr>
      </w:pPr>
      <w:r w:rsidRPr="00AC4853">
        <w:t>Tier 2 – subordinated debt and general loan-loss reserves</w:t>
      </w:r>
    </w:p>
    <w:p w:rsidR="00726EBE" w:rsidRDefault="00726EBE" w:rsidP="00CA09B4">
      <w:r>
        <w:t>Minimum:</w:t>
      </w:r>
    </w:p>
    <w:tbl>
      <w:tblPr>
        <w:tblStyle w:val="TableGrid"/>
        <w:tblW w:w="0" w:type="auto"/>
        <w:tblLook w:val="04A0" w:firstRow="1" w:lastRow="0" w:firstColumn="1" w:lastColumn="0" w:noHBand="0" w:noVBand="1"/>
      </w:tblPr>
      <w:tblGrid>
        <w:gridCol w:w="1915"/>
        <w:gridCol w:w="1915"/>
        <w:gridCol w:w="1915"/>
        <w:gridCol w:w="1915"/>
        <w:gridCol w:w="1916"/>
      </w:tblGrid>
      <w:tr w:rsidR="00726EBE" w:rsidTr="00726EBE">
        <w:tc>
          <w:tcPr>
            <w:tcW w:w="1915" w:type="dxa"/>
          </w:tcPr>
          <w:p w:rsidR="00726EBE" w:rsidRDefault="00726EBE" w:rsidP="00CA09B4">
            <w:pPr>
              <w:jc w:val="center"/>
            </w:pPr>
          </w:p>
        </w:tc>
        <w:tc>
          <w:tcPr>
            <w:tcW w:w="1915" w:type="dxa"/>
          </w:tcPr>
          <w:p w:rsidR="00726EBE" w:rsidRDefault="00726EBE" w:rsidP="00CA09B4">
            <w:pPr>
              <w:jc w:val="center"/>
            </w:pPr>
            <w:r>
              <w:t>CET-1</w:t>
            </w:r>
          </w:p>
        </w:tc>
        <w:tc>
          <w:tcPr>
            <w:tcW w:w="1915" w:type="dxa"/>
          </w:tcPr>
          <w:p w:rsidR="00726EBE" w:rsidRDefault="00726EBE" w:rsidP="00CA09B4">
            <w:pPr>
              <w:jc w:val="center"/>
            </w:pPr>
            <w:r>
              <w:t>AT-1</w:t>
            </w:r>
          </w:p>
        </w:tc>
        <w:tc>
          <w:tcPr>
            <w:tcW w:w="1915" w:type="dxa"/>
          </w:tcPr>
          <w:p w:rsidR="00726EBE" w:rsidRDefault="00726EBE" w:rsidP="00CA09B4">
            <w:pPr>
              <w:jc w:val="center"/>
            </w:pPr>
            <w:r>
              <w:t>T-2</w:t>
            </w:r>
          </w:p>
        </w:tc>
        <w:tc>
          <w:tcPr>
            <w:tcW w:w="1916" w:type="dxa"/>
          </w:tcPr>
          <w:p w:rsidR="00726EBE" w:rsidRDefault="00726EBE" w:rsidP="00CA09B4">
            <w:pPr>
              <w:jc w:val="center"/>
            </w:pPr>
            <w:r>
              <w:t>Total</w:t>
            </w:r>
          </w:p>
        </w:tc>
      </w:tr>
      <w:tr w:rsidR="00726EBE" w:rsidTr="00726EBE">
        <w:tc>
          <w:tcPr>
            <w:tcW w:w="1915" w:type="dxa"/>
          </w:tcPr>
          <w:p w:rsidR="00726EBE" w:rsidRDefault="0040353E" w:rsidP="00CA09B4">
            <w:pPr>
              <w:jc w:val="center"/>
            </w:pPr>
            <w:r>
              <w:t>(As of 2015)</w:t>
            </w:r>
          </w:p>
        </w:tc>
        <w:tc>
          <w:tcPr>
            <w:tcW w:w="1915" w:type="dxa"/>
          </w:tcPr>
          <w:p w:rsidR="00726EBE" w:rsidRDefault="00726EBE" w:rsidP="00CA09B4">
            <w:pPr>
              <w:jc w:val="center"/>
            </w:pPr>
            <w:r>
              <w:t>4.5%</w:t>
            </w:r>
          </w:p>
        </w:tc>
        <w:tc>
          <w:tcPr>
            <w:tcW w:w="1915" w:type="dxa"/>
          </w:tcPr>
          <w:p w:rsidR="00726EBE" w:rsidRDefault="00726EBE" w:rsidP="00CA09B4">
            <w:pPr>
              <w:jc w:val="center"/>
            </w:pPr>
            <w:r>
              <w:t>1.5%</w:t>
            </w:r>
          </w:p>
        </w:tc>
        <w:tc>
          <w:tcPr>
            <w:tcW w:w="1915" w:type="dxa"/>
          </w:tcPr>
          <w:p w:rsidR="00726EBE" w:rsidRDefault="00726EBE" w:rsidP="00CA09B4">
            <w:pPr>
              <w:jc w:val="center"/>
            </w:pPr>
            <w:r>
              <w:t>2%</w:t>
            </w:r>
          </w:p>
        </w:tc>
        <w:tc>
          <w:tcPr>
            <w:tcW w:w="1916" w:type="dxa"/>
          </w:tcPr>
          <w:p w:rsidR="00726EBE" w:rsidRDefault="00726EBE" w:rsidP="00CA09B4">
            <w:pPr>
              <w:jc w:val="center"/>
            </w:pPr>
            <w:r>
              <w:t>8%</w:t>
            </w:r>
          </w:p>
        </w:tc>
      </w:tr>
    </w:tbl>
    <w:p w:rsidR="00AC4853" w:rsidRDefault="00AC4853" w:rsidP="00CA09B4">
      <w:pPr>
        <w:jc w:val="center"/>
      </w:pPr>
    </w:p>
    <w:p w:rsidR="00D1539C" w:rsidRDefault="00D1539C" w:rsidP="00CA09B4">
      <w:r>
        <w:t>Buffer:</w:t>
      </w:r>
    </w:p>
    <w:tbl>
      <w:tblPr>
        <w:tblStyle w:val="TableGrid"/>
        <w:tblW w:w="9640" w:type="dxa"/>
        <w:tblLook w:val="04A0" w:firstRow="1" w:lastRow="0" w:firstColumn="1" w:lastColumn="0" w:noHBand="0" w:noVBand="1"/>
      </w:tblPr>
      <w:tblGrid>
        <w:gridCol w:w="4051"/>
        <w:gridCol w:w="1981"/>
        <w:gridCol w:w="1939"/>
        <w:gridCol w:w="1669"/>
      </w:tblGrid>
      <w:tr w:rsidR="007C4264" w:rsidTr="007C4264">
        <w:trPr>
          <w:trHeight w:val="218"/>
        </w:trPr>
        <w:tc>
          <w:tcPr>
            <w:tcW w:w="4051" w:type="dxa"/>
          </w:tcPr>
          <w:p w:rsidR="007C4264" w:rsidRDefault="007C4264" w:rsidP="00CA09B4">
            <w:pPr>
              <w:jc w:val="center"/>
            </w:pPr>
          </w:p>
        </w:tc>
        <w:tc>
          <w:tcPr>
            <w:tcW w:w="1981" w:type="dxa"/>
          </w:tcPr>
          <w:p w:rsidR="007C4264" w:rsidRDefault="007C4264" w:rsidP="00CA09B4">
            <w:pPr>
              <w:jc w:val="center"/>
            </w:pPr>
            <w:r>
              <w:t>CET-1</w:t>
            </w:r>
          </w:p>
        </w:tc>
        <w:tc>
          <w:tcPr>
            <w:tcW w:w="3608" w:type="dxa"/>
            <w:gridSpan w:val="2"/>
          </w:tcPr>
          <w:p w:rsidR="007C4264" w:rsidRDefault="007C4264" w:rsidP="00CA09B4">
            <w:pPr>
              <w:jc w:val="center"/>
            </w:pPr>
            <w:r>
              <w:t>Total</w:t>
            </w:r>
          </w:p>
        </w:tc>
      </w:tr>
      <w:tr w:rsidR="007C4264" w:rsidTr="007C4264">
        <w:trPr>
          <w:trHeight w:val="218"/>
        </w:trPr>
        <w:tc>
          <w:tcPr>
            <w:tcW w:w="4051" w:type="dxa"/>
          </w:tcPr>
          <w:p w:rsidR="007C4264" w:rsidRDefault="007C4264" w:rsidP="00CA09B4">
            <w:pPr>
              <w:jc w:val="center"/>
            </w:pPr>
          </w:p>
        </w:tc>
        <w:tc>
          <w:tcPr>
            <w:tcW w:w="1981" w:type="dxa"/>
          </w:tcPr>
          <w:p w:rsidR="007C4264" w:rsidRDefault="007C4264" w:rsidP="00CA09B4">
            <w:pPr>
              <w:jc w:val="center"/>
            </w:pPr>
            <w:r>
              <w:t>Additional</w:t>
            </w:r>
          </w:p>
        </w:tc>
        <w:tc>
          <w:tcPr>
            <w:tcW w:w="1939" w:type="dxa"/>
          </w:tcPr>
          <w:p w:rsidR="007C4264" w:rsidRDefault="007C4264" w:rsidP="00CA09B4">
            <w:pPr>
              <w:jc w:val="center"/>
            </w:pPr>
            <w:r>
              <w:t>Minimum</w:t>
            </w:r>
          </w:p>
        </w:tc>
        <w:tc>
          <w:tcPr>
            <w:tcW w:w="1668" w:type="dxa"/>
          </w:tcPr>
          <w:p w:rsidR="007C4264" w:rsidRDefault="007C4264" w:rsidP="00CA09B4">
            <w:pPr>
              <w:jc w:val="center"/>
            </w:pPr>
            <w:r>
              <w:t>Buffer</w:t>
            </w:r>
          </w:p>
        </w:tc>
      </w:tr>
      <w:tr w:rsidR="007C4264" w:rsidTr="007C4264">
        <w:trPr>
          <w:trHeight w:val="435"/>
        </w:trPr>
        <w:tc>
          <w:tcPr>
            <w:tcW w:w="4051" w:type="dxa"/>
          </w:tcPr>
          <w:p w:rsidR="007C4264" w:rsidRDefault="007C4264" w:rsidP="0040353E">
            <w:pPr>
              <w:jc w:val="center"/>
            </w:pPr>
            <w:r>
              <w:t>Capital Conservation Buffer</w:t>
            </w:r>
          </w:p>
        </w:tc>
        <w:tc>
          <w:tcPr>
            <w:tcW w:w="1981" w:type="dxa"/>
            <w:vAlign w:val="center"/>
          </w:tcPr>
          <w:p w:rsidR="007C4264" w:rsidRDefault="007C4264" w:rsidP="00CA09B4">
            <w:pPr>
              <w:jc w:val="center"/>
            </w:pPr>
            <w:r>
              <w:t>+2.5%</w:t>
            </w:r>
          </w:p>
        </w:tc>
        <w:tc>
          <w:tcPr>
            <w:tcW w:w="1939" w:type="dxa"/>
            <w:vAlign w:val="center"/>
          </w:tcPr>
          <w:p w:rsidR="007C4264" w:rsidRDefault="007C4264" w:rsidP="00CA09B4">
            <w:pPr>
              <w:jc w:val="center"/>
            </w:pPr>
            <w:r>
              <w:t>8%</w:t>
            </w:r>
          </w:p>
        </w:tc>
        <w:tc>
          <w:tcPr>
            <w:tcW w:w="1668" w:type="dxa"/>
            <w:vAlign w:val="center"/>
          </w:tcPr>
          <w:p w:rsidR="007C4264" w:rsidRDefault="007C4264" w:rsidP="00CA09B4">
            <w:pPr>
              <w:jc w:val="center"/>
            </w:pPr>
            <w:r>
              <w:t>10.5%</w:t>
            </w:r>
          </w:p>
        </w:tc>
      </w:tr>
      <w:tr w:rsidR="007C4264" w:rsidTr="007C4264">
        <w:trPr>
          <w:trHeight w:val="435"/>
        </w:trPr>
        <w:tc>
          <w:tcPr>
            <w:tcW w:w="4051" w:type="dxa"/>
          </w:tcPr>
          <w:p w:rsidR="007C4264" w:rsidRDefault="007C4264" w:rsidP="00CA09B4">
            <w:pPr>
              <w:jc w:val="center"/>
            </w:pPr>
            <w:r>
              <w:t>Countercyclical Buffer</w:t>
            </w:r>
          </w:p>
        </w:tc>
        <w:tc>
          <w:tcPr>
            <w:tcW w:w="1981" w:type="dxa"/>
            <w:vAlign w:val="center"/>
          </w:tcPr>
          <w:p w:rsidR="007C4264" w:rsidRDefault="007C4264" w:rsidP="00CA09B4">
            <w:pPr>
              <w:jc w:val="center"/>
            </w:pPr>
            <w:r>
              <w:t>+2.5%</w:t>
            </w:r>
          </w:p>
        </w:tc>
        <w:tc>
          <w:tcPr>
            <w:tcW w:w="1939" w:type="dxa"/>
            <w:vAlign w:val="center"/>
          </w:tcPr>
          <w:p w:rsidR="007C4264" w:rsidRDefault="0040353E" w:rsidP="00CA09B4">
            <w:pPr>
              <w:jc w:val="center"/>
            </w:pPr>
            <w:r>
              <w:t>8</w:t>
            </w:r>
            <w:r w:rsidR="007C4264">
              <w:t>%</w:t>
            </w:r>
          </w:p>
        </w:tc>
        <w:tc>
          <w:tcPr>
            <w:tcW w:w="1668" w:type="dxa"/>
            <w:vAlign w:val="center"/>
          </w:tcPr>
          <w:p w:rsidR="007C4264" w:rsidRDefault="0040353E" w:rsidP="00CA09B4">
            <w:pPr>
              <w:jc w:val="center"/>
            </w:pPr>
            <w:r>
              <w:t>10.5</w:t>
            </w:r>
            <w:r w:rsidR="007C4264">
              <w:t>%</w:t>
            </w:r>
          </w:p>
        </w:tc>
      </w:tr>
    </w:tbl>
    <w:p w:rsidR="00D1539C" w:rsidRPr="00AC4853" w:rsidRDefault="00D1539C" w:rsidP="0010354C"/>
    <w:p w:rsidR="00325284" w:rsidRPr="0010354C" w:rsidRDefault="00325284" w:rsidP="0010354C">
      <w:pPr>
        <w:pStyle w:val="ListParagraph"/>
        <w:numPr>
          <w:ilvl w:val="0"/>
          <w:numId w:val="1"/>
        </w:numPr>
        <w:rPr>
          <w:b/>
        </w:rPr>
      </w:pPr>
      <w:r w:rsidRPr="0010354C">
        <w:rPr>
          <w:b/>
          <w:bCs/>
        </w:rPr>
        <w:t>Leverage Ratio</w:t>
      </w:r>
      <w:r w:rsidRPr="0010354C">
        <w:rPr>
          <w:b/>
        </w:rPr>
        <w:t xml:space="preserve">: </w:t>
      </w:r>
    </w:p>
    <w:p w:rsidR="00325284" w:rsidRPr="0010354C" w:rsidRDefault="00325284" w:rsidP="0010354C">
      <w:pPr>
        <w:pStyle w:val="ListParagraph"/>
      </w:pPr>
      <w:proofErr w:type="gramStart"/>
      <w:r w:rsidRPr="0010354C">
        <w:t>Introduced as a non-risk-based measure to complement the risk-based capital requirements.</w:t>
      </w:r>
      <w:proofErr w:type="gramEnd"/>
      <w:r w:rsidR="0010354C">
        <w:t xml:space="preserve"> </w:t>
      </w:r>
      <w:r w:rsidRPr="0010354C">
        <w:rPr>
          <w:bCs/>
        </w:rPr>
        <w:t>Minimum Requirement</w:t>
      </w:r>
      <w:r w:rsidRPr="0010354C">
        <w:t>: 3% of the bank's total exposure (total assets and off-balance sheet exposures).</w:t>
      </w:r>
    </w:p>
    <w:p w:rsidR="00325284" w:rsidRDefault="00325284" w:rsidP="0010354C">
      <w:pPr>
        <w:pStyle w:val="ListParagraph"/>
      </w:pPr>
      <w:r w:rsidRPr="0010354C">
        <w:t>However, there have been discussions and implementations in various jurisdictions to impose higher leverage ratio requirements for globally systemically important banks (G-SIBs) to further enhance their resilience.</w:t>
      </w:r>
    </w:p>
    <w:p w:rsidR="00765EDC" w:rsidRDefault="0010354C" w:rsidP="0010354C">
      <w:pPr>
        <w:pStyle w:val="ListParagraph"/>
      </w:pPr>
      <w:r>
        <w:t xml:space="preserve">The leverage ratio buffer for each G-SIB will be set at 50% of its risk-based capital buffer. </w:t>
      </w:r>
    </w:p>
    <w:p w:rsidR="0010354C" w:rsidRDefault="0010354C" w:rsidP="0010354C">
      <w:pPr>
        <w:pStyle w:val="ListParagraph"/>
      </w:pPr>
      <w:r>
        <w:t>For example, a bank with a 2% risk-based buffer will have a 1% leverage ratio buffer and so will be expected to maintain a leverage ratio of at least 4%.</w:t>
      </w:r>
    </w:p>
    <w:p w:rsidR="00765EDC" w:rsidRDefault="00765EDC" w:rsidP="0010354C">
      <w:pPr>
        <w:pStyle w:val="ListParagraph"/>
      </w:pPr>
    </w:p>
    <w:p w:rsidR="0010354C" w:rsidRDefault="0010354C" w:rsidP="0010354C">
      <w:pPr>
        <w:pStyle w:val="ListParagraph"/>
      </w:pPr>
    </w:p>
    <w:p w:rsidR="0010354C" w:rsidRDefault="0010354C" w:rsidP="00765EDC"/>
    <w:p w:rsidR="0010354C" w:rsidRPr="0010354C" w:rsidRDefault="0010354C" w:rsidP="0010354C">
      <w:pPr>
        <w:pStyle w:val="ListParagraph"/>
        <w:numPr>
          <w:ilvl w:val="0"/>
          <w:numId w:val="1"/>
        </w:numPr>
        <w:spacing w:before="100" w:beforeAutospacing="1" w:after="100" w:afterAutospacing="1"/>
        <w:rPr>
          <w:rFonts w:eastAsia="Times New Roman" w:cstheme="minorHAnsi"/>
          <w:szCs w:val="24"/>
        </w:rPr>
      </w:pPr>
      <w:r w:rsidRPr="0010354C">
        <w:rPr>
          <w:rFonts w:eastAsia="Times New Roman" w:cstheme="minorHAnsi"/>
          <w:b/>
          <w:bCs/>
          <w:szCs w:val="24"/>
        </w:rPr>
        <w:t>Risk Management and Supervision:</w:t>
      </w:r>
    </w:p>
    <w:p w:rsidR="0010354C" w:rsidRPr="0010354C" w:rsidRDefault="0010354C" w:rsidP="0010354C">
      <w:pPr>
        <w:spacing w:before="100" w:beforeAutospacing="1" w:after="100" w:afterAutospacing="1"/>
        <w:ind w:left="720"/>
        <w:rPr>
          <w:rFonts w:eastAsia="Times New Roman" w:cstheme="minorHAnsi"/>
          <w:szCs w:val="24"/>
        </w:rPr>
      </w:pPr>
      <w:r w:rsidRPr="0010354C">
        <w:rPr>
          <w:rFonts w:eastAsia="Times New Roman" w:cstheme="minorHAnsi"/>
          <w:b/>
          <w:bCs/>
          <w:szCs w:val="24"/>
        </w:rPr>
        <w:t>Original Basel III Requirements:</w:t>
      </w:r>
    </w:p>
    <w:p w:rsidR="0010354C" w:rsidRPr="0010354C" w:rsidRDefault="0010354C" w:rsidP="0010354C">
      <w:pPr>
        <w:numPr>
          <w:ilvl w:val="1"/>
          <w:numId w:val="8"/>
        </w:numPr>
        <w:spacing w:before="100" w:beforeAutospacing="1" w:after="100" w:afterAutospacing="1"/>
        <w:rPr>
          <w:rFonts w:eastAsia="Times New Roman" w:cstheme="minorHAnsi"/>
          <w:szCs w:val="24"/>
        </w:rPr>
      </w:pPr>
      <w:r w:rsidRPr="0010354C">
        <w:rPr>
          <w:rFonts w:eastAsia="Times New Roman" w:cstheme="minorHAnsi"/>
          <w:b/>
          <w:bCs/>
          <w:szCs w:val="24"/>
        </w:rPr>
        <w:t>Risk Management</w:t>
      </w:r>
      <w:r w:rsidRPr="0010354C">
        <w:rPr>
          <w:rFonts w:eastAsia="Times New Roman" w:cstheme="minorHAnsi"/>
          <w:szCs w:val="24"/>
        </w:rPr>
        <w:t>: Emphasized enhanced risk management practices to better identify, measure, monitor, and control risks.</w:t>
      </w:r>
    </w:p>
    <w:p w:rsidR="0010354C" w:rsidRPr="0010354C" w:rsidRDefault="0010354C" w:rsidP="0010354C">
      <w:pPr>
        <w:numPr>
          <w:ilvl w:val="1"/>
          <w:numId w:val="8"/>
        </w:numPr>
        <w:spacing w:before="100" w:beforeAutospacing="1" w:after="100" w:afterAutospacing="1"/>
        <w:rPr>
          <w:rFonts w:eastAsia="Times New Roman" w:cstheme="minorHAnsi"/>
          <w:szCs w:val="24"/>
        </w:rPr>
      </w:pPr>
      <w:r w:rsidRPr="0010354C">
        <w:rPr>
          <w:rFonts w:eastAsia="Times New Roman" w:cstheme="minorHAnsi"/>
          <w:b/>
          <w:bCs/>
          <w:szCs w:val="24"/>
        </w:rPr>
        <w:t>Supervision</w:t>
      </w:r>
      <w:r w:rsidRPr="0010354C">
        <w:rPr>
          <w:rFonts w:eastAsia="Times New Roman" w:cstheme="minorHAnsi"/>
          <w:szCs w:val="24"/>
        </w:rPr>
        <w:t>: Strengthened the supervisory review process to ensure that banks maintain adequate capital and liquidity levels.</w:t>
      </w:r>
    </w:p>
    <w:p w:rsidR="0010354C" w:rsidRPr="0010354C" w:rsidRDefault="0010354C" w:rsidP="0010354C">
      <w:pPr>
        <w:spacing w:before="100" w:beforeAutospacing="1" w:after="100" w:afterAutospacing="1"/>
        <w:ind w:left="720"/>
        <w:rPr>
          <w:rFonts w:eastAsia="Times New Roman" w:cstheme="minorHAnsi"/>
          <w:szCs w:val="24"/>
        </w:rPr>
      </w:pPr>
      <w:r w:rsidRPr="0010354C">
        <w:rPr>
          <w:rFonts w:eastAsia="Times New Roman" w:cstheme="minorHAnsi"/>
          <w:b/>
          <w:bCs/>
          <w:szCs w:val="24"/>
        </w:rPr>
        <w:t>Current Implementation:</w:t>
      </w:r>
    </w:p>
    <w:p w:rsidR="0010354C" w:rsidRDefault="0010354C" w:rsidP="0010354C">
      <w:pPr>
        <w:numPr>
          <w:ilvl w:val="1"/>
          <w:numId w:val="8"/>
        </w:numPr>
        <w:spacing w:before="100" w:beforeAutospacing="1" w:after="100" w:afterAutospacing="1"/>
        <w:rPr>
          <w:rFonts w:eastAsia="Times New Roman" w:cstheme="minorHAnsi"/>
          <w:szCs w:val="24"/>
        </w:rPr>
      </w:pPr>
      <w:r w:rsidRPr="0010354C">
        <w:rPr>
          <w:rFonts w:eastAsia="Times New Roman" w:cstheme="minorHAnsi"/>
          <w:szCs w:val="24"/>
        </w:rPr>
        <w:t>Banks are required to implement robust risk management frameworks covering all significant risks, including</w:t>
      </w:r>
      <w:r w:rsidR="00765EDC">
        <w:rPr>
          <w:rFonts w:eastAsia="Times New Roman" w:cstheme="minorHAnsi"/>
          <w:szCs w:val="24"/>
        </w:rPr>
        <w:t>:</w:t>
      </w:r>
    </w:p>
    <w:p w:rsidR="00765EDC" w:rsidRPr="00765EDC" w:rsidRDefault="00765EDC" w:rsidP="00765EDC">
      <w:pPr>
        <w:pStyle w:val="ListParagraph"/>
        <w:numPr>
          <w:ilvl w:val="2"/>
          <w:numId w:val="8"/>
        </w:numPr>
        <w:spacing w:before="100" w:beforeAutospacing="1" w:after="100" w:afterAutospacing="1"/>
        <w:rPr>
          <w:rFonts w:eastAsia="Times New Roman" w:cstheme="minorHAnsi"/>
          <w:szCs w:val="24"/>
        </w:rPr>
      </w:pPr>
      <w:r>
        <w:rPr>
          <w:rFonts w:eastAsia="Times New Roman" w:cstheme="minorHAnsi"/>
          <w:szCs w:val="24"/>
        </w:rPr>
        <w:t>credit risk</w:t>
      </w:r>
    </w:p>
    <w:p w:rsidR="00765EDC" w:rsidRPr="00765EDC" w:rsidRDefault="00765EDC" w:rsidP="00765EDC">
      <w:pPr>
        <w:pStyle w:val="ListParagraph"/>
        <w:numPr>
          <w:ilvl w:val="2"/>
          <w:numId w:val="8"/>
        </w:numPr>
        <w:spacing w:before="100" w:beforeAutospacing="1" w:after="100" w:afterAutospacing="1"/>
        <w:rPr>
          <w:rFonts w:eastAsia="Times New Roman" w:cstheme="minorHAnsi"/>
          <w:szCs w:val="24"/>
        </w:rPr>
      </w:pPr>
      <w:r w:rsidRPr="00765EDC">
        <w:rPr>
          <w:rFonts w:eastAsia="Times New Roman" w:cstheme="minorHAnsi"/>
          <w:szCs w:val="24"/>
        </w:rPr>
        <w:t>market risk</w:t>
      </w:r>
    </w:p>
    <w:p w:rsidR="00765EDC" w:rsidRPr="00765EDC" w:rsidRDefault="00765EDC" w:rsidP="00765EDC">
      <w:pPr>
        <w:pStyle w:val="ListParagraph"/>
        <w:numPr>
          <w:ilvl w:val="2"/>
          <w:numId w:val="8"/>
        </w:numPr>
        <w:spacing w:before="100" w:beforeAutospacing="1" w:after="100" w:afterAutospacing="1"/>
        <w:rPr>
          <w:rFonts w:eastAsia="Times New Roman" w:cstheme="minorHAnsi"/>
          <w:szCs w:val="24"/>
        </w:rPr>
      </w:pPr>
      <w:r w:rsidRPr="00765EDC">
        <w:rPr>
          <w:rFonts w:eastAsia="Times New Roman" w:cstheme="minorHAnsi"/>
          <w:szCs w:val="24"/>
        </w:rPr>
        <w:t>credi</w:t>
      </w:r>
      <w:r>
        <w:rPr>
          <w:rFonts w:eastAsia="Times New Roman" w:cstheme="minorHAnsi"/>
          <w:szCs w:val="24"/>
        </w:rPr>
        <w:t>t valuation adjustment risk</w:t>
      </w:r>
    </w:p>
    <w:p w:rsidR="00765EDC" w:rsidRPr="00765EDC" w:rsidRDefault="00765EDC" w:rsidP="00765EDC">
      <w:pPr>
        <w:pStyle w:val="ListParagraph"/>
        <w:numPr>
          <w:ilvl w:val="2"/>
          <w:numId w:val="8"/>
        </w:numPr>
        <w:spacing w:before="100" w:beforeAutospacing="1" w:after="100" w:afterAutospacing="1"/>
        <w:rPr>
          <w:rFonts w:eastAsia="Times New Roman" w:cstheme="minorHAnsi"/>
          <w:szCs w:val="24"/>
        </w:rPr>
      </w:pPr>
      <w:r w:rsidRPr="00765EDC">
        <w:rPr>
          <w:rFonts w:eastAsia="Times New Roman" w:cstheme="minorHAnsi"/>
          <w:szCs w:val="24"/>
        </w:rPr>
        <w:t>operational risk</w:t>
      </w:r>
    </w:p>
    <w:p w:rsidR="0010354C" w:rsidRPr="0010354C" w:rsidRDefault="0010354C" w:rsidP="0010354C">
      <w:pPr>
        <w:numPr>
          <w:ilvl w:val="1"/>
          <w:numId w:val="8"/>
        </w:numPr>
        <w:spacing w:before="100" w:beforeAutospacing="1" w:after="100" w:afterAutospacing="1"/>
        <w:rPr>
          <w:rFonts w:eastAsia="Times New Roman" w:cstheme="minorHAnsi"/>
          <w:szCs w:val="24"/>
        </w:rPr>
      </w:pPr>
      <w:r w:rsidRPr="0010354C">
        <w:rPr>
          <w:rFonts w:eastAsia="Times New Roman" w:cstheme="minorHAnsi"/>
          <w:b/>
          <w:bCs/>
          <w:szCs w:val="24"/>
        </w:rPr>
        <w:t>Stress Testing</w:t>
      </w:r>
      <w:r w:rsidRPr="0010354C">
        <w:rPr>
          <w:rFonts w:eastAsia="Times New Roman" w:cstheme="minorHAnsi"/>
          <w:szCs w:val="24"/>
        </w:rPr>
        <w:t>: Regular stress tests are mandated to assess banks' resilience under adverse economic conditions.</w:t>
      </w:r>
    </w:p>
    <w:p w:rsidR="0010354C" w:rsidRPr="0010354C" w:rsidRDefault="0010354C" w:rsidP="0010354C">
      <w:pPr>
        <w:numPr>
          <w:ilvl w:val="1"/>
          <w:numId w:val="8"/>
        </w:numPr>
        <w:spacing w:before="100" w:beforeAutospacing="1" w:after="100" w:afterAutospacing="1"/>
        <w:rPr>
          <w:rFonts w:eastAsia="Times New Roman" w:cstheme="minorHAnsi"/>
          <w:szCs w:val="24"/>
        </w:rPr>
      </w:pPr>
      <w:r w:rsidRPr="0010354C">
        <w:rPr>
          <w:rFonts w:eastAsia="Times New Roman" w:cstheme="minorHAnsi"/>
          <w:b/>
          <w:bCs/>
          <w:szCs w:val="24"/>
        </w:rPr>
        <w:t>Internal Capital Adequacy Assessment Process (ICAAP)</w:t>
      </w:r>
      <w:r w:rsidRPr="0010354C">
        <w:rPr>
          <w:rFonts w:eastAsia="Times New Roman" w:cstheme="minorHAnsi"/>
          <w:szCs w:val="24"/>
        </w:rPr>
        <w:t>: Banks must regularly evaluate their capital adequacy relative to their risk profile.</w:t>
      </w:r>
    </w:p>
    <w:p w:rsidR="00765EDC" w:rsidRDefault="0010354C" w:rsidP="00765EDC">
      <w:pPr>
        <w:numPr>
          <w:ilvl w:val="1"/>
          <w:numId w:val="8"/>
        </w:numPr>
        <w:spacing w:before="100" w:beforeAutospacing="1" w:after="100" w:afterAutospacing="1"/>
        <w:rPr>
          <w:rFonts w:eastAsia="Times New Roman" w:cstheme="minorHAnsi"/>
          <w:szCs w:val="24"/>
        </w:rPr>
      </w:pPr>
      <w:r w:rsidRPr="0010354C">
        <w:rPr>
          <w:rFonts w:eastAsia="Times New Roman" w:cstheme="minorHAnsi"/>
          <w:szCs w:val="24"/>
        </w:rPr>
        <w:t>Supervisors actively engage with banks to ensure compliance and take corrective actions as necessary. This includes periodic on-site inspections and off-site monitoring.</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703134" w:rsidTr="00703134">
        <w:tc>
          <w:tcPr>
            <w:tcW w:w="1368" w:type="dxa"/>
          </w:tcPr>
          <w:p w:rsidR="00703134" w:rsidRDefault="00703134" w:rsidP="00703134">
            <w:pPr>
              <w:spacing w:before="100" w:beforeAutospacing="1" w:after="100" w:afterAutospacing="1"/>
              <w:rPr>
                <w:rFonts w:eastAsia="Times New Roman" w:cstheme="minorHAnsi"/>
                <w:szCs w:val="24"/>
              </w:rPr>
            </w:pP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2023</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2024</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2025</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2026</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2027</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2028</w:t>
            </w:r>
          </w:p>
        </w:tc>
      </w:tr>
      <w:tr w:rsidR="00703134" w:rsidTr="00703134">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Output Floor</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50%</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55%</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60%</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65%</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70%</w:t>
            </w:r>
          </w:p>
        </w:tc>
        <w:tc>
          <w:tcPr>
            <w:tcW w:w="1368" w:type="dxa"/>
          </w:tcPr>
          <w:p w:rsidR="00703134" w:rsidRDefault="00703134" w:rsidP="00703134">
            <w:pPr>
              <w:spacing w:before="100" w:beforeAutospacing="1" w:after="100" w:afterAutospacing="1"/>
              <w:rPr>
                <w:rFonts w:eastAsia="Times New Roman" w:cstheme="minorHAnsi"/>
                <w:szCs w:val="24"/>
              </w:rPr>
            </w:pPr>
            <w:r>
              <w:rPr>
                <w:rFonts w:eastAsia="Times New Roman" w:cstheme="minorHAnsi"/>
                <w:szCs w:val="24"/>
              </w:rPr>
              <w:t>72.5%</w:t>
            </w:r>
          </w:p>
        </w:tc>
      </w:tr>
    </w:tbl>
    <w:p w:rsidR="00062EA3" w:rsidRDefault="00062EA3" w:rsidP="00765EDC">
      <w:pPr>
        <w:spacing w:before="100" w:beforeAutospacing="1" w:after="100" w:afterAutospacing="1"/>
        <w:rPr>
          <w:rFonts w:eastAsia="Times New Roman" w:cstheme="minorHAnsi"/>
          <w:b/>
          <w:bCs/>
          <w:szCs w:val="24"/>
        </w:rPr>
      </w:pPr>
      <w:r>
        <w:rPr>
          <w:rFonts w:eastAsia="Times New Roman" w:cstheme="minorHAnsi"/>
          <w:b/>
          <w:bCs/>
          <w:noProof/>
          <w:szCs w:val="24"/>
        </w:rPr>
        <w:drawing>
          <wp:inline distT="0" distB="0" distL="0" distR="0">
            <wp:extent cx="5953539" cy="2454965"/>
            <wp:effectExtent l="0" t="0" r="9525"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5EDC" w:rsidRPr="00765EDC" w:rsidRDefault="00765EDC" w:rsidP="00765EDC">
      <w:pPr>
        <w:spacing w:before="100" w:beforeAutospacing="1" w:after="100" w:afterAutospacing="1"/>
        <w:rPr>
          <w:rFonts w:eastAsia="Times New Roman" w:cstheme="minorHAnsi"/>
          <w:szCs w:val="24"/>
        </w:rPr>
      </w:pPr>
      <w:r w:rsidRPr="00765EDC">
        <w:rPr>
          <w:rFonts w:eastAsia="Times New Roman" w:cstheme="minorHAnsi"/>
          <w:b/>
          <w:bCs/>
          <w:szCs w:val="24"/>
        </w:rPr>
        <w:lastRenderedPageBreak/>
        <w:t>3. Liquidity Requirements:</w:t>
      </w:r>
    </w:p>
    <w:p w:rsidR="00765EDC" w:rsidRPr="00765EDC" w:rsidRDefault="00765EDC" w:rsidP="00765EDC">
      <w:pPr>
        <w:numPr>
          <w:ilvl w:val="0"/>
          <w:numId w:val="9"/>
        </w:numPr>
        <w:spacing w:before="100" w:beforeAutospacing="1" w:after="100" w:afterAutospacing="1"/>
        <w:rPr>
          <w:rFonts w:eastAsia="Times New Roman" w:cstheme="minorHAnsi"/>
          <w:szCs w:val="24"/>
        </w:rPr>
      </w:pPr>
      <w:r w:rsidRPr="00765EDC">
        <w:rPr>
          <w:rFonts w:eastAsia="Times New Roman" w:cstheme="minorHAnsi"/>
          <w:b/>
          <w:bCs/>
          <w:szCs w:val="24"/>
        </w:rPr>
        <w:t>Liquidity Coverage Ratio (LCR):</w:t>
      </w:r>
    </w:p>
    <w:p w:rsidR="00765EDC" w:rsidRPr="00765EDC" w:rsidRDefault="00765EDC" w:rsidP="00765EDC">
      <w:pPr>
        <w:numPr>
          <w:ilvl w:val="1"/>
          <w:numId w:val="9"/>
        </w:numPr>
        <w:spacing w:before="100" w:beforeAutospacing="1" w:after="100" w:afterAutospacing="1"/>
        <w:rPr>
          <w:rFonts w:eastAsia="Times New Roman" w:cstheme="minorHAnsi"/>
          <w:szCs w:val="24"/>
        </w:rPr>
      </w:pPr>
      <w:r w:rsidRPr="00765EDC">
        <w:rPr>
          <w:rFonts w:eastAsia="Times New Roman" w:cstheme="minorHAnsi"/>
          <w:b/>
          <w:bCs/>
          <w:szCs w:val="24"/>
        </w:rPr>
        <w:t>Original Basel III Requirements:</w:t>
      </w:r>
    </w:p>
    <w:p w:rsidR="00765EDC" w:rsidRPr="00765EDC" w:rsidRDefault="00765EDC" w:rsidP="00765EDC">
      <w:pPr>
        <w:numPr>
          <w:ilvl w:val="2"/>
          <w:numId w:val="9"/>
        </w:numPr>
        <w:spacing w:before="100" w:beforeAutospacing="1" w:after="100" w:afterAutospacing="1"/>
        <w:rPr>
          <w:rFonts w:eastAsia="Times New Roman" w:cstheme="minorHAnsi"/>
          <w:szCs w:val="24"/>
        </w:rPr>
      </w:pPr>
      <w:r w:rsidRPr="00765EDC">
        <w:rPr>
          <w:rFonts w:eastAsia="Times New Roman" w:cstheme="minorHAnsi"/>
          <w:b/>
          <w:bCs/>
          <w:szCs w:val="24"/>
        </w:rPr>
        <w:t>LCR</w:t>
      </w:r>
      <w:r w:rsidRPr="00765EDC">
        <w:rPr>
          <w:rFonts w:eastAsia="Times New Roman" w:cstheme="minorHAnsi"/>
          <w:szCs w:val="24"/>
        </w:rPr>
        <w:t>: Requires banks to hold sufficient high-quality liquid assets (HQLA) to cover total net cash outflows over a 30-day stress period.</w:t>
      </w:r>
    </w:p>
    <w:p w:rsidR="00765EDC" w:rsidRPr="00765EDC" w:rsidRDefault="00765EDC" w:rsidP="00765EDC">
      <w:pPr>
        <w:numPr>
          <w:ilvl w:val="2"/>
          <w:numId w:val="9"/>
        </w:numPr>
        <w:spacing w:before="100" w:beforeAutospacing="1" w:after="100" w:afterAutospacing="1"/>
        <w:rPr>
          <w:rFonts w:eastAsia="Times New Roman" w:cstheme="minorHAnsi"/>
          <w:szCs w:val="24"/>
        </w:rPr>
      </w:pPr>
      <w:r w:rsidRPr="00765EDC">
        <w:rPr>
          <w:rFonts w:eastAsia="Times New Roman" w:cstheme="minorHAnsi"/>
          <w:b/>
          <w:bCs/>
          <w:szCs w:val="24"/>
        </w:rPr>
        <w:t>Minimum Requirement</w:t>
      </w:r>
      <w:r w:rsidRPr="00765EDC">
        <w:rPr>
          <w:rFonts w:eastAsia="Times New Roman" w:cstheme="minorHAnsi"/>
          <w:szCs w:val="24"/>
        </w:rPr>
        <w:t>: Initially set at 60% in 2015</w:t>
      </w:r>
      <w:r>
        <w:rPr>
          <w:rFonts w:eastAsia="Times New Roman" w:cstheme="minorHAnsi"/>
          <w:szCs w:val="24"/>
        </w:rPr>
        <w:t>.</w:t>
      </w:r>
    </w:p>
    <w:p w:rsidR="00765EDC" w:rsidRPr="00765EDC" w:rsidRDefault="00765EDC" w:rsidP="00765EDC">
      <w:pPr>
        <w:numPr>
          <w:ilvl w:val="1"/>
          <w:numId w:val="9"/>
        </w:numPr>
        <w:spacing w:before="100" w:beforeAutospacing="1" w:after="100" w:afterAutospacing="1"/>
        <w:rPr>
          <w:rFonts w:eastAsia="Times New Roman" w:cstheme="minorHAnsi"/>
          <w:szCs w:val="24"/>
        </w:rPr>
      </w:pPr>
      <w:r w:rsidRPr="00765EDC">
        <w:rPr>
          <w:rFonts w:eastAsia="Times New Roman" w:cstheme="minorHAnsi"/>
          <w:b/>
          <w:bCs/>
          <w:szCs w:val="24"/>
        </w:rPr>
        <w:t>Current Implementation:</w:t>
      </w:r>
    </w:p>
    <w:p w:rsidR="00765EDC" w:rsidRPr="00765EDC" w:rsidRDefault="00765EDC" w:rsidP="00765EDC">
      <w:pPr>
        <w:numPr>
          <w:ilvl w:val="2"/>
          <w:numId w:val="9"/>
        </w:numPr>
        <w:spacing w:before="100" w:beforeAutospacing="1" w:after="100" w:afterAutospacing="1"/>
        <w:rPr>
          <w:rFonts w:eastAsia="Times New Roman" w:cstheme="minorHAnsi"/>
          <w:szCs w:val="24"/>
        </w:rPr>
      </w:pPr>
      <w:r w:rsidRPr="00765EDC">
        <w:rPr>
          <w:rFonts w:eastAsia="Times New Roman" w:cstheme="minorHAnsi"/>
          <w:szCs w:val="24"/>
        </w:rPr>
        <w:t>The LCR requirement is fully implemented at 100%. Banks must maintain HQLA equivalent to 100% of their net cash outflows over a 30-day period.</w:t>
      </w:r>
    </w:p>
    <w:p w:rsidR="00765EDC" w:rsidRPr="00765EDC" w:rsidRDefault="00765EDC" w:rsidP="00703134">
      <w:pPr>
        <w:numPr>
          <w:ilvl w:val="0"/>
          <w:numId w:val="9"/>
        </w:numPr>
        <w:spacing w:before="100" w:beforeAutospacing="1" w:after="100" w:afterAutospacing="1"/>
        <w:rPr>
          <w:rFonts w:eastAsia="Times New Roman" w:cstheme="minorHAnsi"/>
          <w:szCs w:val="24"/>
        </w:rPr>
      </w:pPr>
      <w:r w:rsidRPr="00765EDC">
        <w:rPr>
          <w:rFonts w:eastAsia="Times New Roman" w:cstheme="minorHAnsi"/>
          <w:b/>
          <w:bCs/>
          <w:szCs w:val="24"/>
        </w:rPr>
        <w:t>Net Stable Funding Ratio (NSFR):</w:t>
      </w:r>
    </w:p>
    <w:p w:rsidR="00765EDC" w:rsidRPr="00765EDC" w:rsidRDefault="00765EDC" w:rsidP="00765EDC">
      <w:pPr>
        <w:numPr>
          <w:ilvl w:val="2"/>
          <w:numId w:val="9"/>
        </w:numPr>
        <w:spacing w:before="100" w:beforeAutospacing="1" w:after="100" w:afterAutospacing="1"/>
        <w:rPr>
          <w:rFonts w:eastAsia="Times New Roman" w:cstheme="minorHAnsi"/>
          <w:szCs w:val="24"/>
        </w:rPr>
      </w:pPr>
      <w:r w:rsidRPr="00765EDC">
        <w:rPr>
          <w:rFonts w:eastAsia="Times New Roman" w:cstheme="minorHAnsi"/>
          <w:b/>
          <w:bCs/>
          <w:szCs w:val="24"/>
        </w:rPr>
        <w:t>NSFR</w:t>
      </w:r>
      <w:r w:rsidRPr="00765EDC">
        <w:rPr>
          <w:rFonts w:eastAsia="Times New Roman" w:cstheme="minorHAnsi"/>
          <w:szCs w:val="24"/>
        </w:rPr>
        <w:t>: Ensures banks have stable funding to support their activities over a one-year time horizon.</w:t>
      </w:r>
    </w:p>
    <w:p w:rsidR="00765EDC" w:rsidRDefault="00765EDC" w:rsidP="00765EDC">
      <w:pPr>
        <w:numPr>
          <w:ilvl w:val="2"/>
          <w:numId w:val="9"/>
        </w:numPr>
        <w:spacing w:before="100" w:beforeAutospacing="1" w:after="100" w:afterAutospacing="1"/>
        <w:rPr>
          <w:rFonts w:eastAsia="Times New Roman" w:cstheme="minorHAnsi"/>
          <w:szCs w:val="24"/>
        </w:rPr>
      </w:pPr>
      <w:r w:rsidRPr="00765EDC">
        <w:rPr>
          <w:rFonts w:eastAsia="Times New Roman" w:cstheme="minorHAnsi"/>
          <w:szCs w:val="24"/>
        </w:rPr>
        <w:t>The NSFR requirement is fully implemented at 100%. Banks must maintain a stable funding structure to match their long-term asset profiles.</w:t>
      </w:r>
    </w:p>
    <w:tbl>
      <w:tblPr>
        <w:tblStyle w:val="TableGrid"/>
        <w:tblW w:w="0" w:type="auto"/>
        <w:tblInd w:w="-342" w:type="dxa"/>
        <w:tblLook w:val="04A0" w:firstRow="1" w:lastRow="0" w:firstColumn="1" w:lastColumn="0" w:noHBand="0" w:noVBand="1"/>
      </w:tblPr>
      <w:tblGrid>
        <w:gridCol w:w="2736"/>
        <w:gridCol w:w="2394"/>
        <w:gridCol w:w="2394"/>
        <w:gridCol w:w="2394"/>
      </w:tblGrid>
      <w:tr w:rsidR="00703134" w:rsidTr="00703134">
        <w:tc>
          <w:tcPr>
            <w:tcW w:w="2736" w:type="dxa"/>
          </w:tcPr>
          <w:p w:rsidR="00703134" w:rsidRDefault="00703134" w:rsidP="00703134">
            <w:pPr>
              <w:spacing w:before="100" w:beforeAutospacing="1" w:after="100" w:afterAutospacing="1"/>
              <w:jc w:val="center"/>
              <w:rPr>
                <w:rFonts w:eastAsia="Times New Roman" w:cstheme="minorHAnsi"/>
                <w:szCs w:val="24"/>
              </w:rPr>
            </w:pPr>
          </w:p>
        </w:tc>
        <w:tc>
          <w:tcPr>
            <w:tcW w:w="2394" w:type="dxa"/>
          </w:tcPr>
          <w:p w:rsidR="00703134" w:rsidRPr="00703134" w:rsidRDefault="00703134" w:rsidP="00703134">
            <w:pPr>
              <w:spacing w:before="100" w:beforeAutospacing="1" w:after="100" w:afterAutospacing="1"/>
              <w:jc w:val="center"/>
              <w:rPr>
                <w:rFonts w:eastAsia="Times New Roman" w:cstheme="minorHAnsi"/>
                <w:b/>
                <w:szCs w:val="24"/>
              </w:rPr>
            </w:pPr>
            <w:r w:rsidRPr="00703134">
              <w:rPr>
                <w:rFonts w:eastAsia="Times New Roman" w:cstheme="minorHAnsi"/>
                <w:b/>
                <w:szCs w:val="24"/>
              </w:rPr>
              <w:t>2017</w:t>
            </w:r>
          </w:p>
        </w:tc>
        <w:tc>
          <w:tcPr>
            <w:tcW w:w="2394" w:type="dxa"/>
          </w:tcPr>
          <w:p w:rsidR="00703134" w:rsidRPr="00703134" w:rsidRDefault="00703134" w:rsidP="00703134">
            <w:pPr>
              <w:spacing w:before="100" w:beforeAutospacing="1" w:after="100" w:afterAutospacing="1"/>
              <w:jc w:val="center"/>
              <w:rPr>
                <w:rFonts w:eastAsia="Times New Roman" w:cstheme="minorHAnsi"/>
                <w:b/>
                <w:szCs w:val="24"/>
              </w:rPr>
            </w:pPr>
            <w:r w:rsidRPr="00703134">
              <w:rPr>
                <w:rFonts w:eastAsia="Times New Roman" w:cstheme="minorHAnsi"/>
                <w:b/>
                <w:szCs w:val="24"/>
              </w:rPr>
              <w:t>2018</w:t>
            </w:r>
          </w:p>
        </w:tc>
        <w:tc>
          <w:tcPr>
            <w:tcW w:w="2394" w:type="dxa"/>
          </w:tcPr>
          <w:p w:rsidR="00703134" w:rsidRPr="00703134" w:rsidRDefault="00703134" w:rsidP="00703134">
            <w:pPr>
              <w:spacing w:before="100" w:beforeAutospacing="1" w:after="100" w:afterAutospacing="1"/>
              <w:jc w:val="center"/>
              <w:rPr>
                <w:rFonts w:eastAsia="Times New Roman" w:cstheme="minorHAnsi"/>
                <w:b/>
                <w:szCs w:val="24"/>
              </w:rPr>
            </w:pPr>
            <w:r w:rsidRPr="00703134">
              <w:rPr>
                <w:rFonts w:eastAsia="Times New Roman" w:cstheme="minorHAnsi"/>
                <w:b/>
                <w:szCs w:val="24"/>
              </w:rPr>
              <w:t>2019</w:t>
            </w:r>
          </w:p>
        </w:tc>
      </w:tr>
      <w:tr w:rsidR="00703134" w:rsidTr="00703134">
        <w:tc>
          <w:tcPr>
            <w:tcW w:w="2736" w:type="dxa"/>
          </w:tcPr>
          <w:p w:rsidR="00703134" w:rsidRPr="00703134" w:rsidRDefault="00703134" w:rsidP="00703134">
            <w:pPr>
              <w:spacing w:before="100" w:beforeAutospacing="1" w:after="100" w:afterAutospacing="1"/>
              <w:jc w:val="center"/>
              <w:rPr>
                <w:rFonts w:eastAsia="Times New Roman" w:cstheme="minorHAnsi"/>
                <w:b/>
                <w:szCs w:val="24"/>
              </w:rPr>
            </w:pPr>
            <w:r w:rsidRPr="00703134">
              <w:rPr>
                <w:b/>
              </w:rPr>
              <w:t>Liquidity Coverage Ratio</w:t>
            </w:r>
          </w:p>
        </w:tc>
        <w:tc>
          <w:tcPr>
            <w:tcW w:w="2394" w:type="dxa"/>
          </w:tcPr>
          <w:p w:rsidR="00703134" w:rsidRDefault="00703134" w:rsidP="00703134">
            <w:pPr>
              <w:spacing w:before="100" w:beforeAutospacing="1" w:after="100" w:afterAutospacing="1"/>
              <w:jc w:val="center"/>
              <w:rPr>
                <w:rFonts w:eastAsia="Times New Roman" w:cstheme="minorHAnsi"/>
                <w:szCs w:val="24"/>
              </w:rPr>
            </w:pPr>
            <w:r>
              <w:rPr>
                <w:rFonts w:eastAsia="Times New Roman" w:cstheme="minorHAnsi"/>
                <w:szCs w:val="24"/>
              </w:rPr>
              <w:t>80%</w:t>
            </w:r>
          </w:p>
        </w:tc>
        <w:tc>
          <w:tcPr>
            <w:tcW w:w="2394" w:type="dxa"/>
          </w:tcPr>
          <w:p w:rsidR="00703134" w:rsidRDefault="00703134" w:rsidP="00703134">
            <w:pPr>
              <w:spacing w:before="100" w:beforeAutospacing="1" w:after="100" w:afterAutospacing="1"/>
              <w:jc w:val="center"/>
              <w:rPr>
                <w:rFonts w:eastAsia="Times New Roman" w:cstheme="minorHAnsi"/>
                <w:szCs w:val="24"/>
              </w:rPr>
            </w:pPr>
            <w:r>
              <w:rPr>
                <w:rFonts w:eastAsia="Times New Roman" w:cstheme="minorHAnsi"/>
                <w:szCs w:val="24"/>
              </w:rPr>
              <w:t>90%</w:t>
            </w:r>
          </w:p>
        </w:tc>
        <w:tc>
          <w:tcPr>
            <w:tcW w:w="2394" w:type="dxa"/>
          </w:tcPr>
          <w:p w:rsidR="00703134" w:rsidRDefault="00703134" w:rsidP="00703134">
            <w:pPr>
              <w:spacing w:before="100" w:beforeAutospacing="1" w:after="100" w:afterAutospacing="1"/>
              <w:jc w:val="center"/>
              <w:rPr>
                <w:rFonts w:eastAsia="Times New Roman" w:cstheme="minorHAnsi"/>
                <w:szCs w:val="24"/>
              </w:rPr>
            </w:pPr>
            <w:r>
              <w:rPr>
                <w:rFonts w:eastAsia="Times New Roman" w:cstheme="minorHAnsi"/>
                <w:szCs w:val="24"/>
              </w:rPr>
              <w:t>100%</w:t>
            </w:r>
          </w:p>
        </w:tc>
      </w:tr>
      <w:tr w:rsidR="00703134" w:rsidTr="00305A55">
        <w:tc>
          <w:tcPr>
            <w:tcW w:w="2736" w:type="dxa"/>
          </w:tcPr>
          <w:p w:rsidR="00703134" w:rsidRPr="00703134" w:rsidRDefault="00703134" w:rsidP="00703134">
            <w:pPr>
              <w:spacing w:before="100" w:beforeAutospacing="1" w:after="100" w:afterAutospacing="1"/>
              <w:jc w:val="center"/>
              <w:rPr>
                <w:rFonts w:eastAsia="Times New Roman" w:cstheme="minorHAnsi"/>
                <w:b/>
                <w:szCs w:val="24"/>
              </w:rPr>
            </w:pPr>
            <w:r w:rsidRPr="00703134">
              <w:rPr>
                <w:b/>
              </w:rPr>
              <w:t>Net Stable Funding Ratio</w:t>
            </w:r>
          </w:p>
        </w:tc>
        <w:tc>
          <w:tcPr>
            <w:tcW w:w="7182" w:type="dxa"/>
            <w:gridSpan w:val="3"/>
          </w:tcPr>
          <w:p w:rsidR="00703134" w:rsidRDefault="00703134" w:rsidP="00703134">
            <w:pPr>
              <w:spacing w:before="100" w:beforeAutospacing="1" w:after="100" w:afterAutospacing="1"/>
              <w:jc w:val="center"/>
              <w:rPr>
                <w:rFonts w:eastAsia="Times New Roman" w:cstheme="minorHAnsi"/>
                <w:szCs w:val="24"/>
              </w:rPr>
            </w:pPr>
            <w:r>
              <w:rPr>
                <w:rFonts w:eastAsia="Times New Roman" w:cstheme="minorHAnsi"/>
                <w:szCs w:val="24"/>
              </w:rPr>
              <w:t>100%</w:t>
            </w:r>
          </w:p>
        </w:tc>
      </w:tr>
    </w:tbl>
    <w:p w:rsidR="00062EA3" w:rsidRDefault="00062EA3" w:rsidP="00703134">
      <w:pPr>
        <w:spacing w:before="100" w:beforeAutospacing="1" w:after="100" w:afterAutospacing="1"/>
        <w:rPr>
          <w:rFonts w:eastAsia="Times New Roman" w:cstheme="minorHAnsi"/>
          <w:szCs w:val="24"/>
        </w:rPr>
      </w:pPr>
    </w:p>
    <w:p w:rsidR="00062EA3" w:rsidRDefault="00062EA3" w:rsidP="00062EA3">
      <w:r>
        <w:br w:type="page"/>
      </w:r>
    </w:p>
    <w:p w:rsidR="00703134" w:rsidRDefault="00062EA3" w:rsidP="00062EA3">
      <w:pPr>
        <w:pStyle w:val="Heading1"/>
        <w:jc w:val="center"/>
        <w:rPr>
          <w:rFonts w:eastAsia="Times New Roman"/>
        </w:rPr>
      </w:pPr>
      <w:bookmarkStart w:id="48" w:name="_Toc169194475"/>
      <w:r>
        <w:rPr>
          <w:rFonts w:eastAsia="Times New Roman"/>
        </w:rPr>
        <w:lastRenderedPageBreak/>
        <w:t>Securities and Exchange Commission</w:t>
      </w:r>
      <w:bookmarkEnd w:id="48"/>
    </w:p>
    <w:p w:rsidR="00062EA3" w:rsidRDefault="00062EA3" w:rsidP="00062EA3"/>
    <w:p w:rsidR="00062EA3" w:rsidRDefault="00062EA3" w:rsidP="00062EA3">
      <w:r w:rsidRPr="00062EA3">
        <w:t>The U.S. Securities and Exchange Commission (SEC) is an independent agency of the United States federal government, created in the aftermath of the Wall</w:t>
      </w:r>
      <w:r>
        <w:t xml:space="preserve"> Street Crash of 1929. It is responsible for overseeing the securities industry in the United States. </w:t>
      </w:r>
    </w:p>
    <w:p w:rsidR="00062EA3" w:rsidRPr="00062EA3" w:rsidRDefault="00062EA3" w:rsidP="00062EA3">
      <w:r>
        <w:t xml:space="preserve">The SEC's regulations are designed to protect investors, maintain fair, orderly, and efficient markets, and facilitate capital formation. </w:t>
      </w:r>
      <w:r w:rsidRPr="00062EA3">
        <w:t>The primary purpose of the SEC is to enforce the law against market mani</w:t>
      </w:r>
      <w:r>
        <w:t>pulation.</w:t>
      </w:r>
    </w:p>
    <w:p w:rsidR="0010354C" w:rsidRDefault="00062EA3" w:rsidP="00765EDC">
      <w:pPr>
        <w:rPr>
          <w:rFonts w:cstheme="minorHAnsi"/>
        </w:rPr>
      </w:pPr>
      <w:r w:rsidRPr="0063221E">
        <w:rPr>
          <w:rFonts w:cstheme="minorHAnsi"/>
        </w:rPr>
        <w:t xml:space="preserve">The SEC is headed by five commissioners who are appointed by the president, one of whom is designated as chair. Each commissioner's term lasts five years. </w:t>
      </w:r>
      <w:r w:rsidR="0063221E" w:rsidRPr="0063221E">
        <w:rPr>
          <w:rFonts w:cstheme="minorHAnsi"/>
        </w:rPr>
        <w:t xml:space="preserve">The current SEC chair is Gary </w:t>
      </w:r>
      <w:proofErr w:type="spellStart"/>
      <w:r w:rsidR="0063221E" w:rsidRPr="0063221E">
        <w:rPr>
          <w:rFonts w:cstheme="minorHAnsi"/>
        </w:rPr>
        <w:t>Gensler</w:t>
      </w:r>
      <w:proofErr w:type="spellEnd"/>
      <w:r w:rsidR="0063221E" w:rsidRPr="0063221E">
        <w:rPr>
          <w:rFonts w:cstheme="minorHAnsi"/>
        </w:rPr>
        <w:t>, who took office on April 17, 2021.</w:t>
      </w:r>
    </w:p>
    <w:p w:rsidR="0063221E" w:rsidRPr="0063221E" w:rsidRDefault="00A12061" w:rsidP="00765EDC">
      <w:pPr>
        <w:rPr>
          <w:rFonts w:cstheme="minorHAnsi"/>
        </w:rPr>
      </w:pPr>
      <w:r>
        <w:rPr>
          <w:rFonts w:cstheme="minorHAnsi"/>
          <w:noProof/>
        </w:rPr>
        <w:drawing>
          <wp:anchor distT="0" distB="0" distL="114300" distR="114300" simplePos="0" relativeHeight="251658240" behindDoc="1" locked="0" layoutInCell="1" allowOverlap="1" wp14:anchorId="64D6BB3C" wp14:editId="1CD9CF68">
            <wp:simplePos x="0" y="0"/>
            <wp:positionH relativeFrom="column">
              <wp:posOffset>565785</wp:posOffset>
            </wp:positionH>
            <wp:positionV relativeFrom="paragraph">
              <wp:posOffset>321945</wp:posOffset>
            </wp:positionV>
            <wp:extent cx="4402455" cy="2961640"/>
            <wp:effectExtent l="38100" t="0" r="17145" b="0"/>
            <wp:wrapTight wrapText="bothSides">
              <wp:wrapPolygon edited="0">
                <wp:start x="-93" y="0"/>
                <wp:lineTo x="-187" y="14866"/>
                <wp:lineTo x="467" y="15561"/>
                <wp:lineTo x="-187" y="15561"/>
                <wp:lineTo x="-187" y="20007"/>
                <wp:lineTo x="467" y="20007"/>
                <wp:lineTo x="467" y="20702"/>
                <wp:lineTo x="841" y="20979"/>
                <wp:lineTo x="11122" y="20979"/>
                <wp:lineTo x="10842" y="20146"/>
                <wp:lineTo x="21123" y="20007"/>
                <wp:lineTo x="21591" y="19868"/>
                <wp:lineTo x="21591" y="17645"/>
                <wp:lineTo x="20936" y="16672"/>
                <wp:lineTo x="20282" y="15561"/>
                <wp:lineTo x="21030" y="15561"/>
                <wp:lineTo x="21591" y="14588"/>
                <wp:lineTo x="21591" y="12504"/>
                <wp:lineTo x="20469" y="12226"/>
                <wp:lineTo x="10188" y="11115"/>
                <wp:lineTo x="21591" y="10837"/>
                <wp:lineTo x="21591" y="0"/>
                <wp:lineTo x="-93" y="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63221E" w:rsidRPr="0063221E">
        <w:rPr>
          <w:rFonts w:cstheme="minorHAnsi"/>
        </w:rPr>
        <w:t>The SEC consists of five divisions and 23 offices. The five divisions and their respective roles are:</w:t>
      </w:r>
    </w:p>
    <w:p w:rsidR="00A12061" w:rsidRDefault="00A12061" w:rsidP="00765EDC">
      <w:pPr>
        <w:rPr>
          <w:rFonts w:cstheme="minorHAnsi"/>
        </w:rPr>
      </w:pPr>
    </w:p>
    <w:p w:rsidR="00A12061" w:rsidRPr="00A12061" w:rsidRDefault="00A12061" w:rsidP="00A12061">
      <w:pPr>
        <w:rPr>
          <w:rFonts w:cstheme="minorHAnsi"/>
        </w:rPr>
      </w:pPr>
    </w:p>
    <w:p w:rsidR="00A12061" w:rsidRPr="00A12061" w:rsidRDefault="00A12061" w:rsidP="00A12061">
      <w:pPr>
        <w:rPr>
          <w:rFonts w:cstheme="minorHAnsi"/>
        </w:rPr>
      </w:pPr>
    </w:p>
    <w:p w:rsidR="00A12061" w:rsidRPr="00A12061" w:rsidRDefault="00A12061" w:rsidP="00A12061">
      <w:pPr>
        <w:rPr>
          <w:rFonts w:cstheme="minorHAnsi"/>
        </w:rPr>
      </w:pPr>
    </w:p>
    <w:p w:rsidR="00A12061" w:rsidRPr="00A12061" w:rsidRDefault="00A12061" w:rsidP="00A12061">
      <w:pPr>
        <w:rPr>
          <w:rFonts w:cstheme="minorHAnsi"/>
        </w:rPr>
      </w:pPr>
    </w:p>
    <w:p w:rsidR="00A12061" w:rsidRPr="00A12061" w:rsidRDefault="00A12061" w:rsidP="00A12061">
      <w:pPr>
        <w:rPr>
          <w:rFonts w:cstheme="minorHAnsi"/>
        </w:rPr>
      </w:pPr>
    </w:p>
    <w:p w:rsidR="00A12061" w:rsidRPr="00A12061" w:rsidRDefault="00A12061" w:rsidP="00A12061">
      <w:pPr>
        <w:rPr>
          <w:rFonts w:cstheme="minorHAnsi"/>
        </w:rPr>
      </w:pPr>
    </w:p>
    <w:p w:rsidR="00A12061" w:rsidRPr="00A12061" w:rsidRDefault="00A12061" w:rsidP="00A12061">
      <w:pPr>
        <w:rPr>
          <w:rFonts w:cstheme="minorHAnsi"/>
        </w:rPr>
      </w:pPr>
    </w:p>
    <w:p w:rsidR="00A12061" w:rsidRPr="00A12061" w:rsidRDefault="00A12061" w:rsidP="00A12061">
      <w:pPr>
        <w:rPr>
          <w:rFonts w:cstheme="minorHAnsi"/>
        </w:rPr>
      </w:pPr>
    </w:p>
    <w:p w:rsidR="00A12061" w:rsidRDefault="00A12061" w:rsidP="00A12061">
      <w:pPr>
        <w:rPr>
          <w:rFonts w:cstheme="minorHAnsi"/>
        </w:rPr>
      </w:pPr>
    </w:p>
    <w:p w:rsidR="00A12061" w:rsidRPr="00A12061" w:rsidRDefault="00A12061" w:rsidP="00A12061">
      <w:pPr>
        <w:rPr>
          <w:rFonts w:cstheme="minorHAnsi"/>
          <w:b/>
          <w:bCs/>
        </w:rPr>
      </w:pPr>
      <w:r w:rsidRPr="00A12061">
        <w:rPr>
          <w:rFonts w:cstheme="minorHAnsi"/>
          <w:b/>
          <w:bCs/>
        </w:rPr>
        <w:t>Key SEC Regulations</w:t>
      </w:r>
    </w:p>
    <w:p w:rsidR="00A12061" w:rsidRPr="00A12061" w:rsidRDefault="00A12061" w:rsidP="00A12061">
      <w:pPr>
        <w:numPr>
          <w:ilvl w:val="0"/>
          <w:numId w:val="11"/>
        </w:numPr>
        <w:rPr>
          <w:rFonts w:cstheme="minorHAnsi"/>
        </w:rPr>
      </w:pPr>
      <w:r w:rsidRPr="00A12061">
        <w:rPr>
          <w:rFonts w:cstheme="minorHAnsi"/>
          <w:b/>
          <w:bCs/>
        </w:rPr>
        <w:t>Securities Act of 1933</w:t>
      </w:r>
    </w:p>
    <w:p w:rsidR="00A12061" w:rsidRPr="00A12061" w:rsidRDefault="00A12061" w:rsidP="00A12061">
      <w:pPr>
        <w:numPr>
          <w:ilvl w:val="1"/>
          <w:numId w:val="11"/>
        </w:numPr>
        <w:rPr>
          <w:rFonts w:cstheme="minorHAnsi"/>
        </w:rPr>
      </w:pPr>
      <w:r w:rsidRPr="00A12061">
        <w:rPr>
          <w:rFonts w:cstheme="minorHAnsi"/>
          <w:b/>
          <w:bCs/>
        </w:rPr>
        <w:t>Purpose</w:t>
      </w:r>
      <w:r w:rsidRPr="00A12061">
        <w:rPr>
          <w:rFonts w:cstheme="minorHAnsi"/>
        </w:rPr>
        <w:t>: To ensure transparency in financial statements so investors can make informed decisions.</w:t>
      </w:r>
    </w:p>
    <w:p w:rsidR="00A12061" w:rsidRPr="00A12061" w:rsidRDefault="00A12061" w:rsidP="00A12061">
      <w:pPr>
        <w:numPr>
          <w:ilvl w:val="1"/>
          <w:numId w:val="11"/>
        </w:numPr>
        <w:rPr>
          <w:rFonts w:cstheme="minorHAnsi"/>
        </w:rPr>
      </w:pPr>
      <w:r w:rsidRPr="00A12061">
        <w:rPr>
          <w:rFonts w:cstheme="minorHAnsi"/>
          <w:b/>
          <w:bCs/>
        </w:rPr>
        <w:t>Key Provisions</w:t>
      </w:r>
      <w:r w:rsidRPr="00A12061">
        <w:rPr>
          <w:rFonts w:cstheme="minorHAnsi"/>
        </w:rPr>
        <w:t>: Requires companies to file a registration statement and prospectus, providing detailed information about the company's operations, financial condition, and management.</w:t>
      </w:r>
    </w:p>
    <w:p w:rsidR="00A12061" w:rsidRPr="00A12061" w:rsidRDefault="00A12061" w:rsidP="00A12061">
      <w:pPr>
        <w:numPr>
          <w:ilvl w:val="0"/>
          <w:numId w:val="11"/>
        </w:numPr>
        <w:rPr>
          <w:rFonts w:cstheme="minorHAnsi"/>
        </w:rPr>
      </w:pPr>
      <w:r w:rsidRPr="00A12061">
        <w:rPr>
          <w:rFonts w:cstheme="minorHAnsi"/>
          <w:b/>
          <w:bCs/>
        </w:rPr>
        <w:lastRenderedPageBreak/>
        <w:t>Securities Exchange Act of 1934</w:t>
      </w:r>
    </w:p>
    <w:p w:rsidR="00A12061" w:rsidRPr="00A12061" w:rsidRDefault="00A12061" w:rsidP="00A12061">
      <w:pPr>
        <w:numPr>
          <w:ilvl w:val="1"/>
          <w:numId w:val="11"/>
        </w:numPr>
        <w:rPr>
          <w:rFonts w:cstheme="minorHAnsi"/>
        </w:rPr>
      </w:pPr>
      <w:r w:rsidRPr="00A12061">
        <w:rPr>
          <w:rFonts w:cstheme="minorHAnsi"/>
          <w:b/>
          <w:bCs/>
        </w:rPr>
        <w:t>Purpose</w:t>
      </w:r>
      <w:r w:rsidRPr="00A12061">
        <w:rPr>
          <w:rFonts w:cstheme="minorHAnsi"/>
        </w:rPr>
        <w:t>: To regulate the secondary trading of securities (stocks, bonds, and debentures) in the United States.</w:t>
      </w:r>
    </w:p>
    <w:p w:rsidR="00A12061" w:rsidRPr="00A12061" w:rsidRDefault="00A12061" w:rsidP="00A12061">
      <w:pPr>
        <w:numPr>
          <w:ilvl w:val="1"/>
          <w:numId w:val="11"/>
        </w:numPr>
        <w:rPr>
          <w:rFonts w:cstheme="minorHAnsi"/>
        </w:rPr>
      </w:pPr>
      <w:r w:rsidRPr="00A12061">
        <w:rPr>
          <w:rFonts w:cstheme="minorHAnsi"/>
          <w:b/>
          <w:bCs/>
        </w:rPr>
        <w:t>Key Provisions</w:t>
      </w:r>
      <w:r w:rsidRPr="00A12061">
        <w:rPr>
          <w:rFonts w:cstheme="minorHAnsi"/>
        </w:rPr>
        <w:t>:</w:t>
      </w:r>
    </w:p>
    <w:p w:rsidR="00A12061" w:rsidRPr="00A12061" w:rsidRDefault="00A12061" w:rsidP="00A12061">
      <w:pPr>
        <w:numPr>
          <w:ilvl w:val="2"/>
          <w:numId w:val="11"/>
        </w:numPr>
        <w:rPr>
          <w:rFonts w:cstheme="minorHAnsi"/>
        </w:rPr>
      </w:pPr>
      <w:r w:rsidRPr="00A12061">
        <w:rPr>
          <w:rFonts w:cstheme="minorHAnsi"/>
          <w:b/>
          <w:bCs/>
        </w:rPr>
        <w:t>Creation of the SEC</w:t>
      </w:r>
      <w:r w:rsidRPr="00A12061">
        <w:rPr>
          <w:rFonts w:cstheme="minorHAnsi"/>
        </w:rPr>
        <w:t>: Established the SEC to enforce federal securities laws.</w:t>
      </w:r>
    </w:p>
    <w:p w:rsidR="00A12061" w:rsidRPr="00A12061" w:rsidRDefault="00A12061" w:rsidP="00A12061">
      <w:pPr>
        <w:numPr>
          <w:ilvl w:val="2"/>
          <w:numId w:val="11"/>
        </w:numPr>
        <w:rPr>
          <w:rFonts w:cstheme="minorHAnsi"/>
        </w:rPr>
      </w:pPr>
      <w:r w:rsidRPr="00A12061">
        <w:rPr>
          <w:rFonts w:cstheme="minorHAnsi"/>
          <w:b/>
          <w:bCs/>
        </w:rPr>
        <w:t>Periodic Reporting</w:t>
      </w:r>
      <w:r w:rsidRPr="00A12061">
        <w:rPr>
          <w:rFonts w:cstheme="minorHAnsi"/>
        </w:rPr>
        <w:t>: Companies with publicly traded securities must file periodic reports (Forms 10-K, 10-Q, and 8-K) to disclose financial and other significant information.</w:t>
      </w:r>
    </w:p>
    <w:p w:rsidR="00A12061" w:rsidRPr="00A12061" w:rsidRDefault="00A12061" w:rsidP="00A12061">
      <w:pPr>
        <w:numPr>
          <w:ilvl w:val="2"/>
          <w:numId w:val="11"/>
        </w:numPr>
        <w:rPr>
          <w:rFonts w:cstheme="minorHAnsi"/>
        </w:rPr>
      </w:pPr>
      <w:r w:rsidRPr="00A12061">
        <w:rPr>
          <w:rFonts w:cstheme="minorHAnsi"/>
          <w:b/>
          <w:bCs/>
        </w:rPr>
        <w:t>Insider Trading</w:t>
      </w:r>
      <w:r w:rsidRPr="00A12061">
        <w:rPr>
          <w:rFonts w:cstheme="minorHAnsi"/>
        </w:rPr>
        <w:t>: Prohibits insider trading and mandates disclosures by officers, directors, and principal stockholders.</w:t>
      </w:r>
    </w:p>
    <w:p w:rsidR="00A12061" w:rsidRPr="00A12061" w:rsidRDefault="00A12061" w:rsidP="00A12061">
      <w:pPr>
        <w:numPr>
          <w:ilvl w:val="0"/>
          <w:numId w:val="11"/>
        </w:numPr>
        <w:rPr>
          <w:rFonts w:cstheme="minorHAnsi"/>
        </w:rPr>
      </w:pPr>
      <w:r w:rsidRPr="00A12061">
        <w:rPr>
          <w:rFonts w:cstheme="minorHAnsi"/>
          <w:b/>
          <w:bCs/>
        </w:rPr>
        <w:t>Investment Company Act of 1940</w:t>
      </w:r>
    </w:p>
    <w:p w:rsidR="00A12061" w:rsidRPr="00A12061" w:rsidRDefault="00A12061" w:rsidP="00A12061">
      <w:pPr>
        <w:numPr>
          <w:ilvl w:val="1"/>
          <w:numId w:val="11"/>
        </w:numPr>
        <w:rPr>
          <w:rFonts w:cstheme="minorHAnsi"/>
        </w:rPr>
      </w:pPr>
      <w:r w:rsidRPr="00A12061">
        <w:rPr>
          <w:rFonts w:cstheme="minorHAnsi"/>
          <w:b/>
          <w:bCs/>
        </w:rPr>
        <w:t>Purpose</w:t>
      </w:r>
      <w:r w:rsidRPr="00A12061">
        <w:rPr>
          <w:rFonts w:cstheme="minorHAnsi"/>
        </w:rPr>
        <w:t>: To regulate the organization of investment companies and the activities they engage in.</w:t>
      </w:r>
    </w:p>
    <w:p w:rsidR="00A12061" w:rsidRPr="00A12061" w:rsidRDefault="00A12061" w:rsidP="00A12061">
      <w:pPr>
        <w:numPr>
          <w:ilvl w:val="1"/>
          <w:numId w:val="11"/>
        </w:numPr>
        <w:rPr>
          <w:rFonts w:cstheme="minorHAnsi"/>
        </w:rPr>
      </w:pPr>
      <w:r w:rsidRPr="00A12061">
        <w:rPr>
          <w:rFonts w:cstheme="minorHAnsi"/>
          <w:b/>
          <w:bCs/>
        </w:rPr>
        <w:t>Key Provisions</w:t>
      </w:r>
      <w:r w:rsidRPr="00A12061">
        <w:rPr>
          <w:rFonts w:cstheme="minorHAnsi"/>
        </w:rPr>
        <w:t>: Requires investment companies to register with the SEC and adhere to regulations that ensure transparency and fairness.</w:t>
      </w:r>
    </w:p>
    <w:p w:rsidR="00A12061" w:rsidRPr="00A12061" w:rsidRDefault="00A12061" w:rsidP="00A12061">
      <w:pPr>
        <w:numPr>
          <w:ilvl w:val="0"/>
          <w:numId w:val="11"/>
        </w:numPr>
        <w:rPr>
          <w:rFonts w:cstheme="minorHAnsi"/>
        </w:rPr>
      </w:pPr>
      <w:r w:rsidRPr="00A12061">
        <w:rPr>
          <w:rFonts w:cstheme="minorHAnsi"/>
          <w:b/>
          <w:bCs/>
        </w:rPr>
        <w:t>Investment Advisers Act of 1940</w:t>
      </w:r>
    </w:p>
    <w:p w:rsidR="00A12061" w:rsidRPr="00A12061" w:rsidRDefault="00A12061" w:rsidP="00A12061">
      <w:pPr>
        <w:numPr>
          <w:ilvl w:val="1"/>
          <w:numId w:val="11"/>
        </w:numPr>
        <w:rPr>
          <w:rFonts w:cstheme="minorHAnsi"/>
        </w:rPr>
      </w:pPr>
      <w:r w:rsidRPr="00A12061">
        <w:rPr>
          <w:rFonts w:cstheme="minorHAnsi"/>
          <w:b/>
          <w:bCs/>
        </w:rPr>
        <w:t>Purpose</w:t>
      </w:r>
      <w:r w:rsidRPr="00A12061">
        <w:rPr>
          <w:rFonts w:cstheme="minorHAnsi"/>
        </w:rPr>
        <w:t>: To regulate the actions of investment advisers and ensure they act in the best interests of their clients.</w:t>
      </w:r>
    </w:p>
    <w:p w:rsidR="00A12061" w:rsidRPr="00A12061" w:rsidRDefault="00A12061" w:rsidP="00A12061">
      <w:pPr>
        <w:numPr>
          <w:ilvl w:val="1"/>
          <w:numId w:val="11"/>
        </w:numPr>
        <w:rPr>
          <w:rFonts w:cstheme="minorHAnsi"/>
        </w:rPr>
      </w:pPr>
      <w:r w:rsidRPr="00A12061">
        <w:rPr>
          <w:rFonts w:cstheme="minorHAnsi"/>
          <w:b/>
          <w:bCs/>
        </w:rPr>
        <w:t>Key Provisions</w:t>
      </w:r>
      <w:r w:rsidRPr="00A12061">
        <w:rPr>
          <w:rFonts w:cstheme="minorHAnsi"/>
        </w:rPr>
        <w:t>: Requires investment advisers to register with the SEC and adhere to fiduciary standards.</w:t>
      </w:r>
    </w:p>
    <w:p w:rsidR="00A12061" w:rsidRPr="00A12061" w:rsidRDefault="00A12061" w:rsidP="00A12061">
      <w:pPr>
        <w:numPr>
          <w:ilvl w:val="0"/>
          <w:numId w:val="11"/>
        </w:numPr>
        <w:rPr>
          <w:rFonts w:cstheme="minorHAnsi"/>
        </w:rPr>
      </w:pPr>
      <w:r w:rsidRPr="00A12061">
        <w:rPr>
          <w:rFonts w:cstheme="minorHAnsi"/>
          <w:b/>
          <w:bCs/>
        </w:rPr>
        <w:t>Sarbanes-Oxley Act of 2002</w:t>
      </w:r>
    </w:p>
    <w:p w:rsidR="00A12061" w:rsidRPr="00A12061" w:rsidRDefault="00A12061" w:rsidP="00A12061">
      <w:pPr>
        <w:numPr>
          <w:ilvl w:val="1"/>
          <w:numId w:val="11"/>
        </w:numPr>
        <w:rPr>
          <w:rFonts w:cstheme="minorHAnsi"/>
        </w:rPr>
      </w:pPr>
      <w:r w:rsidRPr="00A12061">
        <w:rPr>
          <w:rFonts w:cstheme="minorHAnsi"/>
          <w:b/>
          <w:bCs/>
        </w:rPr>
        <w:t>Purpose</w:t>
      </w:r>
      <w:r w:rsidRPr="00A12061">
        <w:rPr>
          <w:rFonts w:cstheme="minorHAnsi"/>
        </w:rPr>
        <w:t>: To protect investors from fraudulent financial reporting by corporations.</w:t>
      </w:r>
    </w:p>
    <w:p w:rsidR="00A12061" w:rsidRPr="00A12061" w:rsidRDefault="00A12061" w:rsidP="00A12061">
      <w:pPr>
        <w:numPr>
          <w:ilvl w:val="1"/>
          <w:numId w:val="11"/>
        </w:numPr>
        <w:rPr>
          <w:rFonts w:cstheme="minorHAnsi"/>
        </w:rPr>
      </w:pPr>
      <w:r w:rsidRPr="00A12061">
        <w:rPr>
          <w:rFonts w:cstheme="minorHAnsi"/>
          <w:b/>
          <w:bCs/>
        </w:rPr>
        <w:t>Key Provisions</w:t>
      </w:r>
      <w:r w:rsidRPr="00A12061">
        <w:rPr>
          <w:rFonts w:cstheme="minorHAnsi"/>
        </w:rPr>
        <w:t>:</w:t>
      </w:r>
    </w:p>
    <w:p w:rsidR="00A12061" w:rsidRPr="00A12061" w:rsidRDefault="00A12061" w:rsidP="00A12061">
      <w:pPr>
        <w:numPr>
          <w:ilvl w:val="2"/>
          <w:numId w:val="11"/>
        </w:numPr>
        <w:rPr>
          <w:rFonts w:cstheme="minorHAnsi"/>
        </w:rPr>
      </w:pPr>
      <w:r w:rsidRPr="00A12061">
        <w:rPr>
          <w:rFonts w:cstheme="minorHAnsi"/>
          <w:b/>
          <w:bCs/>
        </w:rPr>
        <w:t>Enhanced Financial Disclosures</w:t>
      </w:r>
      <w:r w:rsidRPr="00A12061">
        <w:rPr>
          <w:rFonts w:cstheme="minorHAnsi"/>
        </w:rPr>
        <w:t>: Requires top management to certify the accuracy of financial information.</w:t>
      </w:r>
    </w:p>
    <w:p w:rsidR="00A12061" w:rsidRPr="00A12061" w:rsidRDefault="00A12061" w:rsidP="00A12061">
      <w:pPr>
        <w:numPr>
          <w:ilvl w:val="2"/>
          <w:numId w:val="11"/>
        </w:numPr>
        <w:rPr>
          <w:rFonts w:cstheme="minorHAnsi"/>
        </w:rPr>
      </w:pPr>
      <w:r w:rsidRPr="00A12061">
        <w:rPr>
          <w:rFonts w:cstheme="minorHAnsi"/>
          <w:b/>
          <w:bCs/>
        </w:rPr>
        <w:t>Internal Controls</w:t>
      </w:r>
      <w:r w:rsidRPr="00A12061">
        <w:rPr>
          <w:rFonts w:cstheme="minorHAnsi"/>
        </w:rPr>
        <w:t>: Mandates the implementation of strong internal controls over financial reporting.</w:t>
      </w:r>
    </w:p>
    <w:p w:rsidR="00A12061" w:rsidRDefault="00A12061" w:rsidP="00A12061">
      <w:pPr>
        <w:numPr>
          <w:ilvl w:val="2"/>
          <w:numId w:val="11"/>
        </w:numPr>
        <w:rPr>
          <w:rFonts w:cstheme="minorHAnsi"/>
        </w:rPr>
      </w:pPr>
      <w:r w:rsidRPr="00A12061">
        <w:rPr>
          <w:rFonts w:cstheme="minorHAnsi"/>
          <w:b/>
          <w:bCs/>
        </w:rPr>
        <w:t>Public Company Accounting Oversight Board (PCAOB)</w:t>
      </w:r>
      <w:r w:rsidRPr="00A12061">
        <w:rPr>
          <w:rFonts w:cstheme="minorHAnsi"/>
        </w:rPr>
        <w:t>: Created to oversee the audits of public companies.</w:t>
      </w:r>
    </w:p>
    <w:p w:rsidR="00A12061" w:rsidRPr="00A12061" w:rsidRDefault="00A12061" w:rsidP="00A12061">
      <w:pPr>
        <w:rPr>
          <w:rFonts w:cstheme="minorHAnsi"/>
        </w:rPr>
      </w:pPr>
    </w:p>
    <w:p w:rsidR="00A12061" w:rsidRPr="00A12061" w:rsidRDefault="00A12061" w:rsidP="00A12061">
      <w:pPr>
        <w:numPr>
          <w:ilvl w:val="0"/>
          <w:numId w:val="11"/>
        </w:numPr>
        <w:rPr>
          <w:rFonts w:cstheme="minorHAnsi"/>
        </w:rPr>
      </w:pPr>
      <w:r w:rsidRPr="00A12061">
        <w:rPr>
          <w:rFonts w:cstheme="minorHAnsi"/>
          <w:b/>
          <w:bCs/>
        </w:rPr>
        <w:lastRenderedPageBreak/>
        <w:t>Dodd-Frank Wall Street Reform and Consumer Protection Act of 2010</w:t>
      </w:r>
    </w:p>
    <w:p w:rsidR="00A12061" w:rsidRPr="00A12061" w:rsidRDefault="00A12061" w:rsidP="00A12061">
      <w:pPr>
        <w:numPr>
          <w:ilvl w:val="1"/>
          <w:numId w:val="11"/>
        </w:numPr>
        <w:rPr>
          <w:rFonts w:cstheme="minorHAnsi"/>
        </w:rPr>
      </w:pPr>
      <w:r w:rsidRPr="00A12061">
        <w:rPr>
          <w:rFonts w:cstheme="minorHAnsi"/>
          <w:b/>
          <w:bCs/>
        </w:rPr>
        <w:t>Purpose</w:t>
      </w:r>
      <w:r w:rsidRPr="00A12061">
        <w:rPr>
          <w:rFonts w:cstheme="minorHAnsi"/>
        </w:rPr>
        <w:t>: To prevent the excessive risk-taking that led to the financial crisis of 2008.</w:t>
      </w:r>
    </w:p>
    <w:p w:rsidR="00A12061" w:rsidRPr="00A12061" w:rsidRDefault="00A12061" w:rsidP="00A12061">
      <w:pPr>
        <w:numPr>
          <w:ilvl w:val="1"/>
          <w:numId w:val="11"/>
        </w:numPr>
        <w:rPr>
          <w:rFonts w:cstheme="minorHAnsi"/>
        </w:rPr>
      </w:pPr>
      <w:r w:rsidRPr="00A12061">
        <w:rPr>
          <w:rFonts w:cstheme="minorHAnsi"/>
          <w:b/>
          <w:bCs/>
        </w:rPr>
        <w:t>Key Provisions</w:t>
      </w:r>
      <w:r w:rsidRPr="00A12061">
        <w:rPr>
          <w:rFonts w:cstheme="minorHAnsi"/>
        </w:rPr>
        <w:t>:</w:t>
      </w:r>
    </w:p>
    <w:p w:rsidR="00A12061" w:rsidRPr="00A12061" w:rsidRDefault="00A12061" w:rsidP="00A12061">
      <w:pPr>
        <w:numPr>
          <w:ilvl w:val="2"/>
          <w:numId w:val="11"/>
        </w:numPr>
        <w:rPr>
          <w:rFonts w:cstheme="minorHAnsi"/>
        </w:rPr>
      </w:pPr>
      <w:r w:rsidRPr="00A12061">
        <w:rPr>
          <w:rFonts w:cstheme="minorHAnsi"/>
          <w:b/>
          <w:bCs/>
        </w:rPr>
        <w:t>Consumer Protection</w:t>
      </w:r>
      <w:r w:rsidRPr="00A12061">
        <w:rPr>
          <w:rFonts w:cstheme="minorHAnsi"/>
        </w:rPr>
        <w:t>: Establishes the Consumer Financial Protection Bureau (CFPB).</w:t>
      </w:r>
    </w:p>
    <w:p w:rsidR="00A12061" w:rsidRPr="00A12061" w:rsidRDefault="00A12061" w:rsidP="00A12061">
      <w:pPr>
        <w:numPr>
          <w:ilvl w:val="2"/>
          <w:numId w:val="11"/>
        </w:numPr>
        <w:rPr>
          <w:rFonts w:cstheme="minorHAnsi"/>
        </w:rPr>
      </w:pPr>
      <w:r w:rsidRPr="00A12061">
        <w:rPr>
          <w:rFonts w:cstheme="minorHAnsi"/>
          <w:b/>
          <w:bCs/>
        </w:rPr>
        <w:t>Volcker Rule</w:t>
      </w:r>
      <w:r w:rsidRPr="00A12061">
        <w:rPr>
          <w:rFonts w:cstheme="minorHAnsi"/>
        </w:rPr>
        <w:t>: Limits the types of speculative investments banks can engage in.</w:t>
      </w:r>
    </w:p>
    <w:p w:rsidR="00A12061" w:rsidRPr="00A12061" w:rsidRDefault="00A12061" w:rsidP="00A12061">
      <w:pPr>
        <w:numPr>
          <w:ilvl w:val="2"/>
          <w:numId w:val="11"/>
        </w:numPr>
        <w:rPr>
          <w:rFonts w:cstheme="minorHAnsi"/>
        </w:rPr>
      </w:pPr>
      <w:r w:rsidRPr="00A12061">
        <w:rPr>
          <w:rFonts w:cstheme="minorHAnsi"/>
          <w:b/>
          <w:bCs/>
        </w:rPr>
        <w:t>Whistleblower Program</w:t>
      </w:r>
      <w:r w:rsidRPr="00A12061">
        <w:rPr>
          <w:rFonts w:cstheme="minorHAnsi"/>
        </w:rPr>
        <w:t>: Provides incentives for individuals to report securities violations to the SEC.</w:t>
      </w:r>
    </w:p>
    <w:p w:rsidR="00A12061" w:rsidRPr="00A12061" w:rsidRDefault="00A12061" w:rsidP="00A12061">
      <w:pPr>
        <w:numPr>
          <w:ilvl w:val="0"/>
          <w:numId w:val="11"/>
        </w:numPr>
        <w:rPr>
          <w:rFonts w:cstheme="minorHAnsi"/>
        </w:rPr>
      </w:pPr>
      <w:r w:rsidRPr="00A12061">
        <w:rPr>
          <w:rFonts w:cstheme="minorHAnsi"/>
          <w:b/>
          <w:bCs/>
        </w:rPr>
        <w:t>R</w:t>
      </w:r>
      <w:r>
        <w:rPr>
          <w:rFonts w:cstheme="minorHAnsi"/>
          <w:b/>
          <w:bCs/>
        </w:rPr>
        <w:t xml:space="preserve">egulation Best Interest </w:t>
      </w:r>
    </w:p>
    <w:p w:rsidR="00A12061" w:rsidRPr="00A12061" w:rsidRDefault="00A12061" w:rsidP="00A12061">
      <w:pPr>
        <w:numPr>
          <w:ilvl w:val="1"/>
          <w:numId w:val="11"/>
        </w:numPr>
        <w:rPr>
          <w:rFonts w:cstheme="minorHAnsi"/>
        </w:rPr>
      </w:pPr>
      <w:r w:rsidRPr="00A12061">
        <w:rPr>
          <w:rFonts w:cstheme="minorHAnsi"/>
          <w:b/>
          <w:bCs/>
        </w:rPr>
        <w:t>Purpose</w:t>
      </w:r>
      <w:r w:rsidRPr="00A12061">
        <w:rPr>
          <w:rFonts w:cstheme="minorHAnsi"/>
        </w:rPr>
        <w:t>: To enhance the standard of conduct for broker-dealers and associated persons when making recommendations to retail customers.</w:t>
      </w:r>
    </w:p>
    <w:p w:rsidR="00A12061" w:rsidRPr="00A12061" w:rsidRDefault="00A12061" w:rsidP="00A12061">
      <w:pPr>
        <w:numPr>
          <w:ilvl w:val="1"/>
          <w:numId w:val="11"/>
        </w:numPr>
        <w:rPr>
          <w:rFonts w:cstheme="minorHAnsi"/>
        </w:rPr>
      </w:pPr>
      <w:r w:rsidRPr="00A12061">
        <w:rPr>
          <w:rFonts w:cstheme="minorHAnsi"/>
          <w:b/>
          <w:bCs/>
        </w:rPr>
        <w:t>Key Provisions</w:t>
      </w:r>
      <w:r w:rsidRPr="00A12061">
        <w:rPr>
          <w:rFonts w:cstheme="minorHAnsi"/>
        </w:rPr>
        <w:t>: Requires broker-dealers to act in the best interest of their clients and disclose any conflicts of interest.</w:t>
      </w:r>
    </w:p>
    <w:p w:rsidR="00A12061" w:rsidRPr="00A12061" w:rsidRDefault="00A12061" w:rsidP="00A12061">
      <w:pPr>
        <w:numPr>
          <w:ilvl w:val="0"/>
          <w:numId w:val="12"/>
        </w:numPr>
        <w:tabs>
          <w:tab w:val="num" w:pos="720"/>
        </w:tabs>
        <w:rPr>
          <w:rFonts w:cstheme="minorHAnsi"/>
        </w:rPr>
      </w:pPr>
      <w:r w:rsidRPr="00A12061">
        <w:rPr>
          <w:rFonts w:cstheme="minorHAnsi"/>
          <w:b/>
          <w:bCs/>
        </w:rPr>
        <w:t>Enforcement Actions</w:t>
      </w:r>
      <w:r w:rsidRPr="00A12061">
        <w:rPr>
          <w:rFonts w:cstheme="minorHAnsi"/>
        </w:rPr>
        <w:t>: In 2021, the SEC filed 697 enforcement actions, resulting in $3.9 billion in penalties and disgorgements. This underscores the SEC's active role in policing securities markets.</w:t>
      </w:r>
    </w:p>
    <w:p w:rsidR="00A12061" w:rsidRPr="00A12061" w:rsidRDefault="00A12061" w:rsidP="00A12061">
      <w:pPr>
        <w:numPr>
          <w:ilvl w:val="0"/>
          <w:numId w:val="12"/>
        </w:numPr>
        <w:tabs>
          <w:tab w:val="num" w:pos="720"/>
        </w:tabs>
        <w:rPr>
          <w:rFonts w:cstheme="minorHAnsi"/>
        </w:rPr>
      </w:pPr>
      <w:r w:rsidRPr="00A12061">
        <w:rPr>
          <w:rFonts w:cstheme="minorHAnsi"/>
          <w:b/>
          <w:bCs/>
        </w:rPr>
        <w:t>Market Oversight</w:t>
      </w:r>
      <w:r w:rsidRPr="00A12061">
        <w:rPr>
          <w:rFonts w:cstheme="minorHAnsi"/>
        </w:rPr>
        <w:t>: The SEC oversees more than $110 trillion in securities trading annually, covering millions of transactions and thousands of market participants.</w:t>
      </w:r>
    </w:p>
    <w:p w:rsidR="00A12061" w:rsidRPr="00A12061" w:rsidRDefault="00A12061" w:rsidP="00A12061">
      <w:pPr>
        <w:numPr>
          <w:ilvl w:val="0"/>
          <w:numId w:val="12"/>
        </w:numPr>
        <w:tabs>
          <w:tab w:val="num" w:pos="720"/>
        </w:tabs>
        <w:rPr>
          <w:rFonts w:cstheme="minorHAnsi"/>
        </w:rPr>
      </w:pPr>
      <w:r w:rsidRPr="00A12061">
        <w:rPr>
          <w:rFonts w:cstheme="minorHAnsi"/>
          <w:b/>
          <w:bCs/>
        </w:rPr>
        <w:t>Investor Protection</w:t>
      </w:r>
      <w:r w:rsidRPr="00A12061">
        <w:rPr>
          <w:rFonts w:cstheme="minorHAnsi"/>
        </w:rPr>
        <w:t>: Through its Office of Investor Education and Advocacy, the SEC helps investors understand their rights and provides resources to avoid fraud.</w:t>
      </w:r>
    </w:p>
    <w:p w:rsidR="00A12061" w:rsidRDefault="00A12061" w:rsidP="00A12061">
      <w:pPr>
        <w:rPr>
          <w:rFonts w:cstheme="minorHAnsi"/>
        </w:rPr>
      </w:pPr>
    </w:p>
    <w:p w:rsidR="00A12061" w:rsidRDefault="00A12061" w:rsidP="00A12061">
      <w:r>
        <w:br w:type="page"/>
      </w:r>
    </w:p>
    <w:p w:rsidR="00A12061" w:rsidRDefault="00A12061" w:rsidP="00A12061">
      <w:pPr>
        <w:pStyle w:val="Heading1"/>
        <w:jc w:val="center"/>
      </w:pPr>
      <w:bookmarkStart w:id="49" w:name="_Toc169194476"/>
      <w:r w:rsidRPr="00A12061">
        <w:lastRenderedPageBreak/>
        <w:t>Dodd-Frank Wall Street Reform and Consumer Protection Act</w:t>
      </w:r>
      <w:bookmarkEnd w:id="49"/>
    </w:p>
    <w:p w:rsidR="00A12061" w:rsidRPr="00A12061" w:rsidRDefault="00A12061" w:rsidP="00A12061"/>
    <w:p w:rsidR="00A12061" w:rsidRDefault="00A12061" w:rsidP="00A12061">
      <w:r w:rsidRPr="00A12061">
        <w:t xml:space="preserve">The Dodd-Frank Wall Street Reform and Consumer Protection Act, often referred to simply as Dodd-Frank, is a comprehensive piece of financial reform legislation passed in 2010 in response to the financial crisis of 2007-2008. It aimed to reduce risks in the financial system, enhance transparency, and protect consumers. </w:t>
      </w:r>
    </w:p>
    <w:p w:rsidR="00A12061" w:rsidRPr="00A12061" w:rsidRDefault="00A12061" w:rsidP="00A12061">
      <w:pPr>
        <w:rPr>
          <w:b/>
          <w:bCs/>
        </w:rPr>
      </w:pPr>
      <w:r w:rsidRPr="00A12061">
        <w:rPr>
          <w:b/>
          <w:bCs/>
        </w:rPr>
        <w:t>Key Provisions of Dodd-Frank</w:t>
      </w:r>
    </w:p>
    <w:p w:rsidR="00A12061" w:rsidRPr="00A12061" w:rsidRDefault="00A12061" w:rsidP="00A12061">
      <w:pPr>
        <w:numPr>
          <w:ilvl w:val="0"/>
          <w:numId w:val="13"/>
        </w:numPr>
      </w:pPr>
      <w:r w:rsidRPr="00A12061">
        <w:rPr>
          <w:b/>
          <w:bCs/>
        </w:rPr>
        <w:t>Consumer Financial Protection Bureau (CFPB)</w:t>
      </w:r>
    </w:p>
    <w:p w:rsidR="00A12061" w:rsidRPr="00A12061" w:rsidRDefault="00A12061" w:rsidP="00A12061">
      <w:pPr>
        <w:numPr>
          <w:ilvl w:val="1"/>
          <w:numId w:val="13"/>
        </w:numPr>
      </w:pPr>
      <w:r w:rsidRPr="00A12061">
        <w:rPr>
          <w:b/>
          <w:bCs/>
        </w:rPr>
        <w:t>Purpose</w:t>
      </w:r>
      <w:r w:rsidRPr="00A12061">
        <w:t>: To protect consumers from unfair, deceptive, or abusive practices and ensure they have access to accurate information for making financial decisions.</w:t>
      </w:r>
    </w:p>
    <w:p w:rsidR="00A12061" w:rsidRDefault="00A12061" w:rsidP="00A12061">
      <w:pPr>
        <w:numPr>
          <w:ilvl w:val="1"/>
          <w:numId w:val="13"/>
        </w:numPr>
      </w:pPr>
      <w:r w:rsidRPr="00A12061">
        <w:rPr>
          <w:b/>
          <w:bCs/>
        </w:rPr>
        <w:t>Functions</w:t>
      </w:r>
      <w:r w:rsidRPr="00A12061">
        <w:t>: Regulates financial products and services, enforces consumer protection laws, and provides financial education.</w:t>
      </w:r>
    </w:p>
    <w:p w:rsidR="00EC4393" w:rsidRPr="00A12061" w:rsidRDefault="00EC4393" w:rsidP="00A12061">
      <w:pPr>
        <w:numPr>
          <w:ilvl w:val="1"/>
          <w:numId w:val="13"/>
        </w:numPr>
      </w:pPr>
      <w:r w:rsidRPr="00A12061">
        <w:t>Since its inception, the CFPB has handled over 2.6 million consumer complaints and secured more than $12 billion in relief for consumers as of 2021.</w:t>
      </w:r>
    </w:p>
    <w:p w:rsidR="00A12061" w:rsidRPr="00A12061" w:rsidRDefault="00A12061" w:rsidP="00A12061">
      <w:pPr>
        <w:numPr>
          <w:ilvl w:val="0"/>
          <w:numId w:val="13"/>
        </w:numPr>
      </w:pPr>
      <w:r w:rsidRPr="00A12061">
        <w:rPr>
          <w:b/>
          <w:bCs/>
        </w:rPr>
        <w:t>Volcker Rule</w:t>
      </w:r>
    </w:p>
    <w:p w:rsidR="00A12061" w:rsidRPr="00A12061" w:rsidRDefault="00A12061" w:rsidP="00A12061">
      <w:pPr>
        <w:numPr>
          <w:ilvl w:val="1"/>
          <w:numId w:val="13"/>
        </w:numPr>
      </w:pPr>
      <w:r w:rsidRPr="00A12061">
        <w:rPr>
          <w:b/>
          <w:bCs/>
        </w:rPr>
        <w:t>Purpose</w:t>
      </w:r>
      <w:r w:rsidRPr="00A12061">
        <w:t>: To prevent banks from engaging in proprietary trading and from owning or sponsoring hedge funds and private equity funds.</w:t>
      </w:r>
    </w:p>
    <w:p w:rsidR="00EC4393" w:rsidRDefault="00A12061" w:rsidP="00A12061">
      <w:pPr>
        <w:numPr>
          <w:ilvl w:val="1"/>
          <w:numId w:val="13"/>
        </w:numPr>
      </w:pPr>
      <w:r w:rsidRPr="00A12061">
        <w:rPr>
          <w:b/>
          <w:bCs/>
        </w:rPr>
        <w:t>Impact</w:t>
      </w:r>
      <w:r w:rsidRPr="00A12061">
        <w:t>: Limits risky activities by banks that could pose a threat to the financial system.</w:t>
      </w:r>
      <w:r w:rsidR="00EC4393" w:rsidRPr="00EC4393">
        <w:t xml:space="preserve"> </w:t>
      </w:r>
    </w:p>
    <w:p w:rsidR="00A12061" w:rsidRPr="00A12061" w:rsidRDefault="00EC4393" w:rsidP="00A12061">
      <w:pPr>
        <w:numPr>
          <w:ilvl w:val="1"/>
          <w:numId w:val="13"/>
        </w:numPr>
      </w:pPr>
      <w:r w:rsidRPr="00A12061">
        <w:t>Banks have significantly reduced their proprietary trading activities. For example, the top six U.S. banks reduced their trading assets from $500 billion in 2008 to around $150 billion by 2019.</w:t>
      </w:r>
    </w:p>
    <w:p w:rsidR="00A12061" w:rsidRPr="00A12061" w:rsidRDefault="00A12061" w:rsidP="00A12061">
      <w:pPr>
        <w:numPr>
          <w:ilvl w:val="0"/>
          <w:numId w:val="13"/>
        </w:numPr>
      </w:pPr>
      <w:r w:rsidRPr="00A12061">
        <w:rPr>
          <w:b/>
          <w:bCs/>
        </w:rPr>
        <w:t>Financial Stability Oversight Council (FSOC)</w:t>
      </w:r>
    </w:p>
    <w:p w:rsidR="00A12061" w:rsidRPr="00A12061" w:rsidRDefault="00A12061" w:rsidP="00A12061">
      <w:pPr>
        <w:numPr>
          <w:ilvl w:val="1"/>
          <w:numId w:val="13"/>
        </w:numPr>
      </w:pPr>
      <w:r w:rsidRPr="00A12061">
        <w:rPr>
          <w:b/>
          <w:bCs/>
        </w:rPr>
        <w:t>Purpose</w:t>
      </w:r>
      <w:r w:rsidRPr="00A12061">
        <w:t>: To identify and monitor systemic risks to the financial system.</w:t>
      </w:r>
    </w:p>
    <w:p w:rsidR="00EC4393" w:rsidRDefault="00A12061" w:rsidP="00A12061">
      <w:pPr>
        <w:numPr>
          <w:ilvl w:val="1"/>
          <w:numId w:val="13"/>
        </w:numPr>
      </w:pPr>
      <w:r w:rsidRPr="00A12061">
        <w:rPr>
          <w:b/>
          <w:bCs/>
        </w:rPr>
        <w:t>Functions</w:t>
      </w:r>
      <w:r w:rsidRPr="00A12061">
        <w:t>: Coordinates regulatory efforts among different financial regulatory agencies and makes recommendations to reduce risks.</w:t>
      </w:r>
      <w:r w:rsidR="00EC4393" w:rsidRPr="00EC4393">
        <w:t xml:space="preserve"> </w:t>
      </w:r>
    </w:p>
    <w:p w:rsidR="00A12061" w:rsidRPr="00A12061" w:rsidRDefault="00EC4393" w:rsidP="00A12061">
      <w:pPr>
        <w:numPr>
          <w:ilvl w:val="1"/>
          <w:numId w:val="13"/>
        </w:numPr>
      </w:pPr>
      <w:r w:rsidRPr="00A12061">
        <w:t>The FSOC has designated several non-bank financial institutions as systemically important financial institutions (SIFIs), subjecting them to enhanced oversight.</w:t>
      </w:r>
    </w:p>
    <w:p w:rsidR="00A12061" w:rsidRPr="00A12061" w:rsidRDefault="00A12061" w:rsidP="00A12061">
      <w:pPr>
        <w:numPr>
          <w:ilvl w:val="0"/>
          <w:numId w:val="13"/>
        </w:numPr>
      </w:pPr>
      <w:r w:rsidRPr="00A12061">
        <w:rPr>
          <w:b/>
          <w:bCs/>
        </w:rPr>
        <w:t>Orderly Liquidation Authority</w:t>
      </w:r>
    </w:p>
    <w:p w:rsidR="00A12061" w:rsidRPr="00A12061" w:rsidRDefault="00A12061" w:rsidP="00A12061">
      <w:pPr>
        <w:numPr>
          <w:ilvl w:val="1"/>
          <w:numId w:val="13"/>
        </w:numPr>
      </w:pPr>
      <w:r w:rsidRPr="00A12061">
        <w:rPr>
          <w:b/>
          <w:bCs/>
        </w:rPr>
        <w:t>Purpose</w:t>
      </w:r>
      <w:r w:rsidRPr="00A12061">
        <w:t>: To provide a mechanism for the federal government to liquidate failing financial institutions in an orderly manner.</w:t>
      </w:r>
    </w:p>
    <w:p w:rsidR="00A12061" w:rsidRDefault="00A12061" w:rsidP="00A12061">
      <w:pPr>
        <w:numPr>
          <w:ilvl w:val="1"/>
          <w:numId w:val="13"/>
        </w:numPr>
      </w:pPr>
      <w:r w:rsidRPr="00A12061">
        <w:rPr>
          <w:b/>
          <w:bCs/>
        </w:rPr>
        <w:lastRenderedPageBreak/>
        <w:t>Impact</w:t>
      </w:r>
      <w:r w:rsidRPr="00A12061">
        <w:t>: Aims to prevent the collapse of large, interconnected financial institutions from destabilizing the entire financial system.</w:t>
      </w:r>
    </w:p>
    <w:p w:rsidR="00EC4393" w:rsidRPr="00A12061" w:rsidRDefault="00EC4393" w:rsidP="00EC4393">
      <w:pPr>
        <w:numPr>
          <w:ilvl w:val="1"/>
          <w:numId w:val="13"/>
        </w:numPr>
      </w:pPr>
      <w:r w:rsidRPr="00A12061">
        <w:t>While no major financial institution has been liquidated under this authority, the presence of the mechanism provides a credible backstop.</w:t>
      </w:r>
    </w:p>
    <w:p w:rsidR="00A12061" w:rsidRPr="00A12061" w:rsidRDefault="00A12061" w:rsidP="00A12061">
      <w:pPr>
        <w:numPr>
          <w:ilvl w:val="0"/>
          <w:numId w:val="13"/>
        </w:numPr>
      </w:pPr>
      <w:r w:rsidRPr="00A12061">
        <w:rPr>
          <w:b/>
          <w:bCs/>
        </w:rPr>
        <w:t>Enhanced Regulation of Derivatives</w:t>
      </w:r>
    </w:p>
    <w:p w:rsidR="00A12061" w:rsidRPr="00A12061" w:rsidRDefault="00A12061" w:rsidP="00A12061">
      <w:pPr>
        <w:numPr>
          <w:ilvl w:val="1"/>
          <w:numId w:val="13"/>
        </w:numPr>
      </w:pPr>
      <w:r w:rsidRPr="00A12061">
        <w:rPr>
          <w:b/>
          <w:bCs/>
        </w:rPr>
        <w:t>Purpose</w:t>
      </w:r>
      <w:r w:rsidRPr="00A12061">
        <w:t>: To bring transparency and reduce risk in the over-the-counter derivatives market.</w:t>
      </w:r>
    </w:p>
    <w:p w:rsidR="00A12061" w:rsidRDefault="00A12061" w:rsidP="00A12061">
      <w:pPr>
        <w:numPr>
          <w:ilvl w:val="1"/>
          <w:numId w:val="13"/>
        </w:numPr>
      </w:pPr>
      <w:r w:rsidRPr="00A12061">
        <w:rPr>
          <w:b/>
          <w:bCs/>
        </w:rPr>
        <w:t>Provisions</w:t>
      </w:r>
      <w:r w:rsidRPr="00A12061">
        <w:t>: Requires standardized derivatives to be traded on exchanges and cleared through central counterparties.</w:t>
      </w:r>
    </w:p>
    <w:p w:rsidR="00EC4393" w:rsidRPr="00A12061" w:rsidRDefault="00EC4393" w:rsidP="00EC4393">
      <w:pPr>
        <w:numPr>
          <w:ilvl w:val="1"/>
          <w:numId w:val="13"/>
        </w:numPr>
      </w:pPr>
      <w:r w:rsidRPr="00A12061">
        <w:t>As of 2020, approximately 90% of new interest rate derivatives and 80% of new credit default swaps are centrally cleared, significantly reducing counterparty risk.</w:t>
      </w:r>
    </w:p>
    <w:p w:rsidR="00A12061" w:rsidRPr="00A12061" w:rsidRDefault="00A12061" w:rsidP="00A12061">
      <w:pPr>
        <w:numPr>
          <w:ilvl w:val="0"/>
          <w:numId w:val="13"/>
        </w:numPr>
      </w:pPr>
      <w:r w:rsidRPr="00A12061">
        <w:rPr>
          <w:b/>
          <w:bCs/>
        </w:rPr>
        <w:t>Increased Capital and Liquidity Requirements</w:t>
      </w:r>
    </w:p>
    <w:p w:rsidR="00A12061" w:rsidRPr="00A12061" w:rsidRDefault="00A12061" w:rsidP="00A12061">
      <w:pPr>
        <w:numPr>
          <w:ilvl w:val="1"/>
          <w:numId w:val="13"/>
        </w:numPr>
      </w:pPr>
      <w:r w:rsidRPr="00A12061">
        <w:rPr>
          <w:b/>
          <w:bCs/>
        </w:rPr>
        <w:t>Purpose</w:t>
      </w:r>
      <w:r w:rsidRPr="00A12061">
        <w:t>: To ensure that banks have enough capital and liquidity to withstand financial stress.</w:t>
      </w:r>
    </w:p>
    <w:p w:rsidR="00A12061" w:rsidRDefault="00A12061" w:rsidP="00A12061">
      <w:pPr>
        <w:numPr>
          <w:ilvl w:val="1"/>
          <w:numId w:val="13"/>
        </w:numPr>
      </w:pPr>
      <w:r w:rsidRPr="00A12061">
        <w:rPr>
          <w:b/>
          <w:bCs/>
        </w:rPr>
        <w:t>Impact</w:t>
      </w:r>
      <w:r w:rsidRPr="00A12061">
        <w:t>: Enhances the resilience of financial institutions.</w:t>
      </w:r>
    </w:p>
    <w:p w:rsidR="00EC4393" w:rsidRPr="00A12061" w:rsidRDefault="00EC4393" w:rsidP="00EC4393">
      <w:pPr>
        <w:numPr>
          <w:ilvl w:val="1"/>
          <w:numId w:val="13"/>
        </w:numPr>
      </w:pPr>
      <w:r w:rsidRPr="00A12061">
        <w:t>U.S. banks' Common Equity Tier 1 (CET1) capital ratios have increased from an average of 5.5% in 2008 to over 12% in 2021.</w:t>
      </w:r>
    </w:p>
    <w:p w:rsidR="00A12061" w:rsidRPr="00A12061" w:rsidRDefault="00A12061" w:rsidP="00A12061">
      <w:pPr>
        <w:numPr>
          <w:ilvl w:val="0"/>
          <w:numId w:val="13"/>
        </w:numPr>
      </w:pPr>
      <w:r w:rsidRPr="00A12061">
        <w:rPr>
          <w:b/>
          <w:bCs/>
        </w:rPr>
        <w:t>Credit Rating Agency Reform</w:t>
      </w:r>
    </w:p>
    <w:p w:rsidR="00A12061" w:rsidRPr="00A12061" w:rsidRDefault="00A12061" w:rsidP="00A12061">
      <w:pPr>
        <w:numPr>
          <w:ilvl w:val="1"/>
          <w:numId w:val="13"/>
        </w:numPr>
      </w:pPr>
      <w:r w:rsidRPr="00A12061">
        <w:rPr>
          <w:b/>
          <w:bCs/>
        </w:rPr>
        <w:t>Purpose</w:t>
      </w:r>
      <w:r w:rsidRPr="00A12061">
        <w:t>: To improve the accuracy of credit ratings and reduce conflicts of interest.</w:t>
      </w:r>
    </w:p>
    <w:p w:rsidR="00A12061" w:rsidRDefault="00A12061" w:rsidP="00A12061">
      <w:pPr>
        <w:numPr>
          <w:ilvl w:val="1"/>
          <w:numId w:val="13"/>
        </w:numPr>
      </w:pPr>
      <w:r w:rsidRPr="00A12061">
        <w:rPr>
          <w:b/>
          <w:bCs/>
        </w:rPr>
        <w:t>Provisions</w:t>
      </w:r>
      <w:r w:rsidRPr="00A12061">
        <w:t>: Requires more transparency and accountability in the rating process.</w:t>
      </w:r>
    </w:p>
    <w:p w:rsidR="00EC4393" w:rsidRPr="00A12061" w:rsidRDefault="00EC4393" w:rsidP="00EC4393">
      <w:pPr>
        <w:numPr>
          <w:ilvl w:val="1"/>
          <w:numId w:val="13"/>
        </w:numPr>
      </w:pPr>
      <w:r w:rsidRPr="00A12061">
        <w:t>The SEC has increased its oversight of rating agencies, leading to several enforcement actions and fines for misconduct.</w:t>
      </w:r>
    </w:p>
    <w:p w:rsidR="00A12061" w:rsidRPr="00A12061" w:rsidRDefault="00A12061" w:rsidP="00A12061">
      <w:pPr>
        <w:numPr>
          <w:ilvl w:val="0"/>
          <w:numId w:val="13"/>
        </w:numPr>
      </w:pPr>
      <w:r w:rsidRPr="00A12061">
        <w:rPr>
          <w:b/>
          <w:bCs/>
        </w:rPr>
        <w:t>Investor Protections</w:t>
      </w:r>
    </w:p>
    <w:p w:rsidR="00A12061" w:rsidRPr="00A12061" w:rsidRDefault="00A12061" w:rsidP="00A12061">
      <w:pPr>
        <w:numPr>
          <w:ilvl w:val="1"/>
          <w:numId w:val="13"/>
        </w:numPr>
      </w:pPr>
      <w:r w:rsidRPr="00A12061">
        <w:rPr>
          <w:b/>
          <w:bCs/>
        </w:rPr>
        <w:t>Purpose</w:t>
      </w:r>
      <w:r w:rsidRPr="00A12061">
        <w:t>: To enhance protections for investors.</w:t>
      </w:r>
    </w:p>
    <w:p w:rsidR="00A12061" w:rsidRDefault="00A12061" w:rsidP="00A12061">
      <w:pPr>
        <w:numPr>
          <w:ilvl w:val="1"/>
          <w:numId w:val="13"/>
        </w:numPr>
      </w:pPr>
      <w:r w:rsidRPr="00A12061">
        <w:rPr>
          <w:b/>
          <w:bCs/>
        </w:rPr>
        <w:t>Provisions</w:t>
      </w:r>
      <w:r w:rsidRPr="00A12061">
        <w:t>: Improves disclosure requirements and strengthens the fiduciary duties of investment advisers.</w:t>
      </w:r>
    </w:p>
    <w:p w:rsidR="00EC4393" w:rsidRDefault="00EC4393" w:rsidP="00EC4393">
      <w:pPr>
        <w:numPr>
          <w:ilvl w:val="1"/>
          <w:numId w:val="13"/>
        </w:numPr>
      </w:pPr>
      <w:r w:rsidRPr="00A12061">
        <w:t>Enhanced disclosure requirements have improved transparency, and the fiduciary rule for investment advisers (though partially rolled back) has set higher standards for financial advice.</w:t>
      </w:r>
    </w:p>
    <w:p w:rsidR="00EC4393" w:rsidRPr="00A12061" w:rsidRDefault="00EC4393" w:rsidP="00EC4393">
      <w:pPr>
        <w:ind w:left="1080"/>
      </w:pPr>
    </w:p>
    <w:p w:rsidR="00A12061" w:rsidRPr="00A12061" w:rsidRDefault="00A12061" w:rsidP="00A12061">
      <w:pPr>
        <w:numPr>
          <w:ilvl w:val="0"/>
          <w:numId w:val="13"/>
        </w:numPr>
      </w:pPr>
      <w:r w:rsidRPr="00A12061">
        <w:rPr>
          <w:b/>
          <w:bCs/>
        </w:rPr>
        <w:lastRenderedPageBreak/>
        <w:t>Office of Financial Research (OFR)</w:t>
      </w:r>
    </w:p>
    <w:p w:rsidR="00A12061" w:rsidRPr="00A12061" w:rsidRDefault="00A12061" w:rsidP="00A12061">
      <w:pPr>
        <w:numPr>
          <w:ilvl w:val="1"/>
          <w:numId w:val="13"/>
        </w:numPr>
      </w:pPr>
      <w:r w:rsidRPr="00A12061">
        <w:rPr>
          <w:b/>
          <w:bCs/>
        </w:rPr>
        <w:t>Purpose</w:t>
      </w:r>
      <w:r w:rsidRPr="00A12061">
        <w:t>: To support the FSOC by collecting data and conducting research on systemic risk.</w:t>
      </w:r>
    </w:p>
    <w:p w:rsidR="00A12061" w:rsidRDefault="00A12061" w:rsidP="00A12061">
      <w:pPr>
        <w:numPr>
          <w:ilvl w:val="1"/>
          <w:numId w:val="13"/>
        </w:numPr>
      </w:pPr>
      <w:r w:rsidRPr="00A12061">
        <w:rPr>
          <w:b/>
          <w:bCs/>
        </w:rPr>
        <w:t>Impact</w:t>
      </w:r>
      <w:r w:rsidRPr="00A12061">
        <w:t>: Enhances the ability to identify and respond to emerging risks.</w:t>
      </w:r>
    </w:p>
    <w:p w:rsidR="00EC4393" w:rsidRPr="00A12061" w:rsidRDefault="00EC4393" w:rsidP="00EC4393">
      <w:pPr>
        <w:numPr>
          <w:ilvl w:val="1"/>
          <w:numId w:val="13"/>
        </w:numPr>
      </w:pPr>
      <w:r w:rsidRPr="00A12061">
        <w:t>The OFR has published numerous reports and data sets on systemic risk, contributing to better-informed policy decisions.</w:t>
      </w:r>
    </w:p>
    <w:p w:rsidR="00A12061" w:rsidRPr="00A12061" w:rsidRDefault="00A12061" w:rsidP="00A12061">
      <w:pPr>
        <w:rPr>
          <w:b/>
          <w:bCs/>
        </w:rPr>
      </w:pPr>
      <w:r w:rsidRPr="00A12061">
        <w:rPr>
          <w:b/>
          <w:bCs/>
        </w:rPr>
        <w:t>Integration and Comparison</w:t>
      </w:r>
    </w:p>
    <w:p w:rsidR="00A12061" w:rsidRPr="00A12061" w:rsidRDefault="00A12061" w:rsidP="00A12061">
      <w:r w:rsidRPr="00A12061">
        <w:t>When integrating and comparing the provisions and their impacts:</w:t>
      </w:r>
    </w:p>
    <w:p w:rsidR="00A12061" w:rsidRPr="00A12061" w:rsidRDefault="00A12061" w:rsidP="00A12061">
      <w:pPr>
        <w:numPr>
          <w:ilvl w:val="0"/>
          <w:numId w:val="15"/>
        </w:numPr>
      </w:pPr>
      <w:r w:rsidRPr="00A12061">
        <w:rPr>
          <w:b/>
          <w:bCs/>
        </w:rPr>
        <w:t>Consumer Protection and Transparency</w:t>
      </w:r>
    </w:p>
    <w:p w:rsidR="00A12061" w:rsidRPr="00A12061" w:rsidRDefault="00A12061" w:rsidP="00A12061">
      <w:pPr>
        <w:numPr>
          <w:ilvl w:val="1"/>
          <w:numId w:val="15"/>
        </w:numPr>
      </w:pPr>
      <w:r w:rsidRPr="00A12061">
        <w:t>The establishment of the CFPB has provided significant relief to consumers, highlighting the effectiveness of focused consumer protection. The data showing billions in relief underscores its impact.</w:t>
      </w:r>
    </w:p>
    <w:p w:rsidR="00A12061" w:rsidRPr="00A12061" w:rsidRDefault="00A12061" w:rsidP="00A12061">
      <w:pPr>
        <w:numPr>
          <w:ilvl w:val="1"/>
          <w:numId w:val="15"/>
        </w:numPr>
      </w:pPr>
      <w:r w:rsidRPr="00A12061">
        <w:t>Enhanced disclosure and fiduciary requirements for investment advisers have similarly aimed to protect investors, though the impact has been somewhat mitigated by regulatory rollbacks.</w:t>
      </w:r>
    </w:p>
    <w:p w:rsidR="00A12061" w:rsidRPr="00A12061" w:rsidRDefault="00A12061" w:rsidP="00A12061">
      <w:pPr>
        <w:numPr>
          <w:ilvl w:val="0"/>
          <w:numId w:val="15"/>
        </w:numPr>
      </w:pPr>
      <w:r w:rsidRPr="00A12061">
        <w:rPr>
          <w:b/>
          <w:bCs/>
        </w:rPr>
        <w:t>Risk Reduction and Market Stability</w:t>
      </w:r>
    </w:p>
    <w:p w:rsidR="00A12061" w:rsidRPr="00A12061" w:rsidRDefault="00A12061" w:rsidP="00A12061">
      <w:pPr>
        <w:numPr>
          <w:ilvl w:val="1"/>
          <w:numId w:val="15"/>
        </w:numPr>
      </w:pPr>
      <w:r w:rsidRPr="00A12061">
        <w:t>The Volcker Rule and derivatives reforms have substantially reduced risky trading activities and improved market stability. The significant reduction in proprietary trading assets and the increase in centrally cleared derivatives illustrate these improvements.</w:t>
      </w:r>
    </w:p>
    <w:p w:rsidR="00A12061" w:rsidRPr="00A12061" w:rsidRDefault="00A12061" w:rsidP="00A12061">
      <w:pPr>
        <w:numPr>
          <w:ilvl w:val="1"/>
          <w:numId w:val="15"/>
        </w:numPr>
      </w:pPr>
      <w:r w:rsidRPr="00A12061">
        <w:t>Increased capital and liquidity requirements have made banks more resilient, as evidenced by the higher CET1 ratios, ensuring they can withstand financial stress better than before.</w:t>
      </w:r>
    </w:p>
    <w:p w:rsidR="00A12061" w:rsidRPr="00A12061" w:rsidRDefault="00A12061" w:rsidP="00A12061">
      <w:pPr>
        <w:numPr>
          <w:ilvl w:val="0"/>
          <w:numId w:val="15"/>
        </w:numPr>
      </w:pPr>
      <w:r w:rsidRPr="00A12061">
        <w:rPr>
          <w:b/>
          <w:bCs/>
        </w:rPr>
        <w:t>Systemic Risk Oversight</w:t>
      </w:r>
    </w:p>
    <w:p w:rsidR="00A12061" w:rsidRPr="00A12061" w:rsidRDefault="00A12061" w:rsidP="00A12061">
      <w:pPr>
        <w:numPr>
          <w:ilvl w:val="1"/>
          <w:numId w:val="15"/>
        </w:numPr>
      </w:pPr>
      <w:r w:rsidRPr="00A12061">
        <w:t>The FSOC and OFR have enhanced the ability to monitor and respond to systemic risks. The designation of SIFIs and the wealth of data produced by the OFR contribute to a more stable financial system.</w:t>
      </w:r>
    </w:p>
    <w:p w:rsidR="00A12061" w:rsidRPr="00A12061" w:rsidRDefault="00A12061" w:rsidP="00A12061">
      <w:pPr>
        <w:numPr>
          <w:ilvl w:val="1"/>
          <w:numId w:val="15"/>
        </w:numPr>
      </w:pPr>
      <w:r w:rsidRPr="00A12061">
        <w:t>The Orderly Liquidation Authority, although not yet tested in a major crisis, provides a crucial tool for managing the failure of large financial institutions without resorting to taxpayer-funded bailouts.</w:t>
      </w:r>
    </w:p>
    <w:p w:rsidR="00A12061" w:rsidRPr="00A12061" w:rsidRDefault="00A12061" w:rsidP="00A12061">
      <w:pPr>
        <w:numPr>
          <w:ilvl w:val="0"/>
          <w:numId w:val="15"/>
        </w:numPr>
      </w:pPr>
      <w:r w:rsidRPr="00A12061">
        <w:rPr>
          <w:b/>
          <w:bCs/>
        </w:rPr>
        <w:t>Credit Rating Agencies</w:t>
      </w:r>
    </w:p>
    <w:p w:rsidR="00A12061" w:rsidRPr="00A12061" w:rsidRDefault="00A12061" w:rsidP="00A12061">
      <w:pPr>
        <w:numPr>
          <w:ilvl w:val="1"/>
          <w:numId w:val="15"/>
        </w:numPr>
      </w:pPr>
      <w:r w:rsidRPr="00A12061">
        <w:lastRenderedPageBreak/>
        <w:t>Reforms targeting credit rating agencies have led to increased accountability, though the effectiveness can be variable. Enforcement actions and fines show progress, but ongoing vigilance is necessary.</w:t>
      </w:r>
    </w:p>
    <w:p w:rsidR="00EC4393" w:rsidRDefault="00EC4393" w:rsidP="00A12061">
      <w:r>
        <w:t>The Dodd-Frank Act has brought substantial reforms to enhance consumer protection, reduce systemic risk, and improve the stability and transparency of the financial system.</w:t>
      </w:r>
    </w:p>
    <w:p w:rsidR="00EC4393" w:rsidRDefault="00EC4393">
      <w:r>
        <w:br w:type="page"/>
      </w:r>
    </w:p>
    <w:p w:rsidR="00EC4393" w:rsidRPr="00EC4393" w:rsidRDefault="00EC4393" w:rsidP="00EC4393">
      <w:pPr>
        <w:pStyle w:val="Heading1"/>
        <w:jc w:val="center"/>
      </w:pPr>
      <w:bookmarkStart w:id="50" w:name="_Toc169194477"/>
      <w:r w:rsidRPr="00EC4393">
        <w:lastRenderedPageBreak/>
        <w:t>Sarbanes-Oxley Act (SOX)</w:t>
      </w:r>
      <w:bookmarkEnd w:id="50"/>
    </w:p>
    <w:p w:rsidR="00EC4393" w:rsidRPr="00EC4393" w:rsidRDefault="00EC4393" w:rsidP="00EC4393">
      <w:r w:rsidRPr="00EC4393">
        <w:t>The Sarbanes-Oxley Act of 2002, commonly referred to as SOX, is a U.S. federal law enacted in response to major corporate and accounting scandals, including those involving Enron, Tyco International, and WorldCom. The Act was designed to protect investors by improving the accuracy and reliability of corporate disclosures and increasing the accountability of corporate management.</w:t>
      </w:r>
    </w:p>
    <w:p w:rsidR="00EC4393" w:rsidRPr="00EC4393" w:rsidRDefault="00EC4393" w:rsidP="00EC4393">
      <w:pPr>
        <w:rPr>
          <w:b/>
          <w:bCs/>
        </w:rPr>
      </w:pPr>
      <w:r w:rsidRPr="00EC4393">
        <w:rPr>
          <w:b/>
          <w:bCs/>
        </w:rPr>
        <w:t>Key Provisions of SOX</w:t>
      </w:r>
    </w:p>
    <w:p w:rsidR="00EC4393" w:rsidRPr="00EC4393" w:rsidRDefault="00EC4393" w:rsidP="00EC4393">
      <w:pPr>
        <w:numPr>
          <w:ilvl w:val="0"/>
          <w:numId w:val="16"/>
        </w:numPr>
      </w:pPr>
      <w:r w:rsidRPr="00EC4393">
        <w:rPr>
          <w:b/>
          <w:bCs/>
        </w:rPr>
        <w:t>Public Company Accounting Oversight Board (PCAOB)</w:t>
      </w:r>
    </w:p>
    <w:p w:rsidR="00EC4393" w:rsidRPr="00EC4393" w:rsidRDefault="00EC4393" w:rsidP="00EC4393">
      <w:pPr>
        <w:numPr>
          <w:ilvl w:val="1"/>
          <w:numId w:val="16"/>
        </w:numPr>
      </w:pPr>
      <w:r w:rsidRPr="00EC4393">
        <w:rPr>
          <w:b/>
          <w:bCs/>
        </w:rPr>
        <w:t>Purpose</w:t>
      </w:r>
      <w:r w:rsidRPr="00EC4393">
        <w:t>: To oversee the audits of public companies to ensure that audit reports are accurate and independent.</w:t>
      </w:r>
    </w:p>
    <w:p w:rsidR="00EC4393" w:rsidRPr="00EC4393" w:rsidRDefault="00EC4393" w:rsidP="00EC4393">
      <w:pPr>
        <w:numPr>
          <w:ilvl w:val="1"/>
          <w:numId w:val="16"/>
        </w:numPr>
      </w:pPr>
      <w:r w:rsidRPr="00EC4393">
        <w:rPr>
          <w:b/>
          <w:bCs/>
        </w:rPr>
        <w:t>Function</w:t>
      </w:r>
      <w:r w:rsidRPr="00EC4393">
        <w:t>: The PCAOB registers audit firms, establishes audit standards, inspects audit practices, and enforces compliance.</w:t>
      </w:r>
    </w:p>
    <w:p w:rsidR="00EC4393" w:rsidRPr="00EC4393" w:rsidRDefault="00EC4393" w:rsidP="00EC4393">
      <w:pPr>
        <w:numPr>
          <w:ilvl w:val="0"/>
          <w:numId w:val="16"/>
        </w:numPr>
      </w:pPr>
      <w:r w:rsidRPr="00EC4393">
        <w:rPr>
          <w:b/>
          <w:bCs/>
        </w:rPr>
        <w:t>Corporate Responsibility</w:t>
      </w:r>
    </w:p>
    <w:p w:rsidR="00EC4393" w:rsidRPr="00EC4393" w:rsidRDefault="00EC4393" w:rsidP="00EC4393">
      <w:pPr>
        <w:numPr>
          <w:ilvl w:val="1"/>
          <w:numId w:val="16"/>
        </w:numPr>
      </w:pPr>
      <w:r w:rsidRPr="00EC4393">
        <w:rPr>
          <w:b/>
          <w:bCs/>
        </w:rPr>
        <w:t>Section 302</w:t>
      </w:r>
      <w:r w:rsidRPr="00EC4393">
        <w:t>: Requires senior corporate officers to certify the accuracy of the financial statements and disclosures.</w:t>
      </w:r>
    </w:p>
    <w:p w:rsidR="00EC4393" w:rsidRPr="00EC4393" w:rsidRDefault="00EC4393" w:rsidP="00EC4393">
      <w:pPr>
        <w:numPr>
          <w:ilvl w:val="1"/>
          <w:numId w:val="16"/>
        </w:numPr>
      </w:pPr>
      <w:r w:rsidRPr="00EC4393">
        <w:rPr>
          <w:b/>
          <w:bCs/>
        </w:rPr>
        <w:t>Section 404</w:t>
      </w:r>
      <w:r w:rsidRPr="00EC4393">
        <w:t>: Mandates that management and external auditors establish and report on the adequacy of the company's internal control over financial reporting.</w:t>
      </w:r>
    </w:p>
    <w:p w:rsidR="00EC4393" w:rsidRPr="00EC4393" w:rsidRDefault="00EC4393" w:rsidP="00EC4393">
      <w:pPr>
        <w:numPr>
          <w:ilvl w:val="0"/>
          <w:numId w:val="16"/>
        </w:numPr>
      </w:pPr>
      <w:r w:rsidRPr="00EC4393">
        <w:rPr>
          <w:b/>
          <w:bCs/>
        </w:rPr>
        <w:t>Enhanced Financial Disclosures</w:t>
      </w:r>
    </w:p>
    <w:p w:rsidR="00EC4393" w:rsidRPr="00EC4393" w:rsidRDefault="00EC4393" w:rsidP="00EC4393">
      <w:pPr>
        <w:numPr>
          <w:ilvl w:val="1"/>
          <w:numId w:val="16"/>
        </w:numPr>
      </w:pPr>
      <w:r w:rsidRPr="00EC4393">
        <w:rPr>
          <w:b/>
          <w:bCs/>
        </w:rPr>
        <w:t>Real-Time Disclosure</w:t>
      </w:r>
      <w:r w:rsidRPr="00EC4393">
        <w:t>: Companies must disclose material changes in their financial condition or operations on a rapid and current basis.</w:t>
      </w:r>
    </w:p>
    <w:p w:rsidR="00EC4393" w:rsidRPr="00EC4393" w:rsidRDefault="00EC4393" w:rsidP="00EC4393">
      <w:pPr>
        <w:numPr>
          <w:ilvl w:val="1"/>
          <w:numId w:val="16"/>
        </w:numPr>
      </w:pPr>
      <w:r w:rsidRPr="00EC4393">
        <w:rPr>
          <w:b/>
          <w:bCs/>
        </w:rPr>
        <w:t>Off-Balance-Sheet Transactions</w:t>
      </w:r>
      <w:r w:rsidRPr="00EC4393">
        <w:t>: Enhanced disclosures are required for off-balance-sheet arrangements and obligations.</w:t>
      </w:r>
    </w:p>
    <w:p w:rsidR="00EC4393" w:rsidRPr="00EC4393" w:rsidRDefault="00EC4393" w:rsidP="00EC4393">
      <w:pPr>
        <w:numPr>
          <w:ilvl w:val="0"/>
          <w:numId w:val="16"/>
        </w:numPr>
      </w:pPr>
      <w:r w:rsidRPr="00EC4393">
        <w:rPr>
          <w:b/>
          <w:bCs/>
        </w:rPr>
        <w:t>Auditor Independence</w:t>
      </w:r>
    </w:p>
    <w:p w:rsidR="00EC4393" w:rsidRPr="00EC4393" w:rsidRDefault="00EC4393" w:rsidP="00EC4393">
      <w:pPr>
        <w:numPr>
          <w:ilvl w:val="1"/>
          <w:numId w:val="16"/>
        </w:numPr>
      </w:pPr>
      <w:r w:rsidRPr="00EC4393">
        <w:rPr>
          <w:b/>
          <w:bCs/>
        </w:rPr>
        <w:t>Non-Audit Services</w:t>
      </w:r>
      <w:r w:rsidRPr="00EC4393">
        <w:t>: Prohibits audit firms from providing certain non-audit services to their audit clients to prevent conflicts of interest.</w:t>
      </w:r>
    </w:p>
    <w:p w:rsidR="00EC4393" w:rsidRPr="00EC4393" w:rsidRDefault="00EC4393" w:rsidP="00EC4393">
      <w:pPr>
        <w:numPr>
          <w:ilvl w:val="1"/>
          <w:numId w:val="16"/>
        </w:numPr>
      </w:pPr>
      <w:r w:rsidRPr="00EC4393">
        <w:rPr>
          <w:b/>
          <w:bCs/>
        </w:rPr>
        <w:t>Audit Partner Rotation</w:t>
      </w:r>
      <w:r w:rsidRPr="00EC4393">
        <w:t>: Requires the rotation of the lead audit partner every five years.</w:t>
      </w:r>
    </w:p>
    <w:p w:rsidR="00EC4393" w:rsidRPr="00EC4393" w:rsidRDefault="00EC4393" w:rsidP="00EC4393">
      <w:pPr>
        <w:numPr>
          <w:ilvl w:val="0"/>
          <w:numId w:val="16"/>
        </w:numPr>
      </w:pPr>
      <w:r w:rsidRPr="00EC4393">
        <w:rPr>
          <w:b/>
          <w:bCs/>
        </w:rPr>
        <w:t>Corporate Fraud Accountability</w:t>
      </w:r>
    </w:p>
    <w:p w:rsidR="00EC4393" w:rsidRPr="00EC4393" w:rsidRDefault="00EC4393" w:rsidP="00EC4393">
      <w:pPr>
        <w:numPr>
          <w:ilvl w:val="1"/>
          <w:numId w:val="16"/>
        </w:numPr>
      </w:pPr>
      <w:r w:rsidRPr="00EC4393">
        <w:rPr>
          <w:b/>
          <w:bCs/>
        </w:rPr>
        <w:t>Criminal Penalties</w:t>
      </w:r>
      <w:r w:rsidRPr="00EC4393">
        <w:t>: Establishes harsher penalties for securities fraud, including longer prison terms and larger fines.</w:t>
      </w:r>
    </w:p>
    <w:p w:rsidR="00EC4393" w:rsidRPr="00EC4393" w:rsidRDefault="00EC4393" w:rsidP="00EC4393">
      <w:pPr>
        <w:numPr>
          <w:ilvl w:val="1"/>
          <w:numId w:val="16"/>
        </w:numPr>
      </w:pPr>
      <w:r w:rsidRPr="00EC4393">
        <w:rPr>
          <w:b/>
          <w:bCs/>
        </w:rPr>
        <w:t>Whistleblower Protections</w:t>
      </w:r>
      <w:r w:rsidRPr="00EC4393">
        <w:t>: Provides protection for employees who report fraudulent activity.</w:t>
      </w:r>
    </w:p>
    <w:p w:rsidR="00EC4393" w:rsidRPr="00EC4393" w:rsidRDefault="00EC4393" w:rsidP="00EC4393">
      <w:pPr>
        <w:numPr>
          <w:ilvl w:val="0"/>
          <w:numId w:val="16"/>
        </w:numPr>
      </w:pPr>
      <w:r w:rsidRPr="00EC4393">
        <w:rPr>
          <w:b/>
          <w:bCs/>
        </w:rPr>
        <w:lastRenderedPageBreak/>
        <w:t>Analyst Conflicts of Interest</w:t>
      </w:r>
    </w:p>
    <w:p w:rsidR="00EC4393" w:rsidRPr="00EC4393" w:rsidRDefault="00EC4393" w:rsidP="00EC4393">
      <w:pPr>
        <w:numPr>
          <w:ilvl w:val="1"/>
          <w:numId w:val="16"/>
        </w:numPr>
      </w:pPr>
      <w:r w:rsidRPr="00EC4393">
        <w:rPr>
          <w:b/>
          <w:bCs/>
        </w:rPr>
        <w:t>Purpose</w:t>
      </w:r>
      <w:r w:rsidRPr="00EC4393">
        <w:t>: To reduce conflicts of interest between securities analysts and the companies they analyze.</w:t>
      </w:r>
    </w:p>
    <w:p w:rsidR="00EC4393" w:rsidRPr="00EC4393" w:rsidRDefault="00EC4393" w:rsidP="00EC4393">
      <w:pPr>
        <w:numPr>
          <w:ilvl w:val="1"/>
          <w:numId w:val="16"/>
        </w:numPr>
      </w:pPr>
      <w:r w:rsidRPr="00EC4393">
        <w:rPr>
          <w:b/>
          <w:bCs/>
        </w:rPr>
        <w:t>Provisions</w:t>
      </w:r>
      <w:r w:rsidRPr="00EC4393">
        <w:t>: Requires disclosure of any potential conflicts of interest.</w:t>
      </w:r>
    </w:p>
    <w:p w:rsidR="00EC4393" w:rsidRPr="00EC4393" w:rsidRDefault="00EC4393" w:rsidP="00EC4393">
      <w:pPr>
        <w:rPr>
          <w:b/>
          <w:bCs/>
        </w:rPr>
      </w:pPr>
      <w:r w:rsidRPr="00EC4393">
        <w:rPr>
          <w:b/>
          <w:bCs/>
        </w:rPr>
        <w:t>SOX Impact</w:t>
      </w:r>
      <w:r>
        <w:rPr>
          <w:b/>
          <w:bCs/>
        </w:rPr>
        <w:t>:</w:t>
      </w:r>
    </w:p>
    <w:p w:rsidR="00EC4393" w:rsidRPr="00EC4393" w:rsidRDefault="00EC4393" w:rsidP="00EC4393">
      <w:pPr>
        <w:numPr>
          <w:ilvl w:val="0"/>
          <w:numId w:val="17"/>
        </w:numPr>
      </w:pPr>
      <w:r w:rsidRPr="00EC4393">
        <w:rPr>
          <w:b/>
          <w:bCs/>
        </w:rPr>
        <w:t>Compliance Costs</w:t>
      </w:r>
      <w:r>
        <w:t xml:space="preserve">: </w:t>
      </w:r>
      <w:r w:rsidRPr="00EC4393">
        <w:t xml:space="preserve">The costs of SOX compliance have been significant, particularly for smaller companies. A study by </w:t>
      </w:r>
      <w:proofErr w:type="spellStart"/>
      <w:r w:rsidRPr="00EC4393">
        <w:t>Protiviti</w:t>
      </w:r>
      <w:proofErr w:type="spellEnd"/>
      <w:r w:rsidRPr="00EC4393">
        <w:t xml:space="preserve"> in 2020 estimated the average cost of SOX compliance to be around $2.1 million per company, with smaller companies spending more relative to their size.</w:t>
      </w:r>
    </w:p>
    <w:p w:rsidR="00EC4393" w:rsidRPr="00EC4393" w:rsidRDefault="00EC4393" w:rsidP="00EC4393">
      <w:pPr>
        <w:numPr>
          <w:ilvl w:val="0"/>
          <w:numId w:val="17"/>
        </w:numPr>
      </w:pPr>
      <w:r w:rsidRPr="00EC4393">
        <w:rPr>
          <w:b/>
          <w:bCs/>
        </w:rPr>
        <w:t>Audit Quality and Financial Reporting</w:t>
      </w:r>
      <w:r>
        <w:t xml:space="preserve">: </w:t>
      </w:r>
      <w:r w:rsidRPr="00EC4393">
        <w:t>Research indicates that SOX has led to improved audit quality and financial reporting. A study by the PCAOB found that the number of financial restatements by public companies decreased by more than 30% in the decade following SOX’s enactment.</w:t>
      </w:r>
    </w:p>
    <w:p w:rsidR="00EC4393" w:rsidRPr="00EC4393" w:rsidRDefault="00EC4393" w:rsidP="00EC4393">
      <w:pPr>
        <w:numPr>
          <w:ilvl w:val="0"/>
          <w:numId w:val="17"/>
        </w:numPr>
      </w:pPr>
      <w:r w:rsidRPr="00EC4393">
        <w:rPr>
          <w:b/>
          <w:bCs/>
        </w:rPr>
        <w:t>Market Confidence</w:t>
      </w:r>
      <w:r>
        <w:t xml:space="preserve">: </w:t>
      </w:r>
      <w:r w:rsidRPr="00EC4393">
        <w:t>Investor confidence in U.S. financial markets increased post-SOX. A survey conducted by the Financial Executives International (FEI) showed that 83% of financial executives believe that SOX has helped to restore investor confidence.</w:t>
      </w:r>
    </w:p>
    <w:p w:rsidR="00EC4393" w:rsidRPr="00EC4393" w:rsidRDefault="00EC4393" w:rsidP="00EC4393">
      <w:pPr>
        <w:numPr>
          <w:ilvl w:val="0"/>
          <w:numId w:val="17"/>
        </w:numPr>
      </w:pPr>
      <w:r w:rsidRPr="00EC4393">
        <w:rPr>
          <w:b/>
          <w:bCs/>
        </w:rPr>
        <w:t>Internal Controls</w:t>
      </w:r>
      <w:r>
        <w:t xml:space="preserve">: </w:t>
      </w:r>
      <w:r w:rsidRPr="00EC4393">
        <w:t>A survey by Audit Analytics found that the number of companies reporting material weaknesses in internal controls declined significantly from 16.2% in 2004 to 5.1% in 2018, reflecting improvements in internal control systems.</w:t>
      </w:r>
    </w:p>
    <w:p w:rsidR="00EC4393" w:rsidRDefault="00EC4393" w:rsidP="00EC4393">
      <w:pPr>
        <w:pStyle w:val="Title"/>
        <w:jc w:val="right"/>
      </w:pPr>
    </w:p>
    <w:p w:rsidR="00EC4393" w:rsidRDefault="00EC4393" w:rsidP="00EC4393">
      <w:pPr>
        <w:pStyle w:val="Title"/>
        <w:jc w:val="right"/>
      </w:pPr>
    </w:p>
    <w:p w:rsidR="00EC4393" w:rsidRDefault="00EC4393" w:rsidP="00EC4393">
      <w:pPr>
        <w:pStyle w:val="Title"/>
        <w:jc w:val="right"/>
      </w:pPr>
    </w:p>
    <w:p w:rsidR="00EC4393" w:rsidRDefault="00EC4393" w:rsidP="00EC4393">
      <w:pPr>
        <w:pStyle w:val="Title"/>
        <w:jc w:val="right"/>
      </w:pPr>
    </w:p>
    <w:p w:rsidR="00EC4393" w:rsidRDefault="00EC4393" w:rsidP="00EC4393">
      <w:pPr>
        <w:pStyle w:val="Title"/>
        <w:jc w:val="right"/>
      </w:pPr>
    </w:p>
    <w:p w:rsidR="00EC4393" w:rsidRDefault="00EC4393" w:rsidP="00EC4393">
      <w:pPr>
        <w:pStyle w:val="Title"/>
        <w:jc w:val="right"/>
      </w:pPr>
    </w:p>
    <w:p w:rsidR="00EC4393" w:rsidRDefault="00EC4393" w:rsidP="00EC4393">
      <w:pPr>
        <w:pStyle w:val="Title"/>
        <w:jc w:val="right"/>
      </w:pPr>
    </w:p>
    <w:p w:rsidR="00EC4393" w:rsidRDefault="00EC4393" w:rsidP="00EC4393">
      <w:pPr>
        <w:pStyle w:val="Title"/>
        <w:jc w:val="right"/>
      </w:pPr>
    </w:p>
    <w:p w:rsidR="00A12061" w:rsidRPr="00A12061" w:rsidRDefault="00EC4393" w:rsidP="00EC4393">
      <w:pPr>
        <w:pStyle w:val="Title"/>
        <w:jc w:val="right"/>
      </w:pPr>
      <w:r>
        <w:t>Thank You</w:t>
      </w:r>
    </w:p>
    <w:sectPr w:rsidR="00A12061" w:rsidRPr="00A1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771D"/>
    <w:multiLevelType w:val="multilevel"/>
    <w:tmpl w:val="D2EC5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9D10D34"/>
    <w:multiLevelType w:val="multilevel"/>
    <w:tmpl w:val="7CE6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34DC9"/>
    <w:multiLevelType w:val="multilevel"/>
    <w:tmpl w:val="7F16091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15BF0"/>
    <w:multiLevelType w:val="multilevel"/>
    <w:tmpl w:val="854E7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746DC9"/>
    <w:multiLevelType w:val="hybridMultilevel"/>
    <w:tmpl w:val="F3D6F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A32EB7"/>
    <w:multiLevelType w:val="multilevel"/>
    <w:tmpl w:val="BB76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05B03"/>
    <w:multiLevelType w:val="multilevel"/>
    <w:tmpl w:val="9624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50A2A"/>
    <w:multiLevelType w:val="hybridMultilevel"/>
    <w:tmpl w:val="4ADC6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DB7968"/>
    <w:multiLevelType w:val="multilevel"/>
    <w:tmpl w:val="A78C4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C9716B"/>
    <w:multiLevelType w:val="multilevel"/>
    <w:tmpl w:val="EF28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776517"/>
    <w:multiLevelType w:val="multilevel"/>
    <w:tmpl w:val="7F16091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5C4813"/>
    <w:multiLevelType w:val="multilevel"/>
    <w:tmpl w:val="9B708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8479E0"/>
    <w:multiLevelType w:val="multilevel"/>
    <w:tmpl w:val="C460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F90211"/>
    <w:multiLevelType w:val="multilevel"/>
    <w:tmpl w:val="D2EC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8D7EC0"/>
    <w:multiLevelType w:val="multilevel"/>
    <w:tmpl w:val="D2EC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9D7497"/>
    <w:multiLevelType w:val="multilevel"/>
    <w:tmpl w:val="34841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2F167E"/>
    <w:multiLevelType w:val="multilevel"/>
    <w:tmpl w:val="22D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16"/>
  </w:num>
  <w:num w:numId="5">
    <w:abstractNumId w:val="5"/>
  </w:num>
  <w:num w:numId="6">
    <w:abstractNumId w:val="1"/>
  </w:num>
  <w:num w:numId="7">
    <w:abstractNumId w:val="7"/>
  </w:num>
  <w:num w:numId="8">
    <w:abstractNumId w:val="14"/>
  </w:num>
  <w:num w:numId="9">
    <w:abstractNumId w:val="13"/>
  </w:num>
  <w:num w:numId="10">
    <w:abstractNumId w:val="6"/>
  </w:num>
  <w:num w:numId="11">
    <w:abstractNumId w:val="15"/>
  </w:num>
  <w:num w:numId="12">
    <w:abstractNumId w:val="0"/>
  </w:num>
  <w:num w:numId="13">
    <w:abstractNumId w:val="9"/>
  </w:num>
  <w:num w:numId="14">
    <w:abstractNumId w:val="8"/>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4F"/>
    <w:rsid w:val="00062EA3"/>
    <w:rsid w:val="0010354C"/>
    <w:rsid w:val="00305A55"/>
    <w:rsid w:val="00325284"/>
    <w:rsid w:val="0040353E"/>
    <w:rsid w:val="004360C8"/>
    <w:rsid w:val="00480E82"/>
    <w:rsid w:val="00536F0C"/>
    <w:rsid w:val="0063221E"/>
    <w:rsid w:val="00703134"/>
    <w:rsid w:val="00726EBE"/>
    <w:rsid w:val="00765EDC"/>
    <w:rsid w:val="007C4264"/>
    <w:rsid w:val="00A12061"/>
    <w:rsid w:val="00A2479A"/>
    <w:rsid w:val="00AC4853"/>
    <w:rsid w:val="00AF6487"/>
    <w:rsid w:val="00B10A4F"/>
    <w:rsid w:val="00BD59C5"/>
    <w:rsid w:val="00CA09B4"/>
    <w:rsid w:val="00D1539C"/>
    <w:rsid w:val="00DB3F91"/>
    <w:rsid w:val="00E42611"/>
    <w:rsid w:val="00EC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A4F"/>
  </w:style>
  <w:style w:type="paragraph" w:styleId="Heading1">
    <w:name w:val="heading 1"/>
    <w:basedOn w:val="Normal"/>
    <w:next w:val="Normal"/>
    <w:link w:val="Heading1Char"/>
    <w:uiPriority w:val="9"/>
    <w:qFormat/>
    <w:rsid w:val="00B10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A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2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0A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0A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1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4F"/>
    <w:rPr>
      <w:rFonts w:ascii="Tahoma" w:hAnsi="Tahoma" w:cs="Tahoma"/>
      <w:sz w:val="16"/>
      <w:szCs w:val="16"/>
    </w:rPr>
  </w:style>
  <w:style w:type="paragraph" w:styleId="ListParagraph">
    <w:name w:val="List Paragraph"/>
    <w:basedOn w:val="Normal"/>
    <w:uiPriority w:val="34"/>
    <w:qFormat/>
    <w:rsid w:val="00AC4853"/>
    <w:pPr>
      <w:ind w:left="720"/>
      <w:contextualSpacing/>
    </w:pPr>
  </w:style>
  <w:style w:type="table" w:styleId="TableGrid">
    <w:name w:val="Table Grid"/>
    <w:basedOn w:val="TableNormal"/>
    <w:uiPriority w:val="59"/>
    <w:rsid w:val="00AC4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3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54C"/>
    <w:rPr>
      <w:b/>
      <w:bCs/>
    </w:rPr>
  </w:style>
  <w:style w:type="character" w:styleId="Hyperlink">
    <w:name w:val="Hyperlink"/>
    <w:basedOn w:val="DefaultParagraphFont"/>
    <w:uiPriority w:val="99"/>
    <w:unhideWhenUsed/>
    <w:rsid w:val="0063221E"/>
    <w:rPr>
      <w:color w:val="0000FF" w:themeColor="hyperlink"/>
      <w:u w:val="single"/>
    </w:rPr>
  </w:style>
  <w:style w:type="character" w:customStyle="1" w:styleId="Heading4Char">
    <w:name w:val="Heading 4 Char"/>
    <w:basedOn w:val="DefaultParagraphFont"/>
    <w:link w:val="Heading4"/>
    <w:uiPriority w:val="9"/>
    <w:semiHidden/>
    <w:rsid w:val="00A1206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C43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39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2479A"/>
    <w:pPr>
      <w:outlineLvl w:val="9"/>
    </w:pPr>
    <w:rPr>
      <w:lang w:eastAsia="ja-JP"/>
    </w:rPr>
  </w:style>
  <w:style w:type="paragraph" w:styleId="TOC1">
    <w:name w:val="toc 1"/>
    <w:basedOn w:val="Normal"/>
    <w:next w:val="Normal"/>
    <w:autoRedefine/>
    <w:uiPriority w:val="39"/>
    <w:unhideWhenUsed/>
    <w:rsid w:val="00A2479A"/>
    <w:pPr>
      <w:spacing w:after="100"/>
    </w:pPr>
  </w:style>
  <w:style w:type="paragraph" w:styleId="TOC2">
    <w:name w:val="toc 2"/>
    <w:basedOn w:val="Normal"/>
    <w:next w:val="Normal"/>
    <w:autoRedefine/>
    <w:uiPriority w:val="39"/>
    <w:unhideWhenUsed/>
    <w:rsid w:val="00A2479A"/>
    <w:pPr>
      <w:spacing w:after="100"/>
      <w:ind w:left="220"/>
    </w:pPr>
  </w:style>
  <w:style w:type="paragraph" w:styleId="TOC3">
    <w:name w:val="toc 3"/>
    <w:basedOn w:val="Normal"/>
    <w:next w:val="Normal"/>
    <w:autoRedefine/>
    <w:uiPriority w:val="39"/>
    <w:unhideWhenUsed/>
    <w:rsid w:val="00A2479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A4F"/>
  </w:style>
  <w:style w:type="paragraph" w:styleId="Heading1">
    <w:name w:val="heading 1"/>
    <w:basedOn w:val="Normal"/>
    <w:next w:val="Normal"/>
    <w:link w:val="Heading1Char"/>
    <w:uiPriority w:val="9"/>
    <w:qFormat/>
    <w:rsid w:val="00B10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A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2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0A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0A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1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4F"/>
    <w:rPr>
      <w:rFonts w:ascii="Tahoma" w:hAnsi="Tahoma" w:cs="Tahoma"/>
      <w:sz w:val="16"/>
      <w:szCs w:val="16"/>
    </w:rPr>
  </w:style>
  <w:style w:type="paragraph" w:styleId="ListParagraph">
    <w:name w:val="List Paragraph"/>
    <w:basedOn w:val="Normal"/>
    <w:uiPriority w:val="34"/>
    <w:qFormat/>
    <w:rsid w:val="00AC4853"/>
    <w:pPr>
      <w:ind w:left="720"/>
      <w:contextualSpacing/>
    </w:pPr>
  </w:style>
  <w:style w:type="table" w:styleId="TableGrid">
    <w:name w:val="Table Grid"/>
    <w:basedOn w:val="TableNormal"/>
    <w:uiPriority w:val="59"/>
    <w:rsid w:val="00AC4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3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54C"/>
    <w:rPr>
      <w:b/>
      <w:bCs/>
    </w:rPr>
  </w:style>
  <w:style w:type="character" w:styleId="Hyperlink">
    <w:name w:val="Hyperlink"/>
    <w:basedOn w:val="DefaultParagraphFont"/>
    <w:uiPriority w:val="99"/>
    <w:unhideWhenUsed/>
    <w:rsid w:val="0063221E"/>
    <w:rPr>
      <w:color w:val="0000FF" w:themeColor="hyperlink"/>
      <w:u w:val="single"/>
    </w:rPr>
  </w:style>
  <w:style w:type="character" w:customStyle="1" w:styleId="Heading4Char">
    <w:name w:val="Heading 4 Char"/>
    <w:basedOn w:val="DefaultParagraphFont"/>
    <w:link w:val="Heading4"/>
    <w:uiPriority w:val="9"/>
    <w:semiHidden/>
    <w:rsid w:val="00A1206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C43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39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2479A"/>
    <w:pPr>
      <w:outlineLvl w:val="9"/>
    </w:pPr>
    <w:rPr>
      <w:lang w:eastAsia="ja-JP"/>
    </w:rPr>
  </w:style>
  <w:style w:type="paragraph" w:styleId="TOC1">
    <w:name w:val="toc 1"/>
    <w:basedOn w:val="Normal"/>
    <w:next w:val="Normal"/>
    <w:autoRedefine/>
    <w:uiPriority w:val="39"/>
    <w:unhideWhenUsed/>
    <w:rsid w:val="00A2479A"/>
    <w:pPr>
      <w:spacing w:after="100"/>
    </w:pPr>
  </w:style>
  <w:style w:type="paragraph" w:styleId="TOC2">
    <w:name w:val="toc 2"/>
    <w:basedOn w:val="Normal"/>
    <w:next w:val="Normal"/>
    <w:autoRedefine/>
    <w:uiPriority w:val="39"/>
    <w:unhideWhenUsed/>
    <w:rsid w:val="00A2479A"/>
    <w:pPr>
      <w:spacing w:after="100"/>
      <w:ind w:left="220"/>
    </w:pPr>
  </w:style>
  <w:style w:type="paragraph" w:styleId="TOC3">
    <w:name w:val="toc 3"/>
    <w:basedOn w:val="Normal"/>
    <w:next w:val="Normal"/>
    <w:autoRedefine/>
    <w:uiPriority w:val="39"/>
    <w:unhideWhenUsed/>
    <w:rsid w:val="00A247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865">
      <w:bodyDiv w:val="1"/>
      <w:marLeft w:val="0"/>
      <w:marRight w:val="0"/>
      <w:marTop w:val="0"/>
      <w:marBottom w:val="0"/>
      <w:divBdr>
        <w:top w:val="none" w:sz="0" w:space="0" w:color="auto"/>
        <w:left w:val="none" w:sz="0" w:space="0" w:color="auto"/>
        <w:bottom w:val="none" w:sz="0" w:space="0" w:color="auto"/>
        <w:right w:val="none" w:sz="0" w:space="0" w:color="auto"/>
      </w:divBdr>
    </w:div>
    <w:div w:id="46299455">
      <w:bodyDiv w:val="1"/>
      <w:marLeft w:val="0"/>
      <w:marRight w:val="0"/>
      <w:marTop w:val="0"/>
      <w:marBottom w:val="0"/>
      <w:divBdr>
        <w:top w:val="none" w:sz="0" w:space="0" w:color="auto"/>
        <w:left w:val="none" w:sz="0" w:space="0" w:color="auto"/>
        <w:bottom w:val="none" w:sz="0" w:space="0" w:color="auto"/>
        <w:right w:val="none" w:sz="0" w:space="0" w:color="auto"/>
      </w:divBdr>
    </w:div>
    <w:div w:id="103118017">
      <w:bodyDiv w:val="1"/>
      <w:marLeft w:val="0"/>
      <w:marRight w:val="0"/>
      <w:marTop w:val="0"/>
      <w:marBottom w:val="0"/>
      <w:divBdr>
        <w:top w:val="none" w:sz="0" w:space="0" w:color="auto"/>
        <w:left w:val="none" w:sz="0" w:space="0" w:color="auto"/>
        <w:bottom w:val="none" w:sz="0" w:space="0" w:color="auto"/>
        <w:right w:val="none" w:sz="0" w:space="0" w:color="auto"/>
      </w:divBdr>
    </w:div>
    <w:div w:id="341012145">
      <w:bodyDiv w:val="1"/>
      <w:marLeft w:val="0"/>
      <w:marRight w:val="0"/>
      <w:marTop w:val="0"/>
      <w:marBottom w:val="0"/>
      <w:divBdr>
        <w:top w:val="none" w:sz="0" w:space="0" w:color="auto"/>
        <w:left w:val="none" w:sz="0" w:space="0" w:color="auto"/>
        <w:bottom w:val="none" w:sz="0" w:space="0" w:color="auto"/>
        <w:right w:val="none" w:sz="0" w:space="0" w:color="auto"/>
      </w:divBdr>
    </w:div>
    <w:div w:id="365446531">
      <w:bodyDiv w:val="1"/>
      <w:marLeft w:val="0"/>
      <w:marRight w:val="0"/>
      <w:marTop w:val="0"/>
      <w:marBottom w:val="0"/>
      <w:divBdr>
        <w:top w:val="none" w:sz="0" w:space="0" w:color="auto"/>
        <w:left w:val="none" w:sz="0" w:space="0" w:color="auto"/>
        <w:bottom w:val="none" w:sz="0" w:space="0" w:color="auto"/>
        <w:right w:val="none" w:sz="0" w:space="0" w:color="auto"/>
      </w:divBdr>
    </w:div>
    <w:div w:id="437021930">
      <w:bodyDiv w:val="1"/>
      <w:marLeft w:val="0"/>
      <w:marRight w:val="0"/>
      <w:marTop w:val="0"/>
      <w:marBottom w:val="0"/>
      <w:divBdr>
        <w:top w:val="none" w:sz="0" w:space="0" w:color="auto"/>
        <w:left w:val="none" w:sz="0" w:space="0" w:color="auto"/>
        <w:bottom w:val="none" w:sz="0" w:space="0" w:color="auto"/>
        <w:right w:val="none" w:sz="0" w:space="0" w:color="auto"/>
      </w:divBdr>
    </w:div>
    <w:div w:id="495416967">
      <w:bodyDiv w:val="1"/>
      <w:marLeft w:val="0"/>
      <w:marRight w:val="0"/>
      <w:marTop w:val="0"/>
      <w:marBottom w:val="0"/>
      <w:divBdr>
        <w:top w:val="none" w:sz="0" w:space="0" w:color="auto"/>
        <w:left w:val="none" w:sz="0" w:space="0" w:color="auto"/>
        <w:bottom w:val="none" w:sz="0" w:space="0" w:color="auto"/>
        <w:right w:val="none" w:sz="0" w:space="0" w:color="auto"/>
      </w:divBdr>
    </w:div>
    <w:div w:id="500051060">
      <w:bodyDiv w:val="1"/>
      <w:marLeft w:val="0"/>
      <w:marRight w:val="0"/>
      <w:marTop w:val="0"/>
      <w:marBottom w:val="0"/>
      <w:divBdr>
        <w:top w:val="none" w:sz="0" w:space="0" w:color="auto"/>
        <w:left w:val="none" w:sz="0" w:space="0" w:color="auto"/>
        <w:bottom w:val="none" w:sz="0" w:space="0" w:color="auto"/>
        <w:right w:val="none" w:sz="0" w:space="0" w:color="auto"/>
      </w:divBdr>
    </w:div>
    <w:div w:id="509298996">
      <w:bodyDiv w:val="1"/>
      <w:marLeft w:val="0"/>
      <w:marRight w:val="0"/>
      <w:marTop w:val="0"/>
      <w:marBottom w:val="0"/>
      <w:divBdr>
        <w:top w:val="none" w:sz="0" w:space="0" w:color="auto"/>
        <w:left w:val="none" w:sz="0" w:space="0" w:color="auto"/>
        <w:bottom w:val="none" w:sz="0" w:space="0" w:color="auto"/>
        <w:right w:val="none" w:sz="0" w:space="0" w:color="auto"/>
      </w:divBdr>
    </w:div>
    <w:div w:id="537203239">
      <w:bodyDiv w:val="1"/>
      <w:marLeft w:val="0"/>
      <w:marRight w:val="0"/>
      <w:marTop w:val="0"/>
      <w:marBottom w:val="0"/>
      <w:divBdr>
        <w:top w:val="none" w:sz="0" w:space="0" w:color="auto"/>
        <w:left w:val="none" w:sz="0" w:space="0" w:color="auto"/>
        <w:bottom w:val="none" w:sz="0" w:space="0" w:color="auto"/>
        <w:right w:val="none" w:sz="0" w:space="0" w:color="auto"/>
      </w:divBdr>
    </w:div>
    <w:div w:id="546340507">
      <w:bodyDiv w:val="1"/>
      <w:marLeft w:val="0"/>
      <w:marRight w:val="0"/>
      <w:marTop w:val="0"/>
      <w:marBottom w:val="0"/>
      <w:divBdr>
        <w:top w:val="none" w:sz="0" w:space="0" w:color="auto"/>
        <w:left w:val="none" w:sz="0" w:space="0" w:color="auto"/>
        <w:bottom w:val="none" w:sz="0" w:space="0" w:color="auto"/>
        <w:right w:val="none" w:sz="0" w:space="0" w:color="auto"/>
      </w:divBdr>
    </w:div>
    <w:div w:id="729497181">
      <w:bodyDiv w:val="1"/>
      <w:marLeft w:val="0"/>
      <w:marRight w:val="0"/>
      <w:marTop w:val="0"/>
      <w:marBottom w:val="0"/>
      <w:divBdr>
        <w:top w:val="none" w:sz="0" w:space="0" w:color="auto"/>
        <w:left w:val="none" w:sz="0" w:space="0" w:color="auto"/>
        <w:bottom w:val="none" w:sz="0" w:space="0" w:color="auto"/>
        <w:right w:val="none" w:sz="0" w:space="0" w:color="auto"/>
      </w:divBdr>
    </w:div>
    <w:div w:id="919293491">
      <w:bodyDiv w:val="1"/>
      <w:marLeft w:val="0"/>
      <w:marRight w:val="0"/>
      <w:marTop w:val="0"/>
      <w:marBottom w:val="0"/>
      <w:divBdr>
        <w:top w:val="none" w:sz="0" w:space="0" w:color="auto"/>
        <w:left w:val="none" w:sz="0" w:space="0" w:color="auto"/>
        <w:bottom w:val="none" w:sz="0" w:space="0" w:color="auto"/>
        <w:right w:val="none" w:sz="0" w:space="0" w:color="auto"/>
      </w:divBdr>
    </w:div>
    <w:div w:id="934364583">
      <w:bodyDiv w:val="1"/>
      <w:marLeft w:val="0"/>
      <w:marRight w:val="0"/>
      <w:marTop w:val="0"/>
      <w:marBottom w:val="0"/>
      <w:divBdr>
        <w:top w:val="none" w:sz="0" w:space="0" w:color="auto"/>
        <w:left w:val="none" w:sz="0" w:space="0" w:color="auto"/>
        <w:bottom w:val="none" w:sz="0" w:space="0" w:color="auto"/>
        <w:right w:val="none" w:sz="0" w:space="0" w:color="auto"/>
      </w:divBdr>
    </w:div>
    <w:div w:id="1032806022">
      <w:bodyDiv w:val="1"/>
      <w:marLeft w:val="0"/>
      <w:marRight w:val="0"/>
      <w:marTop w:val="0"/>
      <w:marBottom w:val="0"/>
      <w:divBdr>
        <w:top w:val="none" w:sz="0" w:space="0" w:color="auto"/>
        <w:left w:val="none" w:sz="0" w:space="0" w:color="auto"/>
        <w:bottom w:val="none" w:sz="0" w:space="0" w:color="auto"/>
        <w:right w:val="none" w:sz="0" w:space="0" w:color="auto"/>
      </w:divBdr>
    </w:div>
    <w:div w:id="1261717380">
      <w:bodyDiv w:val="1"/>
      <w:marLeft w:val="0"/>
      <w:marRight w:val="0"/>
      <w:marTop w:val="0"/>
      <w:marBottom w:val="0"/>
      <w:divBdr>
        <w:top w:val="none" w:sz="0" w:space="0" w:color="auto"/>
        <w:left w:val="none" w:sz="0" w:space="0" w:color="auto"/>
        <w:bottom w:val="none" w:sz="0" w:space="0" w:color="auto"/>
        <w:right w:val="none" w:sz="0" w:space="0" w:color="auto"/>
      </w:divBdr>
    </w:div>
    <w:div w:id="1370036420">
      <w:bodyDiv w:val="1"/>
      <w:marLeft w:val="0"/>
      <w:marRight w:val="0"/>
      <w:marTop w:val="0"/>
      <w:marBottom w:val="0"/>
      <w:divBdr>
        <w:top w:val="none" w:sz="0" w:space="0" w:color="auto"/>
        <w:left w:val="none" w:sz="0" w:space="0" w:color="auto"/>
        <w:bottom w:val="none" w:sz="0" w:space="0" w:color="auto"/>
        <w:right w:val="none" w:sz="0" w:space="0" w:color="auto"/>
      </w:divBdr>
      <w:divsChild>
        <w:div w:id="238101378">
          <w:marLeft w:val="0"/>
          <w:marRight w:val="0"/>
          <w:marTop w:val="0"/>
          <w:marBottom w:val="0"/>
          <w:divBdr>
            <w:top w:val="none" w:sz="0" w:space="0" w:color="auto"/>
            <w:left w:val="none" w:sz="0" w:space="0" w:color="auto"/>
            <w:bottom w:val="none" w:sz="0" w:space="0" w:color="auto"/>
            <w:right w:val="none" w:sz="0" w:space="0" w:color="auto"/>
          </w:divBdr>
          <w:divsChild>
            <w:div w:id="218173578">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370759991">
      <w:bodyDiv w:val="1"/>
      <w:marLeft w:val="0"/>
      <w:marRight w:val="0"/>
      <w:marTop w:val="0"/>
      <w:marBottom w:val="0"/>
      <w:divBdr>
        <w:top w:val="none" w:sz="0" w:space="0" w:color="auto"/>
        <w:left w:val="none" w:sz="0" w:space="0" w:color="auto"/>
        <w:bottom w:val="none" w:sz="0" w:space="0" w:color="auto"/>
        <w:right w:val="none" w:sz="0" w:space="0" w:color="auto"/>
      </w:divBdr>
    </w:div>
    <w:div w:id="1580404409">
      <w:bodyDiv w:val="1"/>
      <w:marLeft w:val="0"/>
      <w:marRight w:val="0"/>
      <w:marTop w:val="0"/>
      <w:marBottom w:val="0"/>
      <w:divBdr>
        <w:top w:val="none" w:sz="0" w:space="0" w:color="auto"/>
        <w:left w:val="none" w:sz="0" w:space="0" w:color="auto"/>
        <w:bottom w:val="none" w:sz="0" w:space="0" w:color="auto"/>
        <w:right w:val="none" w:sz="0" w:space="0" w:color="auto"/>
      </w:divBdr>
    </w:div>
    <w:div w:id="1706253218">
      <w:bodyDiv w:val="1"/>
      <w:marLeft w:val="0"/>
      <w:marRight w:val="0"/>
      <w:marTop w:val="0"/>
      <w:marBottom w:val="0"/>
      <w:divBdr>
        <w:top w:val="none" w:sz="0" w:space="0" w:color="auto"/>
        <w:left w:val="none" w:sz="0" w:space="0" w:color="auto"/>
        <w:bottom w:val="none" w:sz="0" w:space="0" w:color="auto"/>
        <w:right w:val="none" w:sz="0" w:space="0" w:color="auto"/>
      </w:divBdr>
      <w:divsChild>
        <w:div w:id="971255440">
          <w:marLeft w:val="0"/>
          <w:marRight w:val="0"/>
          <w:marTop w:val="0"/>
          <w:marBottom w:val="0"/>
          <w:divBdr>
            <w:top w:val="none" w:sz="0" w:space="0" w:color="auto"/>
            <w:left w:val="none" w:sz="0" w:space="0" w:color="auto"/>
            <w:bottom w:val="none" w:sz="0" w:space="0" w:color="auto"/>
            <w:right w:val="none" w:sz="0" w:space="0" w:color="auto"/>
          </w:divBdr>
          <w:divsChild>
            <w:div w:id="98374258">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83286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Output Floor</c:v>
                </c:pt>
              </c:strCache>
            </c:strRef>
          </c:tx>
          <c:cat>
            <c:numRef>
              <c:f>Sheet1!$A$2:$A$7</c:f>
              <c:numCache>
                <c:formatCode>General</c:formatCode>
                <c:ptCount val="6"/>
                <c:pt idx="0">
                  <c:v>2023</c:v>
                </c:pt>
                <c:pt idx="1">
                  <c:v>2024</c:v>
                </c:pt>
                <c:pt idx="2">
                  <c:v>2025</c:v>
                </c:pt>
                <c:pt idx="3">
                  <c:v>2026</c:v>
                </c:pt>
                <c:pt idx="4">
                  <c:v>2027</c:v>
                </c:pt>
                <c:pt idx="5">
                  <c:v>2028</c:v>
                </c:pt>
              </c:numCache>
            </c:numRef>
          </c:cat>
          <c:val>
            <c:numRef>
              <c:f>Sheet1!$B$2:$B$7</c:f>
              <c:numCache>
                <c:formatCode>General</c:formatCode>
                <c:ptCount val="6"/>
                <c:pt idx="0">
                  <c:v>50</c:v>
                </c:pt>
                <c:pt idx="1">
                  <c:v>55</c:v>
                </c:pt>
                <c:pt idx="2">
                  <c:v>60</c:v>
                </c:pt>
                <c:pt idx="3">
                  <c:v>65</c:v>
                </c:pt>
                <c:pt idx="4">
                  <c:v>70</c:v>
                </c:pt>
                <c:pt idx="5">
                  <c:v>72.5</c:v>
                </c:pt>
              </c:numCache>
            </c:numRef>
          </c:val>
          <c:smooth val="0"/>
        </c:ser>
        <c:dLbls>
          <c:showLegendKey val="0"/>
          <c:showVal val="0"/>
          <c:showCatName val="0"/>
          <c:showSerName val="0"/>
          <c:showPercent val="0"/>
          <c:showBubbleSize val="0"/>
        </c:dLbls>
        <c:marker val="1"/>
        <c:smooth val="0"/>
        <c:axId val="277808640"/>
        <c:axId val="277810176"/>
      </c:lineChart>
      <c:catAx>
        <c:axId val="277808640"/>
        <c:scaling>
          <c:orientation val="minMax"/>
        </c:scaling>
        <c:delete val="0"/>
        <c:axPos val="b"/>
        <c:numFmt formatCode="General" sourceLinked="1"/>
        <c:majorTickMark val="out"/>
        <c:minorTickMark val="none"/>
        <c:tickLblPos val="nextTo"/>
        <c:crossAx val="277810176"/>
        <c:crosses val="autoZero"/>
        <c:auto val="1"/>
        <c:lblAlgn val="ctr"/>
        <c:lblOffset val="100"/>
        <c:noMultiLvlLbl val="0"/>
      </c:catAx>
      <c:valAx>
        <c:axId val="277810176"/>
        <c:scaling>
          <c:orientation val="minMax"/>
        </c:scaling>
        <c:delete val="0"/>
        <c:axPos val="l"/>
        <c:majorGridlines/>
        <c:numFmt formatCode="General" sourceLinked="1"/>
        <c:majorTickMark val="out"/>
        <c:minorTickMark val="none"/>
        <c:tickLblPos val="nextTo"/>
        <c:crossAx val="27780864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671F59-7D9A-49FF-991A-B8B1149B3567}" type="doc">
      <dgm:prSet loTypeId="urn:microsoft.com/office/officeart/2005/8/layout/vList2" loCatId="list" qsTypeId="urn:microsoft.com/office/officeart/2005/8/quickstyle/simple1" qsCatId="simple" csTypeId="urn:microsoft.com/office/officeart/2005/8/colors/accent0_1" csCatId="mainScheme" phldr="1"/>
      <dgm:spPr/>
      <dgm:t>
        <a:bodyPr/>
        <a:lstStyle/>
        <a:p>
          <a:endParaRPr lang="en-US"/>
        </a:p>
      </dgm:t>
    </dgm:pt>
    <dgm:pt modelId="{572B110E-D801-48CE-BE70-87851DB384D9}">
      <dgm:prSet phldrT="[Text]"/>
      <dgm:spPr/>
      <dgm:t>
        <a:bodyPr/>
        <a:lstStyle/>
        <a:p>
          <a:r>
            <a:rPr lang="en-US" b="1" i="0"/>
            <a:t>Division of Corporate Finance</a:t>
          </a:r>
          <a:endParaRPr lang="en-US"/>
        </a:p>
      </dgm:t>
    </dgm:pt>
    <dgm:pt modelId="{CCA01126-B480-457D-B0C4-B0896BE79144}" type="parTrans" cxnId="{28BB65C1-B68B-48C4-81F0-85C981B037CB}">
      <dgm:prSet/>
      <dgm:spPr/>
      <dgm:t>
        <a:bodyPr/>
        <a:lstStyle/>
        <a:p>
          <a:endParaRPr lang="en-US"/>
        </a:p>
      </dgm:t>
    </dgm:pt>
    <dgm:pt modelId="{C3E9E5C7-5E15-42EA-A64D-1B6C843CBA87}" type="sibTrans" cxnId="{28BB65C1-B68B-48C4-81F0-85C981B037CB}">
      <dgm:prSet/>
      <dgm:spPr/>
      <dgm:t>
        <a:bodyPr/>
        <a:lstStyle/>
        <a:p>
          <a:endParaRPr lang="en-US"/>
        </a:p>
      </dgm:t>
    </dgm:pt>
    <dgm:pt modelId="{CADFA047-34D2-4624-9106-0648FE235AAA}">
      <dgm:prSet phldrT="[Text]"/>
      <dgm:spPr/>
      <dgm:t>
        <a:bodyPr/>
        <a:lstStyle/>
        <a:p>
          <a:r>
            <a:rPr lang="en-US" b="0" i="0"/>
            <a:t>Provide investors with material information</a:t>
          </a:r>
          <a:endParaRPr lang="en-US"/>
        </a:p>
      </dgm:t>
    </dgm:pt>
    <dgm:pt modelId="{865E6B88-F376-4E7D-9885-48CA2911D67F}" type="parTrans" cxnId="{945BABD0-4889-4B81-B50E-4C19B88CF3F7}">
      <dgm:prSet/>
      <dgm:spPr/>
      <dgm:t>
        <a:bodyPr/>
        <a:lstStyle/>
        <a:p>
          <a:endParaRPr lang="en-US"/>
        </a:p>
      </dgm:t>
    </dgm:pt>
    <dgm:pt modelId="{FF44DF72-D181-4C57-8D6C-95CDF8559DF6}" type="sibTrans" cxnId="{945BABD0-4889-4B81-B50E-4C19B88CF3F7}">
      <dgm:prSet/>
      <dgm:spPr/>
      <dgm:t>
        <a:bodyPr/>
        <a:lstStyle/>
        <a:p>
          <a:endParaRPr lang="en-US"/>
        </a:p>
      </dgm:t>
    </dgm:pt>
    <dgm:pt modelId="{D3CF7640-1C88-426F-8E6B-D3A4BA64C6EB}">
      <dgm:prSet phldrT="[Text]"/>
      <dgm:spPr/>
      <dgm:t>
        <a:bodyPr/>
        <a:lstStyle/>
        <a:p>
          <a:r>
            <a:rPr lang="en-US" b="1" i="0"/>
            <a:t>Division of Enforcement</a:t>
          </a:r>
          <a:endParaRPr lang="en-US"/>
        </a:p>
      </dgm:t>
    </dgm:pt>
    <dgm:pt modelId="{B1765C55-231D-4EEB-AEF5-AF36F373209C}" type="parTrans" cxnId="{2F6D5354-6AD5-47EF-917B-D4D6E5A40637}">
      <dgm:prSet/>
      <dgm:spPr/>
      <dgm:t>
        <a:bodyPr/>
        <a:lstStyle/>
        <a:p>
          <a:endParaRPr lang="en-US"/>
        </a:p>
      </dgm:t>
    </dgm:pt>
    <dgm:pt modelId="{72F21D86-6C66-485C-9A15-70C2A93092ED}" type="sibTrans" cxnId="{2F6D5354-6AD5-47EF-917B-D4D6E5A40637}">
      <dgm:prSet/>
      <dgm:spPr/>
      <dgm:t>
        <a:bodyPr/>
        <a:lstStyle/>
        <a:p>
          <a:endParaRPr lang="en-US"/>
        </a:p>
      </dgm:t>
    </dgm:pt>
    <dgm:pt modelId="{AF1EEB2A-E205-48E2-B486-0855470E78DD}">
      <dgm:prSet phldrT="[Text]"/>
      <dgm:spPr/>
      <dgm:t>
        <a:bodyPr/>
        <a:lstStyle/>
        <a:p>
          <a:r>
            <a:rPr lang="en-US" b="0" i="0"/>
            <a:t>Enforces SEC regulations</a:t>
          </a:r>
          <a:endParaRPr lang="en-US"/>
        </a:p>
      </dgm:t>
    </dgm:pt>
    <dgm:pt modelId="{C371CDFA-CC60-46EF-BFF0-F5D488363FFE}" type="parTrans" cxnId="{BFDA6480-CB55-4811-A65D-7D6AB900F104}">
      <dgm:prSet/>
      <dgm:spPr/>
      <dgm:t>
        <a:bodyPr/>
        <a:lstStyle/>
        <a:p>
          <a:endParaRPr lang="en-US"/>
        </a:p>
      </dgm:t>
    </dgm:pt>
    <dgm:pt modelId="{5F4CDDC7-EE84-4FCC-8915-174DD18EF50C}" type="sibTrans" cxnId="{BFDA6480-CB55-4811-A65D-7D6AB900F104}">
      <dgm:prSet/>
      <dgm:spPr/>
      <dgm:t>
        <a:bodyPr/>
        <a:lstStyle/>
        <a:p>
          <a:endParaRPr lang="en-US"/>
        </a:p>
      </dgm:t>
    </dgm:pt>
    <dgm:pt modelId="{CDECB190-4267-4C90-8588-40FE4AB13537}">
      <dgm:prSet/>
      <dgm:spPr/>
      <dgm:t>
        <a:bodyPr/>
        <a:lstStyle/>
        <a:p>
          <a:r>
            <a:rPr lang="en-US" b="1" i="0"/>
            <a:t>Division of Investment Management</a:t>
          </a:r>
          <a:endParaRPr lang="en-US"/>
        </a:p>
      </dgm:t>
    </dgm:pt>
    <dgm:pt modelId="{A61796CA-A308-4220-A979-616FAF08315E}" type="parTrans" cxnId="{4AD1C3E7-5B20-4F13-AA75-EC79B103CE0D}">
      <dgm:prSet/>
      <dgm:spPr/>
      <dgm:t>
        <a:bodyPr/>
        <a:lstStyle/>
        <a:p>
          <a:endParaRPr lang="en-US"/>
        </a:p>
      </dgm:t>
    </dgm:pt>
    <dgm:pt modelId="{636FF17B-6A7B-485B-A426-8DB6DE2D28FA}" type="sibTrans" cxnId="{4AD1C3E7-5B20-4F13-AA75-EC79B103CE0D}">
      <dgm:prSet/>
      <dgm:spPr/>
      <dgm:t>
        <a:bodyPr/>
        <a:lstStyle/>
        <a:p>
          <a:endParaRPr lang="en-US"/>
        </a:p>
      </dgm:t>
    </dgm:pt>
    <dgm:pt modelId="{5F72B148-A61B-4410-85C5-9054378264F0}">
      <dgm:prSet/>
      <dgm:spPr/>
      <dgm:t>
        <a:bodyPr/>
        <a:lstStyle/>
        <a:p>
          <a:r>
            <a:rPr lang="en-US" b="0" i="0"/>
            <a:t>Regulates investment companies</a:t>
          </a:r>
          <a:endParaRPr lang="en-US"/>
        </a:p>
      </dgm:t>
    </dgm:pt>
    <dgm:pt modelId="{19676C63-2424-474C-AAF8-6CFCFED29502}" type="parTrans" cxnId="{C7778679-148C-40D8-A0DF-C06F34366435}">
      <dgm:prSet/>
      <dgm:spPr/>
      <dgm:t>
        <a:bodyPr/>
        <a:lstStyle/>
        <a:p>
          <a:endParaRPr lang="en-US"/>
        </a:p>
      </dgm:t>
    </dgm:pt>
    <dgm:pt modelId="{B7482F24-BF6B-4BCC-95F1-F86E91F86FB6}" type="sibTrans" cxnId="{C7778679-148C-40D8-A0DF-C06F34366435}">
      <dgm:prSet/>
      <dgm:spPr/>
      <dgm:t>
        <a:bodyPr/>
        <a:lstStyle/>
        <a:p>
          <a:endParaRPr lang="en-US"/>
        </a:p>
      </dgm:t>
    </dgm:pt>
    <dgm:pt modelId="{1AC82CAE-FFEF-4AF2-A066-F1DDC7D1D10B}">
      <dgm:prSet/>
      <dgm:spPr/>
      <dgm:t>
        <a:bodyPr/>
        <a:lstStyle/>
        <a:p>
          <a:r>
            <a:rPr lang="en-US" b="1" i="0"/>
            <a:t>Division of Economic and Risk Analysis</a:t>
          </a:r>
          <a:endParaRPr lang="en-US" b="1"/>
        </a:p>
      </dgm:t>
    </dgm:pt>
    <dgm:pt modelId="{721051C6-312F-4E21-871A-3FC4D395E733}" type="parTrans" cxnId="{5E6B7AA4-3566-46EC-B63C-8983E0CE3DA1}">
      <dgm:prSet/>
      <dgm:spPr/>
      <dgm:t>
        <a:bodyPr/>
        <a:lstStyle/>
        <a:p>
          <a:endParaRPr lang="en-US"/>
        </a:p>
      </dgm:t>
    </dgm:pt>
    <dgm:pt modelId="{5DB7C083-43E4-46A9-96EC-69BB822F08FE}" type="sibTrans" cxnId="{5E6B7AA4-3566-46EC-B63C-8983E0CE3DA1}">
      <dgm:prSet/>
      <dgm:spPr/>
      <dgm:t>
        <a:bodyPr/>
        <a:lstStyle/>
        <a:p>
          <a:endParaRPr lang="en-US"/>
        </a:p>
      </dgm:t>
    </dgm:pt>
    <dgm:pt modelId="{BD2469D9-99CC-4C5A-BBC8-830F1F833F05}">
      <dgm:prSet/>
      <dgm:spPr/>
      <dgm:t>
        <a:bodyPr/>
        <a:lstStyle/>
        <a:p>
          <a:r>
            <a:rPr lang="en-US" b="1" i="0"/>
            <a:t>Division of Trading and Markets</a:t>
          </a:r>
          <a:endParaRPr lang="en-US" b="0" i="0"/>
        </a:p>
      </dgm:t>
    </dgm:pt>
    <dgm:pt modelId="{A9951CAF-D7FC-44DD-A80F-2D3D524B1113}" type="parTrans" cxnId="{85217BD2-C97F-4C44-91A9-67234326B41A}">
      <dgm:prSet/>
      <dgm:spPr/>
      <dgm:t>
        <a:bodyPr/>
        <a:lstStyle/>
        <a:p>
          <a:endParaRPr lang="en-US"/>
        </a:p>
      </dgm:t>
    </dgm:pt>
    <dgm:pt modelId="{9D37AF45-777F-4185-88E8-9A80DE46B002}" type="sibTrans" cxnId="{85217BD2-C97F-4C44-91A9-67234326B41A}">
      <dgm:prSet/>
      <dgm:spPr/>
      <dgm:t>
        <a:bodyPr/>
        <a:lstStyle/>
        <a:p>
          <a:endParaRPr lang="en-US"/>
        </a:p>
      </dgm:t>
    </dgm:pt>
    <dgm:pt modelId="{0D1E8D2F-69CB-4A6C-AD3D-9CAB8F7B52A8}">
      <dgm:prSet/>
      <dgm:spPr/>
      <dgm:t>
        <a:bodyPr/>
        <a:lstStyle/>
        <a:p>
          <a:r>
            <a:rPr lang="en-US" b="0" i="0"/>
            <a:t>Integrates economics and data analytics into the core mission of the SEC.</a:t>
          </a:r>
          <a:r>
            <a:rPr lang="en-US" b="0" i="0" u="none"/>
            <a:t>10</a:t>
          </a:r>
          <a:endParaRPr lang="en-US" b="1"/>
        </a:p>
      </dgm:t>
    </dgm:pt>
    <dgm:pt modelId="{3DF88820-A548-4FDB-A187-32769D9F13F0}" type="parTrans" cxnId="{91EE04EE-D946-4095-9EE1-B91CFD230685}">
      <dgm:prSet/>
      <dgm:spPr/>
      <dgm:t>
        <a:bodyPr/>
        <a:lstStyle/>
        <a:p>
          <a:endParaRPr lang="en-US"/>
        </a:p>
      </dgm:t>
    </dgm:pt>
    <dgm:pt modelId="{A9B3B24E-26CD-4461-8B30-7E03C46F7929}" type="sibTrans" cxnId="{91EE04EE-D946-4095-9EE1-B91CFD230685}">
      <dgm:prSet/>
      <dgm:spPr/>
      <dgm:t>
        <a:bodyPr/>
        <a:lstStyle/>
        <a:p>
          <a:endParaRPr lang="en-US"/>
        </a:p>
      </dgm:t>
    </dgm:pt>
    <dgm:pt modelId="{86461848-7157-4A6C-B54B-388E9E76892A}">
      <dgm:prSet/>
      <dgm:spPr/>
      <dgm:t>
        <a:bodyPr/>
        <a:lstStyle/>
        <a:p>
          <a:r>
            <a:rPr lang="en-US" b="0" i="0"/>
            <a:t>Establishes and maintains standards</a:t>
          </a:r>
        </a:p>
      </dgm:t>
    </dgm:pt>
    <dgm:pt modelId="{F8DCBF26-1E68-42A4-BA05-7A8F20289A3D}" type="parTrans" cxnId="{2B6760E8-B700-4C68-ACD6-EE5BDCE70613}">
      <dgm:prSet/>
      <dgm:spPr/>
      <dgm:t>
        <a:bodyPr/>
        <a:lstStyle/>
        <a:p>
          <a:endParaRPr lang="en-US"/>
        </a:p>
      </dgm:t>
    </dgm:pt>
    <dgm:pt modelId="{DD6D588A-5165-404C-9E63-18B5186160D0}" type="sibTrans" cxnId="{2B6760E8-B700-4C68-ACD6-EE5BDCE70613}">
      <dgm:prSet/>
      <dgm:spPr/>
      <dgm:t>
        <a:bodyPr/>
        <a:lstStyle/>
        <a:p>
          <a:endParaRPr lang="en-US"/>
        </a:p>
      </dgm:t>
    </dgm:pt>
    <dgm:pt modelId="{CCAD1623-596F-466F-AFCE-9182771B8BBE}" type="pres">
      <dgm:prSet presAssocID="{D6671F59-7D9A-49FF-991A-B8B1149B3567}" presName="linear" presStyleCnt="0">
        <dgm:presLayoutVars>
          <dgm:animLvl val="lvl"/>
          <dgm:resizeHandles val="exact"/>
        </dgm:presLayoutVars>
      </dgm:prSet>
      <dgm:spPr/>
      <dgm:t>
        <a:bodyPr/>
        <a:lstStyle/>
        <a:p>
          <a:endParaRPr lang="en-US"/>
        </a:p>
      </dgm:t>
    </dgm:pt>
    <dgm:pt modelId="{FBA92F28-4E13-43E8-ADF3-6E381C58ED65}" type="pres">
      <dgm:prSet presAssocID="{572B110E-D801-48CE-BE70-87851DB384D9}" presName="parentText" presStyleLbl="node1" presStyleIdx="0" presStyleCnt="5">
        <dgm:presLayoutVars>
          <dgm:chMax val="0"/>
          <dgm:bulletEnabled val="1"/>
        </dgm:presLayoutVars>
      </dgm:prSet>
      <dgm:spPr/>
      <dgm:t>
        <a:bodyPr/>
        <a:lstStyle/>
        <a:p>
          <a:endParaRPr lang="en-US"/>
        </a:p>
      </dgm:t>
    </dgm:pt>
    <dgm:pt modelId="{10878E3A-60D2-4152-AE17-C6046C1D6504}" type="pres">
      <dgm:prSet presAssocID="{572B110E-D801-48CE-BE70-87851DB384D9}" presName="childText" presStyleLbl="revTx" presStyleIdx="0" presStyleCnt="5">
        <dgm:presLayoutVars>
          <dgm:bulletEnabled val="1"/>
        </dgm:presLayoutVars>
      </dgm:prSet>
      <dgm:spPr/>
      <dgm:t>
        <a:bodyPr/>
        <a:lstStyle/>
        <a:p>
          <a:endParaRPr lang="en-US"/>
        </a:p>
      </dgm:t>
    </dgm:pt>
    <dgm:pt modelId="{4F523B8C-0602-443F-A57F-3B683BE06505}" type="pres">
      <dgm:prSet presAssocID="{D3CF7640-1C88-426F-8E6B-D3A4BA64C6EB}" presName="parentText" presStyleLbl="node1" presStyleIdx="1" presStyleCnt="5">
        <dgm:presLayoutVars>
          <dgm:chMax val="0"/>
          <dgm:bulletEnabled val="1"/>
        </dgm:presLayoutVars>
      </dgm:prSet>
      <dgm:spPr/>
      <dgm:t>
        <a:bodyPr/>
        <a:lstStyle/>
        <a:p>
          <a:endParaRPr lang="en-US"/>
        </a:p>
      </dgm:t>
    </dgm:pt>
    <dgm:pt modelId="{443F8C3B-0B6F-41B8-A3CB-A3B7926F0649}" type="pres">
      <dgm:prSet presAssocID="{D3CF7640-1C88-426F-8E6B-D3A4BA64C6EB}" presName="childText" presStyleLbl="revTx" presStyleIdx="1" presStyleCnt="5">
        <dgm:presLayoutVars>
          <dgm:bulletEnabled val="1"/>
        </dgm:presLayoutVars>
      </dgm:prSet>
      <dgm:spPr/>
      <dgm:t>
        <a:bodyPr/>
        <a:lstStyle/>
        <a:p>
          <a:endParaRPr lang="en-US"/>
        </a:p>
      </dgm:t>
    </dgm:pt>
    <dgm:pt modelId="{D17F6951-2C69-49D6-A4C4-D88AC5711DAF}" type="pres">
      <dgm:prSet presAssocID="{CDECB190-4267-4C90-8588-40FE4AB13537}" presName="parentText" presStyleLbl="node1" presStyleIdx="2" presStyleCnt="5">
        <dgm:presLayoutVars>
          <dgm:chMax val="0"/>
          <dgm:bulletEnabled val="1"/>
        </dgm:presLayoutVars>
      </dgm:prSet>
      <dgm:spPr/>
      <dgm:t>
        <a:bodyPr/>
        <a:lstStyle/>
        <a:p>
          <a:endParaRPr lang="en-US"/>
        </a:p>
      </dgm:t>
    </dgm:pt>
    <dgm:pt modelId="{EEC7A2FB-D0A8-43B7-B5D4-70F26CE08E8D}" type="pres">
      <dgm:prSet presAssocID="{CDECB190-4267-4C90-8588-40FE4AB13537}" presName="childText" presStyleLbl="revTx" presStyleIdx="2" presStyleCnt="5">
        <dgm:presLayoutVars>
          <dgm:bulletEnabled val="1"/>
        </dgm:presLayoutVars>
      </dgm:prSet>
      <dgm:spPr/>
      <dgm:t>
        <a:bodyPr/>
        <a:lstStyle/>
        <a:p>
          <a:endParaRPr lang="en-US"/>
        </a:p>
      </dgm:t>
    </dgm:pt>
    <dgm:pt modelId="{B3914E37-5FB9-4539-9537-78342D8B033F}" type="pres">
      <dgm:prSet presAssocID="{1AC82CAE-FFEF-4AF2-A066-F1DDC7D1D10B}" presName="parentText" presStyleLbl="node1" presStyleIdx="3" presStyleCnt="5">
        <dgm:presLayoutVars>
          <dgm:chMax val="0"/>
          <dgm:bulletEnabled val="1"/>
        </dgm:presLayoutVars>
      </dgm:prSet>
      <dgm:spPr/>
      <dgm:t>
        <a:bodyPr/>
        <a:lstStyle/>
        <a:p>
          <a:endParaRPr lang="en-US"/>
        </a:p>
      </dgm:t>
    </dgm:pt>
    <dgm:pt modelId="{5DA09B49-08D3-49C1-90CD-0AF24D1E3380}" type="pres">
      <dgm:prSet presAssocID="{1AC82CAE-FFEF-4AF2-A066-F1DDC7D1D10B}" presName="childText" presStyleLbl="revTx" presStyleIdx="3" presStyleCnt="5">
        <dgm:presLayoutVars>
          <dgm:bulletEnabled val="1"/>
        </dgm:presLayoutVars>
      </dgm:prSet>
      <dgm:spPr/>
      <dgm:t>
        <a:bodyPr/>
        <a:lstStyle/>
        <a:p>
          <a:endParaRPr lang="en-US"/>
        </a:p>
      </dgm:t>
    </dgm:pt>
    <dgm:pt modelId="{F31CCA8D-C903-4ABB-B748-43A8344E270A}" type="pres">
      <dgm:prSet presAssocID="{BD2469D9-99CC-4C5A-BBC8-830F1F833F05}" presName="parentText" presStyleLbl="node1" presStyleIdx="4" presStyleCnt="5">
        <dgm:presLayoutVars>
          <dgm:chMax val="0"/>
          <dgm:bulletEnabled val="1"/>
        </dgm:presLayoutVars>
      </dgm:prSet>
      <dgm:spPr/>
      <dgm:t>
        <a:bodyPr/>
        <a:lstStyle/>
        <a:p>
          <a:endParaRPr lang="en-US"/>
        </a:p>
      </dgm:t>
    </dgm:pt>
    <dgm:pt modelId="{D24AC9C5-BEA3-4905-8C96-82060403CFBF}" type="pres">
      <dgm:prSet presAssocID="{BD2469D9-99CC-4C5A-BBC8-830F1F833F05}" presName="childText" presStyleLbl="revTx" presStyleIdx="4" presStyleCnt="5">
        <dgm:presLayoutVars>
          <dgm:bulletEnabled val="1"/>
        </dgm:presLayoutVars>
      </dgm:prSet>
      <dgm:spPr/>
      <dgm:t>
        <a:bodyPr/>
        <a:lstStyle/>
        <a:p>
          <a:endParaRPr lang="en-US"/>
        </a:p>
      </dgm:t>
    </dgm:pt>
  </dgm:ptLst>
  <dgm:cxnLst>
    <dgm:cxn modelId="{2B6760E8-B700-4C68-ACD6-EE5BDCE70613}" srcId="{BD2469D9-99CC-4C5A-BBC8-830F1F833F05}" destId="{86461848-7157-4A6C-B54B-388E9E76892A}" srcOrd="0" destOrd="0" parTransId="{F8DCBF26-1E68-42A4-BA05-7A8F20289A3D}" sibTransId="{DD6D588A-5165-404C-9E63-18B5186160D0}"/>
    <dgm:cxn modelId="{28BB65C1-B68B-48C4-81F0-85C981B037CB}" srcId="{D6671F59-7D9A-49FF-991A-B8B1149B3567}" destId="{572B110E-D801-48CE-BE70-87851DB384D9}" srcOrd="0" destOrd="0" parTransId="{CCA01126-B480-457D-B0C4-B0896BE79144}" sibTransId="{C3E9E5C7-5E15-42EA-A64D-1B6C843CBA87}"/>
    <dgm:cxn modelId="{447EE980-F2C7-45B5-98D7-2737F07D1099}" type="presOf" srcId="{CDECB190-4267-4C90-8588-40FE4AB13537}" destId="{D17F6951-2C69-49D6-A4C4-D88AC5711DAF}" srcOrd="0" destOrd="0" presId="urn:microsoft.com/office/officeart/2005/8/layout/vList2"/>
    <dgm:cxn modelId="{F70D047B-C67D-4A08-934A-A273AAAADE1C}" type="presOf" srcId="{572B110E-D801-48CE-BE70-87851DB384D9}" destId="{FBA92F28-4E13-43E8-ADF3-6E381C58ED65}" srcOrd="0" destOrd="0" presId="urn:microsoft.com/office/officeart/2005/8/layout/vList2"/>
    <dgm:cxn modelId="{91EE04EE-D946-4095-9EE1-B91CFD230685}" srcId="{1AC82CAE-FFEF-4AF2-A066-F1DDC7D1D10B}" destId="{0D1E8D2F-69CB-4A6C-AD3D-9CAB8F7B52A8}" srcOrd="0" destOrd="0" parTransId="{3DF88820-A548-4FDB-A187-32769D9F13F0}" sibTransId="{A9B3B24E-26CD-4461-8B30-7E03C46F7929}"/>
    <dgm:cxn modelId="{F13B0F7E-74F1-4836-A13F-BA3825B3DF9F}" type="presOf" srcId="{D3CF7640-1C88-426F-8E6B-D3A4BA64C6EB}" destId="{4F523B8C-0602-443F-A57F-3B683BE06505}" srcOrd="0" destOrd="0" presId="urn:microsoft.com/office/officeart/2005/8/layout/vList2"/>
    <dgm:cxn modelId="{85217BD2-C97F-4C44-91A9-67234326B41A}" srcId="{D6671F59-7D9A-49FF-991A-B8B1149B3567}" destId="{BD2469D9-99CC-4C5A-BBC8-830F1F833F05}" srcOrd="4" destOrd="0" parTransId="{A9951CAF-D7FC-44DD-A80F-2D3D524B1113}" sibTransId="{9D37AF45-777F-4185-88E8-9A80DE46B002}"/>
    <dgm:cxn modelId="{C7778679-148C-40D8-A0DF-C06F34366435}" srcId="{CDECB190-4267-4C90-8588-40FE4AB13537}" destId="{5F72B148-A61B-4410-85C5-9054378264F0}" srcOrd="0" destOrd="0" parTransId="{19676C63-2424-474C-AAF8-6CFCFED29502}" sibTransId="{B7482F24-BF6B-4BCC-95F1-F86E91F86FB6}"/>
    <dgm:cxn modelId="{2F073CA9-DCDF-4517-9627-3BF47146E850}" type="presOf" srcId="{CADFA047-34D2-4624-9106-0648FE235AAA}" destId="{10878E3A-60D2-4152-AE17-C6046C1D6504}" srcOrd="0" destOrd="0" presId="urn:microsoft.com/office/officeart/2005/8/layout/vList2"/>
    <dgm:cxn modelId="{945BABD0-4889-4B81-B50E-4C19B88CF3F7}" srcId="{572B110E-D801-48CE-BE70-87851DB384D9}" destId="{CADFA047-34D2-4624-9106-0648FE235AAA}" srcOrd="0" destOrd="0" parTransId="{865E6B88-F376-4E7D-9885-48CA2911D67F}" sibTransId="{FF44DF72-D181-4C57-8D6C-95CDF8559DF6}"/>
    <dgm:cxn modelId="{727CD6DD-11B8-4B42-ACA7-ED36AD690A2D}" type="presOf" srcId="{BD2469D9-99CC-4C5A-BBC8-830F1F833F05}" destId="{F31CCA8D-C903-4ABB-B748-43A8344E270A}" srcOrd="0" destOrd="0" presId="urn:microsoft.com/office/officeart/2005/8/layout/vList2"/>
    <dgm:cxn modelId="{B2F244B5-5F3F-4C9D-A59A-97F502EC6ACE}" type="presOf" srcId="{D6671F59-7D9A-49FF-991A-B8B1149B3567}" destId="{CCAD1623-596F-466F-AFCE-9182771B8BBE}" srcOrd="0" destOrd="0" presId="urn:microsoft.com/office/officeart/2005/8/layout/vList2"/>
    <dgm:cxn modelId="{BE1CB8E1-5176-4213-B905-2F20345FB308}" type="presOf" srcId="{AF1EEB2A-E205-48E2-B486-0855470E78DD}" destId="{443F8C3B-0B6F-41B8-A3CB-A3B7926F0649}" srcOrd="0" destOrd="0" presId="urn:microsoft.com/office/officeart/2005/8/layout/vList2"/>
    <dgm:cxn modelId="{BFDA6480-CB55-4811-A65D-7D6AB900F104}" srcId="{D3CF7640-1C88-426F-8E6B-D3A4BA64C6EB}" destId="{AF1EEB2A-E205-48E2-B486-0855470E78DD}" srcOrd="0" destOrd="0" parTransId="{C371CDFA-CC60-46EF-BFF0-F5D488363FFE}" sibTransId="{5F4CDDC7-EE84-4FCC-8915-174DD18EF50C}"/>
    <dgm:cxn modelId="{2F6D5354-6AD5-47EF-917B-D4D6E5A40637}" srcId="{D6671F59-7D9A-49FF-991A-B8B1149B3567}" destId="{D3CF7640-1C88-426F-8E6B-D3A4BA64C6EB}" srcOrd="1" destOrd="0" parTransId="{B1765C55-231D-4EEB-AEF5-AF36F373209C}" sibTransId="{72F21D86-6C66-485C-9A15-70C2A93092ED}"/>
    <dgm:cxn modelId="{0308026A-4471-4435-A034-A8FDC0DBFD44}" type="presOf" srcId="{5F72B148-A61B-4410-85C5-9054378264F0}" destId="{EEC7A2FB-D0A8-43B7-B5D4-70F26CE08E8D}" srcOrd="0" destOrd="0" presId="urn:microsoft.com/office/officeart/2005/8/layout/vList2"/>
    <dgm:cxn modelId="{CA060380-FB04-4A20-84B5-773505C7A7F4}" type="presOf" srcId="{86461848-7157-4A6C-B54B-388E9E76892A}" destId="{D24AC9C5-BEA3-4905-8C96-82060403CFBF}" srcOrd="0" destOrd="0" presId="urn:microsoft.com/office/officeart/2005/8/layout/vList2"/>
    <dgm:cxn modelId="{B5997937-E9F4-4C7D-8196-1B9D57FEBC81}" type="presOf" srcId="{0D1E8D2F-69CB-4A6C-AD3D-9CAB8F7B52A8}" destId="{5DA09B49-08D3-49C1-90CD-0AF24D1E3380}" srcOrd="0" destOrd="0" presId="urn:microsoft.com/office/officeart/2005/8/layout/vList2"/>
    <dgm:cxn modelId="{4AD1C3E7-5B20-4F13-AA75-EC79B103CE0D}" srcId="{D6671F59-7D9A-49FF-991A-B8B1149B3567}" destId="{CDECB190-4267-4C90-8588-40FE4AB13537}" srcOrd="2" destOrd="0" parTransId="{A61796CA-A308-4220-A979-616FAF08315E}" sibTransId="{636FF17B-6A7B-485B-A426-8DB6DE2D28FA}"/>
    <dgm:cxn modelId="{6171F2EA-DCAC-4B6E-9B44-E4B6A614960D}" type="presOf" srcId="{1AC82CAE-FFEF-4AF2-A066-F1DDC7D1D10B}" destId="{B3914E37-5FB9-4539-9537-78342D8B033F}" srcOrd="0" destOrd="0" presId="urn:microsoft.com/office/officeart/2005/8/layout/vList2"/>
    <dgm:cxn modelId="{5E6B7AA4-3566-46EC-B63C-8983E0CE3DA1}" srcId="{D6671F59-7D9A-49FF-991A-B8B1149B3567}" destId="{1AC82CAE-FFEF-4AF2-A066-F1DDC7D1D10B}" srcOrd="3" destOrd="0" parTransId="{721051C6-312F-4E21-871A-3FC4D395E733}" sibTransId="{5DB7C083-43E4-46A9-96EC-69BB822F08FE}"/>
    <dgm:cxn modelId="{52E5BD1B-7B01-4C77-92E2-8E80ECB60C86}" type="presParOf" srcId="{CCAD1623-596F-466F-AFCE-9182771B8BBE}" destId="{FBA92F28-4E13-43E8-ADF3-6E381C58ED65}" srcOrd="0" destOrd="0" presId="urn:microsoft.com/office/officeart/2005/8/layout/vList2"/>
    <dgm:cxn modelId="{3C005100-0630-456C-97C6-35AD0868C612}" type="presParOf" srcId="{CCAD1623-596F-466F-AFCE-9182771B8BBE}" destId="{10878E3A-60D2-4152-AE17-C6046C1D6504}" srcOrd="1" destOrd="0" presId="urn:microsoft.com/office/officeart/2005/8/layout/vList2"/>
    <dgm:cxn modelId="{6E4153EE-9E6F-493C-8E98-10999B2B8508}" type="presParOf" srcId="{CCAD1623-596F-466F-AFCE-9182771B8BBE}" destId="{4F523B8C-0602-443F-A57F-3B683BE06505}" srcOrd="2" destOrd="0" presId="urn:microsoft.com/office/officeart/2005/8/layout/vList2"/>
    <dgm:cxn modelId="{DC4B66C7-773A-4859-8024-93D344544CAB}" type="presParOf" srcId="{CCAD1623-596F-466F-AFCE-9182771B8BBE}" destId="{443F8C3B-0B6F-41B8-A3CB-A3B7926F0649}" srcOrd="3" destOrd="0" presId="urn:microsoft.com/office/officeart/2005/8/layout/vList2"/>
    <dgm:cxn modelId="{B25B501D-708F-442C-AAF9-12AA45A2537A}" type="presParOf" srcId="{CCAD1623-596F-466F-AFCE-9182771B8BBE}" destId="{D17F6951-2C69-49D6-A4C4-D88AC5711DAF}" srcOrd="4" destOrd="0" presId="urn:microsoft.com/office/officeart/2005/8/layout/vList2"/>
    <dgm:cxn modelId="{93F6F84D-AB78-4A91-90F8-571375098628}" type="presParOf" srcId="{CCAD1623-596F-466F-AFCE-9182771B8BBE}" destId="{EEC7A2FB-D0A8-43B7-B5D4-70F26CE08E8D}" srcOrd="5" destOrd="0" presId="urn:microsoft.com/office/officeart/2005/8/layout/vList2"/>
    <dgm:cxn modelId="{73BAD48D-B2EB-4BED-9CD8-4C5DCF37AFC0}" type="presParOf" srcId="{CCAD1623-596F-466F-AFCE-9182771B8BBE}" destId="{B3914E37-5FB9-4539-9537-78342D8B033F}" srcOrd="6" destOrd="0" presId="urn:microsoft.com/office/officeart/2005/8/layout/vList2"/>
    <dgm:cxn modelId="{2EE5564B-0BA2-466A-BCE4-18D4DC852740}" type="presParOf" srcId="{CCAD1623-596F-466F-AFCE-9182771B8BBE}" destId="{5DA09B49-08D3-49C1-90CD-0AF24D1E3380}" srcOrd="7" destOrd="0" presId="urn:microsoft.com/office/officeart/2005/8/layout/vList2"/>
    <dgm:cxn modelId="{9CEFBEF6-96D4-4697-8C6C-585D97965697}" type="presParOf" srcId="{CCAD1623-596F-466F-AFCE-9182771B8BBE}" destId="{F31CCA8D-C903-4ABB-B748-43A8344E270A}" srcOrd="8" destOrd="0" presId="urn:microsoft.com/office/officeart/2005/8/layout/vList2"/>
    <dgm:cxn modelId="{3EFB5782-6E4A-4AA5-9A21-BEA40AAF357A}" type="presParOf" srcId="{CCAD1623-596F-466F-AFCE-9182771B8BBE}" destId="{D24AC9C5-BEA3-4905-8C96-82060403CFBF}" srcOrd="9"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92F28-4E13-43E8-ADF3-6E381C58ED65}">
      <dsp:nvSpPr>
        <dsp:cNvPr id="0" name=""/>
        <dsp:cNvSpPr/>
      </dsp:nvSpPr>
      <dsp:spPr>
        <a:xfrm>
          <a:off x="0" y="3784"/>
          <a:ext cx="4402455" cy="33579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i="0" kern="1200"/>
            <a:t>Division of Corporate Finance</a:t>
          </a:r>
          <a:endParaRPr lang="en-US" sz="1400" kern="1200"/>
        </a:p>
      </dsp:txBody>
      <dsp:txXfrm>
        <a:off x="16392" y="20176"/>
        <a:ext cx="4369671" cy="303006"/>
      </dsp:txXfrm>
    </dsp:sp>
    <dsp:sp modelId="{10878E3A-60D2-4152-AE17-C6046C1D6504}">
      <dsp:nvSpPr>
        <dsp:cNvPr id="0" name=""/>
        <dsp:cNvSpPr/>
      </dsp:nvSpPr>
      <dsp:spPr>
        <a:xfrm>
          <a:off x="0" y="339575"/>
          <a:ext cx="440245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78"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Provide investors with material information</a:t>
          </a:r>
          <a:endParaRPr lang="en-US" sz="1100" kern="1200"/>
        </a:p>
      </dsp:txBody>
      <dsp:txXfrm>
        <a:off x="0" y="339575"/>
        <a:ext cx="4402455" cy="231840"/>
      </dsp:txXfrm>
    </dsp:sp>
    <dsp:sp modelId="{4F523B8C-0602-443F-A57F-3B683BE06505}">
      <dsp:nvSpPr>
        <dsp:cNvPr id="0" name=""/>
        <dsp:cNvSpPr/>
      </dsp:nvSpPr>
      <dsp:spPr>
        <a:xfrm>
          <a:off x="0" y="571415"/>
          <a:ext cx="4402455" cy="33579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i="0" kern="1200"/>
            <a:t>Division of Enforcement</a:t>
          </a:r>
          <a:endParaRPr lang="en-US" sz="1400" kern="1200"/>
        </a:p>
      </dsp:txBody>
      <dsp:txXfrm>
        <a:off x="16392" y="587807"/>
        <a:ext cx="4369671" cy="303006"/>
      </dsp:txXfrm>
    </dsp:sp>
    <dsp:sp modelId="{443F8C3B-0B6F-41B8-A3CB-A3B7926F0649}">
      <dsp:nvSpPr>
        <dsp:cNvPr id="0" name=""/>
        <dsp:cNvSpPr/>
      </dsp:nvSpPr>
      <dsp:spPr>
        <a:xfrm>
          <a:off x="0" y="907205"/>
          <a:ext cx="440245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78"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Enforces SEC regulations</a:t>
          </a:r>
          <a:endParaRPr lang="en-US" sz="1100" kern="1200"/>
        </a:p>
      </dsp:txBody>
      <dsp:txXfrm>
        <a:off x="0" y="907205"/>
        <a:ext cx="4402455" cy="231840"/>
      </dsp:txXfrm>
    </dsp:sp>
    <dsp:sp modelId="{D17F6951-2C69-49D6-A4C4-D88AC5711DAF}">
      <dsp:nvSpPr>
        <dsp:cNvPr id="0" name=""/>
        <dsp:cNvSpPr/>
      </dsp:nvSpPr>
      <dsp:spPr>
        <a:xfrm>
          <a:off x="0" y="1139045"/>
          <a:ext cx="4402455" cy="33579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i="0" kern="1200"/>
            <a:t>Division of Investment Management</a:t>
          </a:r>
          <a:endParaRPr lang="en-US" sz="1400" kern="1200"/>
        </a:p>
      </dsp:txBody>
      <dsp:txXfrm>
        <a:off x="16392" y="1155437"/>
        <a:ext cx="4369671" cy="303006"/>
      </dsp:txXfrm>
    </dsp:sp>
    <dsp:sp modelId="{EEC7A2FB-D0A8-43B7-B5D4-70F26CE08E8D}">
      <dsp:nvSpPr>
        <dsp:cNvPr id="0" name=""/>
        <dsp:cNvSpPr/>
      </dsp:nvSpPr>
      <dsp:spPr>
        <a:xfrm>
          <a:off x="0" y="1474835"/>
          <a:ext cx="440245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78"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Regulates investment companies</a:t>
          </a:r>
          <a:endParaRPr lang="en-US" sz="1100" kern="1200"/>
        </a:p>
      </dsp:txBody>
      <dsp:txXfrm>
        <a:off x="0" y="1474835"/>
        <a:ext cx="4402455" cy="231840"/>
      </dsp:txXfrm>
    </dsp:sp>
    <dsp:sp modelId="{B3914E37-5FB9-4539-9537-78342D8B033F}">
      <dsp:nvSpPr>
        <dsp:cNvPr id="0" name=""/>
        <dsp:cNvSpPr/>
      </dsp:nvSpPr>
      <dsp:spPr>
        <a:xfrm>
          <a:off x="0" y="1706675"/>
          <a:ext cx="4402455" cy="33579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i="0" kern="1200"/>
            <a:t>Division of Economic and Risk Analysis</a:t>
          </a:r>
          <a:endParaRPr lang="en-US" sz="1400" b="1" kern="1200"/>
        </a:p>
      </dsp:txBody>
      <dsp:txXfrm>
        <a:off x="16392" y="1723067"/>
        <a:ext cx="4369671" cy="303006"/>
      </dsp:txXfrm>
    </dsp:sp>
    <dsp:sp modelId="{5DA09B49-08D3-49C1-90CD-0AF24D1E3380}">
      <dsp:nvSpPr>
        <dsp:cNvPr id="0" name=""/>
        <dsp:cNvSpPr/>
      </dsp:nvSpPr>
      <dsp:spPr>
        <a:xfrm>
          <a:off x="0" y="2042465"/>
          <a:ext cx="4402455"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78"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Integrates economics and data analytics into the core mission of the SEC.</a:t>
          </a:r>
          <a:r>
            <a:rPr lang="en-US" sz="1100" b="0" i="0" u="none" kern="1200"/>
            <a:t>10</a:t>
          </a:r>
          <a:endParaRPr lang="en-US" sz="1100" b="1" kern="1200"/>
        </a:p>
      </dsp:txBody>
      <dsp:txXfrm>
        <a:off x="0" y="2042465"/>
        <a:ext cx="4402455" cy="347760"/>
      </dsp:txXfrm>
    </dsp:sp>
    <dsp:sp modelId="{F31CCA8D-C903-4ABB-B748-43A8344E270A}">
      <dsp:nvSpPr>
        <dsp:cNvPr id="0" name=""/>
        <dsp:cNvSpPr/>
      </dsp:nvSpPr>
      <dsp:spPr>
        <a:xfrm>
          <a:off x="0" y="2390225"/>
          <a:ext cx="4402455" cy="33579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i="0" kern="1200"/>
            <a:t>Division of Trading and Markets</a:t>
          </a:r>
          <a:endParaRPr lang="en-US" sz="1400" b="0" i="0" kern="1200"/>
        </a:p>
      </dsp:txBody>
      <dsp:txXfrm>
        <a:off x="16392" y="2406617"/>
        <a:ext cx="4369671" cy="303006"/>
      </dsp:txXfrm>
    </dsp:sp>
    <dsp:sp modelId="{D24AC9C5-BEA3-4905-8C96-82060403CFBF}">
      <dsp:nvSpPr>
        <dsp:cNvPr id="0" name=""/>
        <dsp:cNvSpPr/>
      </dsp:nvSpPr>
      <dsp:spPr>
        <a:xfrm>
          <a:off x="0" y="2726015"/>
          <a:ext cx="440245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78"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Establishes and maintains standards</a:t>
          </a:r>
        </a:p>
      </dsp:txBody>
      <dsp:txXfrm>
        <a:off x="0" y="2726015"/>
        <a:ext cx="4402455" cy="23184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3645C-8560-425B-BEED-3F1D1F8C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14</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2024-06-12T18:55:00Z</dcterms:created>
  <dcterms:modified xsi:type="dcterms:W3CDTF">2024-06-26T11:44:00Z</dcterms:modified>
</cp:coreProperties>
</file>