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2E" w:rsidRDefault="00DD1A2E" w:rsidP="00DD1A2E">
      <w:pPr>
        <w:pStyle w:val="Heading1"/>
        <w:spacing w:line="480" w:lineRule="auto"/>
      </w:pPr>
      <w:bookmarkStart w:id="0" w:name="_Toc168681394"/>
      <w:bookmarkStart w:id="1" w:name="_Toc169018610"/>
      <w:bookmarkStart w:id="2" w:name="_Toc169099747"/>
      <w:bookmarkStart w:id="3" w:name="_Toc169194466"/>
      <w:bookmarkStart w:id="4" w:name="_Toc169526155"/>
      <w:bookmarkStart w:id="5" w:name="_Toc169624170"/>
      <w:r>
        <w:rPr>
          <w:noProof/>
        </w:rPr>
        <w:drawing>
          <wp:anchor distT="0" distB="0" distL="114300" distR="114300" simplePos="0" relativeHeight="251661312" behindDoc="0" locked="0" layoutInCell="1" allowOverlap="1" wp14:anchorId="57D975F8" wp14:editId="4C8F8A67">
            <wp:simplePos x="0" y="0"/>
            <wp:positionH relativeFrom="column">
              <wp:posOffset>1632857</wp:posOffset>
            </wp:positionH>
            <wp:positionV relativeFrom="paragraph">
              <wp:align>top</wp:align>
            </wp:positionV>
            <wp:extent cx="2838450" cy="1286510"/>
            <wp:effectExtent l="0" t="0" r="0" b="8890"/>
            <wp:wrapSquare wrapText="bothSides"/>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286510"/>
                    </a:xfrm>
                    <a:prstGeom prst="rect">
                      <a:avLst/>
                    </a:prstGeom>
                    <a:noFill/>
                    <a:ln>
                      <a:noFill/>
                    </a:ln>
                  </pic:spPr>
                </pic:pic>
              </a:graphicData>
            </a:graphic>
          </wp:anchor>
        </w:drawing>
      </w:r>
      <w:bookmarkEnd w:id="0"/>
      <w:bookmarkEnd w:id="1"/>
      <w:bookmarkEnd w:id="2"/>
      <w:bookmarkEnd w:id="3"/>
      <w:bookmarkEnd w:id="4"/>
      <w:bookmarkEnd w:id="5"/>
      <w:r>
        <w:br w:type="textWrapping" w:clear="all"/>
      </w:r>
    </w:p>
    <w:p w:rsidR="00DD1A2E" w:rsidRDefault="00DD1A2E" w:rsidP="00DD1A2E">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DD1A2E" w:rsidRPr="00DF16FE" w:rsidRDefault="00DD1A2E" w:rsidP="00DD1A2E">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DD1A2E" w:rsidRDefault="00DD1A2E" w:rsidP="00DD1A2E">
      <w:pPr>
        <w:jc w:val="center"/>
        <w:rPr>
          <w:b/>
          <w:sz w:val="28"/>
        </w:rPr>
      </w:pPr>
      <w:r>
        <w:rPr>
          <w:b/>
          <w:sz w:val="28"/>
        </w:rPr>
        <w:t>VOLCKER’S RULE AND RETAIL BANKING OPERATIONS</w:t>
      </w:r>
    </w:p>
    <w:p w:rsidR="00DD1A2E" w:rsidRDefault="00DD1A2E" w:rsidP="00DD1A2E">
      <w:pPr>
        <w:jc w:val="center"/>
        <w:rPr>
          <w:b/>
          <w:sz w:val="28"/>
        </w:rPr>
      </w:pPr>
    </w:p>
    <w:p w:rsidR="00DD1A2E" w:rsidRPr="00DF16FE" w:rsidRDefault="00DD1A2E" w:rsidP="00DD1A2E">
      <w:pPr>
        <w:jc w:val="center"/>
        <w:rPr>
          <w:b/>
          <w:sz w:val="28"/>
        </w:rPr>
      </w:pPr>
    </w:p>
    <w:p w:rsidR="00DD1A2E" w:rsidRPr="00DF16FE" w:rsidRDefault="00DD1A2E" w:rsidP="00DD1A2E">
      <w:pPr>
        <w:jc w:val="center"/>
        <w:rPr>
          <w:b/>
          <w:sz w:val="28"/>
        </w:rPr>
      </w:pPr>
      <w:bookmarkStart w:id="14" w:name="_Toc168493929"/>
      <w:bookmarkStart w:id="15" w:name="_Toc168494040"/>
      <w:bookmarkStart w:id="16" w:name="_Toc168681398"/>
      <w:bookmarkStart w:id="17" w:name="_Toc169018613"/>
      <w:bookmarkStart w:id="18" w:name="_Toc169099751"/>
      <w:bookmarkStart w:id="19" w:name="_Toc169194470"/>
      <w:bookmarkStart w:id="20" w:name="_Toc169526158"/>
      <w:bookmarkStart w:id="21" w:name="_Toc169624173"/>
      <w:r w:rsidRPr="00DF16FE">
        <w:rPr>
          <w:b/>
          <w:sz w:val="28"/>
        </w:rPr>
        <w:t>Under Supervision of:</w:t>
      </w:r>
      <w:bookmarkEnd w:id="14"/>
      <w:bookmarkEnd w:id="15"/>
      <w:bookmarkEnd w:id="16"/>
      <w:bookmarkEnd w:id="17"/>
      <w:bookmarkEnd w:id="18"/>
      <w:bookmarkEnd w:id="19"/>
      <w:bookmarkEnd w:id="20"/>
      <w:bookmarkEnd w:id="21"/>
    </w:p>
    <w:p w:rsidR="00DD1A2E" w:rsidRPr="00DF16FE" w:rsidRDefault="00DD1A2E" w:rsidP="00DD1A2E">
      <w:pPr>
        <w:jc w:val="center"/>
        <w:rPr>
          <w:b/>
          <w:sz w:val="28"/>
        </w:rPr>
      </w:pPr>
      <w:bookmarkStart w:id="22" w:name="_Toc168493930"/>
      <w:bookmarkStart w:id="23" w:name="_Toc168494041"/>
      <w:bookmarkStart w:id="24" w:name="_Toc168681399"/>
      <w:bookmarkStart w:id="25" w:name="_Toc169018614"/>
      <w:bookmarkStart w:id="26" w:name="_Toc169099752"/>
      <w:bookmarkStart w:id="27" w:name="_Toc169194471"/>
      <w:bookmarkStart w:id="28" w:name="_Toc169526159"/>
      <w:bookmarkStart w:id="29" w:name="_Toc169624174"/>
      <w:r w:rsidRPr="00DF16FE">
        <w:rPr>
          <w:b/>
          <w:sz w:val="28"/>
        </w:rPr>
        <w:t xml:space="preserve">Mr. Mohammad </w:t>
      </w:r>
      <w:proofErr w:type="spellStart"/>
      <w:r w:rsidRPr="00DF16FE">
        <w:rPr>
          <w:b/>
          <w:sz w:val="28"/>
        </w:rPr>
        <w:t>Mozammil</w:t>
      </w:r>
      <w:bookmarkEnd w:id="22"/>
      <w:bookmarkEnd w:id="23"/>
      <w:bookmarkEnd w:id="24"/>
      <w:bookmarkEnd w:id="25"/>
      <w:bookmarkEnd w:id="26"/>
      <w:bookmarkEnd w:id="27"/>
      <w:bookmarkEnd w:id="28"/>
      <w:bookmarkEnd w:id="29"/>
      <w:proofErr w:type="spellEnd"/>
    </w:p>
    <w:p w:rsidR="00DD1A2E" w:rsidRDefault="00DD1A2E" w:rsidP="00DD1A2E">
      <w:pPr>
        <w:jc w:val="center"/>
        <w:rPr>
          <w:b/>
          <w:sz w:val="28"/>
        </w:rPr>
      </w:pPr>
      <w:bookmarkStart w:id="30" w:name="_Toc168493931"/>
      <w:bookmarkStart w:id="31" w:name="_Toc168494042"/>
      <w:bookmarkStart w:id="32" w:name="_Toc168681400"/>
      <w:bookmarkStart w:id="33" w:name="_Toc169018615"/>
      <w:bookmarkStart w:id="34" w:name="_Toc169099753"/>
      <w:bookmarkStart w:id="35" w:name="_Toc169194472"/>
      <w:bookmarkStart w:id="36" w:name="_Toc169526160"/>
      <w:bookmarkStart w:id="37" w:name="_Toc169624175"/>
    </w:p>
    <w:p w:rsidR="00DD1A2E" w:rsidRPr="00DF16FE" w:rsidRDefault="00DD1A2E" w:rsidP="00DD1A2E">
      <w:pPr>
        <w:jc w:val="center"/>
        <w:rPr>
          <w:b/>
          <w:sz w:val="28"/>
        </w:rPr>
      </w:pPr>
    </w:p>
    <w:p w:rsidR="00DD1A2E" w:rsidRPr="00DF16FE" w:rsidRDefault="00DD1A2E" w:rsidP="00DD1A2E">
      <w:pPr>
        <w:jc w:val="center"/>
        <w:rPr>
          <w:b/>
          <w:sz w:val="28"/>
        </w:rPr>
      </w:pPr>
      <w:r w:rsidRPr="00DF16FE">
        <w:rPr>
          <w:b/>
          <w:sz w:val="28"/>
        </w:rPr>
        <w:t>Submitted On:</w:t>
      </w:r>
    </w:p>
    <w:p w:rsidR="00DD1A2E" w:rsidRPr="00DF16FE" w:rsidRDefault="00DD1A2E" w:rsidP="00DD1A2E">
      <w:pPr>
        <w:jc w:val="center"/>
        <w:rPr>
          <w:b/>
          <w:sz w:val="28"/>
        </w:rPr>
      </w:pPr>
      <w:r>
        <w:rPr>
          <w:b/>
          <w:sz w:val="28"/>
        </w:rPr>
        <w:t>1</w:t>
      </w:r>
      <w:r>
        <w:rPr>
          <w:b/>
          <w:sz w:val="28"/>
        </w:rPr>
        <w:t>7</w:t>
      </w:r>
      <w:r w:rsidRPr="00DF16FE">
        <w:rPr>
          <w:b/>
          <w:sz w:val="28"/>
          <w:vertAlign w:val="superscript"/>
        </w:rPr>
        <w:t xml:space="preserve">th </w:t>
      </w:r>
      <w:r w:rsidRPr="00DF16FE">
        <w:rPr>
          <w:b/>
          <w:sz w:val="28"/>
        </w:rPr>
        <w:t>June, 2024</w:t>
      </w:r>
    </w:p>
    <w:p w:rsidR="00DD1A2E" w:rsidRDefault="00DD1A2E" w:rsidP="00DD1A2E">
      <w:pPr>
        <w:rPr>
          <w:b/>
          <w:sz w:val="28"/>
        </w:rPr>
      </w:pPr>
    </w:p>
    <w:p w:rsidR="00DD1A2E" w:rsidRPr="00DF16FE" w:rsidRDefault="00DD1A2E" w:rsidP="00DD1A2E">
      <w:pPr>
        <w:rPr>
          <w:b/>
          <w:sz w:val="28"/>
        </w:rPr>
      </w:pPr>
    </w:p>
    <w:p w:rsidR="00DD1A2E" w:rsidRPr="00DF16FE" w:rsidRDefault="00DD1A2E" w:rsidP="00DD1A2E">
      <w:pPr>
        <w:jc w:val="center"/>
        <w:rPr>
          <w:b/>
          <w:sz w:val="28"/>
        </w:rPr>
      </w:pPr>
      <w:r w:rsidRPr="00DF16FE">
        <w:rPr>
          <w:b/>
          <w:sz w:val="28"/>
        </w:rPr>
        <w:t>Submitted By:</w:t>
      </w:r>
      <w:bookmarkEnd w:id="30"/>
      <w:bookmarkEnd w:id="31"/>
      <w:bookmarkEnd w:id="32"/>
      <w:bookmarkEnd w:id="33"/>
      <w:bookmarkEnd w:id="34"/>
      <w:bookmarkEnd w:id="35"/>
      <w:bookmarkEnd w:id="36"/>
      <w:bookmarkEnd w:id="37"/>
    </w:p>
    <w:p w:rsidR="00DD1A2E" w:rsidRDefault="00DD1A2E" w:rsidP="00DD1A2E">
      <w:pPr>
        <w:jc w:val="center"/>
        <w:rPr>
          <w:b/>
          <w:sz w:val="28"/>
        </w:rPr>
      </w:pPr>
      <w:bookmarkStart w:id="38" w:name="_Toc168493932"/>
      <w:bookmarkStart w:id="39" w:name="_Toc168494043"/>
      <w:bookmarkStart w:id="40" w:name="_Toc168681401"/>
      <w:bookmarkStart w:id="41" w:name="_Toc169018616"/>
      <w:bookmarkStart w:id="42" w:name="_Toc169099754"/>
      <w:bookmarkStart w:id="43" w:name="_Toc169194473"/>
      <w:bookmarkStart w:id="44" w:name="_Toc169526161"/>
      <w:bookmarkStart w:id="45" w:name="_Toc169624176"/>
      <w:proofErr w:type="spellStart"/>
      <w:r w:rsidRPr="00C671DF">
        <w:rPr>
          <w:b/>
          <w:sz w:val="28"/>
        </w:rPr>
        <w:t>Archita</w:t>
      </w:r>
      <w:proofErr w:type="spellEnd"/>
      <w:r w:rsidRPr="00C671DF">
        <w:rPr>
          <w:b/>
          <w:sz w:val="28"/>
        </w:rPr>
        <w:t xml:space="preserve"> Gupta</w:t>
      </w:r>
      <w:bookmarkEnd w:id="38"/>
      <w:bookmarkEnd w:id="39"/>
      <w:bookmarkEnd w:id="40"/>
      <w:bookmarkEnd w:id="41"/>
      <w:bookmarkEnd w:id="42"/>
      <w:bookmarkEnd w:id="43"/>
      <w:bookmarkEnd w:id="44"/>
      <w:bookmarkEnd w:id="45"/>
    </w:p>
    <w:p w:rsidR="00DD1A2E" w:rsidRPr="00C671DF" w:rsidRDefault="00DD1A2E" w:rsidP="00DD1A2E">
      <w:pPr>
        <w:jc w:val="center"/>
        <w:rPr>
          <w:b/>
          <w:sz w:val="28"/>
        </w:rPr>
      </w:pPr>
      <w:bookmarkStart w:id="46" w:name="_GoBack"/>
      <w:bookmarkEnd w:id="46"/>
    </w:p>
    <w:sdt>
      <w:sdtPr>
        <w:rPr>
          <w:rFonts w:asciiTheme="minorHAnsi" w:eastAsiaTheme="minorHAnsi" w:hAnsiTheme="minorHAnsi" w:cstheme="minorBidi"/>
          <w:b w:val="0"/>
          <w:bCs w:val="0"/>
          <w:color w:val="auto"/>
          <w:sz w:val="22"/>
          <w:szCs w:val="22"/>
          <w:lang w:eastAsia="en-US"/>
        </w:rPr>
        <w:id w:val="103002264"/>
        <w:docPartObj>
          <w:docPartGallery w:val="Table of Contents"/>
          <w:docPartUnique/>
        </w:docPartObj>
      </w:sdtPr>
      <w:sdtEndPr>
        <w:rPr>
          <w:noProof/>
        </w:rPr>
      </w:sdtEndPr>
      <w:sdtContent>
        <w:p w:rsidR="009313B9" w:rsidRDefault="009313B9">
          <w:pPr>
            <w:pStyle w:val="TOCHeading"/>
          </w:pPr>
          <w:r>
            <w:t>Table of Contents</w:t>
          </w:r>
        </w:p>
        <w:p w:rsidR="009313B9" w:rsidRDefault="009313B9">
          <w:pPr>
            <w:pStyle w:val="TOC1"/>
            <w:tabs>
              <w:tab w:val="right" w:leader="dot" w:pos="9350"/>
            </w:tabs>
            <w:rPr>
              <w:noProof/>
            </w:rPr>
          </w:pPr>
          <w:r>
            <w:fldChar w:fldCharType="begin"/>
          </w:r>
          <w:r>
            <w:instrText xml:space="preserve"> TOC \o "1-3" \h \z \u </w:instrText>
          </w:r>
          <w:r>
            <w:fldChar w:fldCharType="separate"/>
          </w:r>
          <w:hyperlink w:anchor="_Toc169526162" w:history="1">
            <w:r w:rsidRPr="00CB46BE">
              <w:rPr>
                <w:rStyle w:val="Hyperlink"/>
                <w:noProof/>
              </w:rPr>
              <w:t>Volcker’s Rule</w:t>
            </w:r>
            <w:r>
              <w:rPr>
                <w:noProof/>
                <w:webHidden/>
              </w:rPr>
              <w:tab/>
            </w:r>
            <w:r>
              <w:rPr>
                <w:noProof/>
                <w:webHidden/>
              </w:rPr>
              <w:fldChar w:fldCharType="begin"/>
            </w:r>
            <w:r>
              <w:rPr>
                <w:noProof/>
                <w:webHidden/>
              </w:rPr>
              <w:instrText xml:space="preserve"> PAGEREF _Toc169526162 \h </w:instrText>
            </w:r>
            <w:r>
              <w:rPr>
                <w:noProof/>
                <w:webHidden/>
              </w:rPr>
            </w:r>
            <w:r>
              <w:rPr>
                <w:noProof/>
                <w:webHidden/>
              </w:rPr>
              <w:fldChar w:fldCharType="separate"/>
            </w:r>
            <w:r>
              <w:rPr>
                <w:noProof/>
                <w:webHidden/>
              </w:rPr>
              <w:t>3</w:t>
            </w:r>
            <w:r>
              <w:rPr>
                <w:noProof/>
                <w:webHidden/>
              </w:rPr>
              <w:fldChar w:fldCharType="end"/>
            </w:r>
          </w:hyperlink>
        </w:p>
        <w:p w:rsidR="009313B9" w:rsidRDefault="00F95160">
          <w:pPr>
            <w:pStyle w:val="TOC1"/>
            <w:tabs>
              <w:tab w:val="right" w:leader="dot" w:pos="9350"/>
            </w:tabs>
            <w:rPr>
              <w:noProof/>
            </w:rPr>
          </w:pPr>
          <w:hyperlink w:anchor="_Toc169526163" w:history="1">
            <w:r w:rsidR="009313B9" w:rsidRPr="00CB46BE">
              <w:rPr>
                <w:rStyle w:val="Hyperlink"/>
                <w:noProof/>
              </w:rPr>
              <w:t>Retail Banking Operations</w:t>
            </w:r>
            <w:r w:rsidR="009313B9">
              <w:rPr>
                <w:noProof/>
                <w:webHidden/>
              </w:rPr>
              <w:tab/>
            </w:r>
            <w:r w:rsidR="009313B9">
              <w:rPr>
                <w:noProof/>
                <w:webHidden/>
              </w:rPr>
              <w:fldChar w:fldCharType="begin"/>
            </w:r>
            <w:r w:rsidR="009313B9">
              <w:rPr>
                <w:noProof/>
                <w:webHidden/>
              </w:rPr>
              <w:instrText xml:space="preserve"> PAGEREF _Toc169526163 \h </w:instrText>
            </w:r>
            <w:r w:rsidR="009313B9">
              <w:rPr>
                <w:noProof/>
                <w:webHidden/>
              </w:rPr>
            </w:r>
            <w:r w:rsidR="009313B9">
              <w:rPr>
                <w:noProof/>
                <w:webHidden/>
              </w:rPr>
              <w:fldChar w:fldCharType="separate"/>
            </w:r>
            <w:r w:rsidR="009313B9">
              <w:rPr>
                <w:noProof/>
                <w:webHidden/>
              </w:rPr>
              <w:t>5</w:t>
            </w:r>
            <w:r w:rsidR="009313B9">
              <w:rPr>
                <w:noProof/>
                <w:webHidden/>
              </w:rPr>
              <w:fldChar w:fldCharType="end"/>
            </w:r>
          </w:hyperlink>
        </w:p>
        <w:p w:rsidR="009313B9" w:rsidRDefault="009313B9">
          <w:r>
            <w:rPr>
              <w:b/>
              <w:bCs/>
              <w:noProof/>
            </w:rPr>
            <w:fldChar w:fldCharType="end"/>
          </w:r>
        </w:p>
      </w:sdtContent>
    </w:sdt>
    <w:p w:rsidR="00DB390E" w:rsidRDefault="00DB390E" w:rsidP="009D2826">
      <w:pPr>
        <w:pStyle w:val="Heading1"/>
        <w:jc w:val="center"/>
      </w:pPr>
    </w:p>
    <w:p w:rsidR="00DB390E" w:rsidRDefault="00DB390E" w:rsidP="00DB390E">
      <w:pPr>
        <w:rPr>
          <w:rFonts w:asciiTheme="majorHAnsi" w:eastAsiaTheme="majorEastAsia" w:hAnsiTheme="majorHAnsi" w:cstheme="majorBidi"/>
          <w:color w:val="365F91" w:themeColor="accent1" w:themeShade="BF"/>
          <w:sz w:val="28"/>
          <w:szCs w:val="28"/>
        </w:rPr>
      </w:pPr>
      <w:r>
        <w:br w:type="page"/>
      </w:r>
    </w:p>
    <w:p w:rsidR="00EB3C96" w:rsidRDefault="009D2826" w:rsidP="009D2826">
      <w:pPr>
        <w:pStyle w:val="Heading1"/>
        <w:jc w:val="center"/>
      </w:pPr>
      <w:bookmarkStart w:id="47" w:name="_Toc169526162"/>
      <w:r>
        <w:lastRenderedPageBreak/>
        <w:t>Volcker’s Rule</w:t>
      </w:r>
      <w:bookmarkEnd w:id="47"/>
    </w:p>
    <w:p w:rsidR="00DB390E" w:rsidRDefault="00DB390E" w:rsidP="00DB390E">
      <w:r w:rsidRPr="00DB390E">
        <w:t xml:space="preserve">The Volcker Rule is a federal regulation that generally prohibits banks from conducting </w:t>
      </w:r>
      <w:r w:rsidR="004A1FCC" w:rsidRPr="00DB390E">
        <w:t xml:space="preserve">certain </w:t>
      </w:r>
      <w:r w:rsidR="004A1FCC">
        <w:t>investment</w:t>
      </w:r>
      <w:r w:rsidRPr="00DB390E">
        <w:t xml:space="preserve"> activities that contributed to the 2007–2008 financial </w:t>
      </w:r>
      <w:r w:rsidR="004A1FCC" w:rsidRPr="00DB390E">
        <w:t>crises</w:t>
      </w:r>
      <w:r w:rsidRPr="00DB390E">
        <w:t>. Essentially, it prohibits banks from using their own accounts for short-term proprietary trading of securities, derivatives, and commodity futures, as well as options on any of these instruments</w:t>
      </w:r>
      <w:r>
        <w:t xml:space="preserve"> </w:t>
      </w:r>
      <w:r w:rsidRPr="00DB390E">
        <w:t>and limits their dealings with hedge funds and private equity funds, also called covered funds.</w:t>
      </w:r>
    </w:p>
    <w:p w:rsidR="00DB390E" w:rsidRDefault="00DB390E" w:rsidP="00DB390E">
      <w:pPr>
        <w:pStyle w:val="ListParagraph"/>
        <w:numPr>
          <w:ilvl w:val="0"/>
          <w:numId w:val="1"/>
        </w:numPr>
      </w:pPr>
      <w:r>
        <w:t>On June 25, 2020, Federal Deposit Insurance Corp. (FDIC) officials said the agency will loosen the restrictions of the Volcker Rule, allowing banks to more easily make large investments into venture capital and similar funds.</w:t>
      </w:r>
    </w:p>
    <w:p w:rsidR="00DB390E" w:rsidRDefault="00DB390E" w:rsidP="00DB390E">
      <w:pPr>
        <w:pStyle w:val="ListParagraph"/>
        <w:numPr>
          <w:ilvl w:val="0"/>
          <w:numId w:val="1"/>
        </w:numPr>
      </w:pPr>
      <w:r>
        <w:t>The main criticism of the Volcker Rule is that it will reduce liquidity due to a reduction in banks’ market-making activities.</w:t>
      </w:r>
    </w:p>
    <w:p w:rsidR="008721EB" w:rsidRDefault="008721EB" w:rsidP="00DB390E">
      <w:pPr>
        <w:pStyle w:val="ListParagraph"/>
        <w:numPr>
          <w:ilvl w:val="0"/>
          <w:numId w:val="1"/>
        </w:numPr>
      </w:pPr>
      <w:r w:rsidRPr="008721EB">
        <w:t>Banks that have total consolidated assets equal to $10 billion or less and total trading assets and liabilities equal to 5 percent or less of total consolidated assets are generally exempt from the Volcker rule.</w:t>
      </w:r>
    </w:p>
    <w:p w:rsidR="008721EB" w:rsidRPr="008721EB" w:rsidRDefault="008721EB" w:rsidP="008721EB">
      <w:pPr>
        <w:rPr>
          <w:b/>
          <w:bCs/>
        </w:rPr>
      </w:pPr>
      <w:r w:rsidRPr="008721EB">
        <w:rPr>
          <w:b/>
          <w:bCs/>
        </w:rPr>
        <w:t>Key Provisions of the Volcker Rule</w:t>
      </w:r>
    </w:p>
    <w:p w:rsidR="008721EB" w:rsidRPr="008721EB" w:rsidRDefault="008721EB" w:rsidP="008721EB">
      <w:pPr>
        <w:numPr>
          <w:ilvl w:val="0"/>
          <w:numId w:val="2"/>
        </w:numPr>
      </w:pPr>
      <w:r w:rsidRPr="008721EB">
        <w:rPr>
          <w:b/>
          <w:bCs/>
        </w:rPr>
        <w:t>Proprietary Trading Restrictions</w:t>
      </w:r>
    </w:p>
    <w:p w:rsidR="008721EB" w:rsidRPr="008721EB" w:rsidRDefault="008721EB" w:rsidP="008721EB">
      <w:pPr>
        <w:numPr>
          <w:ilvl w:val="1"/>
          <w:numId w:val="2"/>
        </w:numPr>
      </w:pPr>
      <w:r w:rsidRPr="008721EB">
        <w:rPr>
          <w:b/>
          <w:bCs/>
        </w:rPr>
        <w:t>Definition</w:t>
      </w:r>
      <w:r w:rsidRPr="008721EB">
        <w:t>: Proprietary trading refers to the practice of banks trading stocks, bonds, derivatives, and other financial instruments for their own profit, rather than on behalf of customers.</w:t>
      </w:r>
    </w:p>
    <w:p w:rsidR="008721EB" w:rsidRDefault="008721EB" w:rsidP="008721EB">
      <w:pPr>
        <w:numPr>
          <w:ilvl w:val="1"/>
          <w:numId w:val="2"/>
        </w:numPr>
      </w:pPr>
      <w:r w:rsidRPr="008721EB">
        <w:rPr>
          <w:b/>
          <w:bCs/>
        </w:rPr>
        <w:t>Restriction</w:t>
      </w:r>
      <w:r w:rsidRPr="008721EB">
        <w:t>: Banks are prohibited from engaging in proprietary trading activities, except for certain permitted activities, such as market making, hedging, underwriting, and trading in government securities.</w:t>
      </w:r>
    </w:p>
    <w:p w:rsidR="008721EB" w:rsidRPr="008721EB" w:rsidRDefault="008721EB" w:rsidP="008721EB">
      <w:pPr>
        <w:numPr>
          <w:ilvl w:val="1"/>
          <w:numId w:val="2"/>
        </w:numPr>
      </w:pPr>
      <w:r w:rsidRPr="008721EB">
        <w:t>According to a 2019 study by the Office of Financial Research (OFR), the Volcker Rule has led to a significant reduction in proprietary trading activities among large banks. The study found that proprietary trading by U.S. banks decreased by approximately 25% after the implementation of the rule.</w:t>
      </w:r>
    </w:p>
    <w:p w:rsidR="008721EB" w:rsidRPr="008721EB" w:rsidRDefault="008721EB" w:rsidP="008721EB">
      <w:pPr>
        <w:numPr>
          <w:ilvl w:val="0"/>
          <w:numId w:val="2"/>
        </w:numPr>
      </w:pPr>
      <w:r w:rsidRPr="008721EB">
        <w:rPr>
          <w:b/>
          <w:bCs/>
        </w:rPr>
        <w:t>Covered Funds</w:t>
      </w:r>
    </w:p>
    <w:p w:rsidR="008721EB" w:rsidRPr="008721EB" w:rsidRDefault="008721EB" w:rsidP="008721EB">
      <w:pPr>
        <w:numPr>
          <w:ilvl w:val="1"/>
          <w:numId w:val="2"/>
        </w:numPr>
      </w:pPr>
      <w:r w:rsidRPr="008721EB">
        <w:rPr>
          <w:b/>
          <w:bCs/>
        </w:rPr>
        <w:t>Definition</w:t>
      </w:r>
      <w:r w:rsidRPr="008721EB">
        <w:t>: Covered funds include hedge funds, private equity funds, and other similar investment vehicles.</w:t>
      </w:r>
    </w:p>
    <w:p w:rsidR="008721EB" w:rsidRDefault="008721EB" w:rsidP="008721EB">
      <w:pPr>
        <w:numPr>
          <w:ilvl w:val="1"/>
          <w:numId w:val="2"/>
        </w:numPr>
      </w:pPr>
      <w:r w:rsidRPr="008721EB">
        <w:rPr>
          <w:b/>
          <w:bCs/>
        </w:rPr>
        <w:t>Restriction</w:t>
      </w:r>
      <w:r w:rsidRPr="008721EB">
        <w:t>: Banks are prohibited from owning, sponsoring, or having certain relationships with covered funds to limit exposure to high-risk investments.</w:t>
      </w:r>
    </w:p>
    <w:p w:rsidR="008721EB" w:rsidRPr="008721EB" w:rsidRDefault="008721EB" w:rsidP="008721EB">
      <w:pPr>
        <w:numPr>
          <w:ilvl w:val="1"/>
          <w:numId w:val="2"/>
        </w:numPr>
      </w:pPr>
      <w:r w:rsidRPr="008721EB">
        <w:t>A Federal Reserve analysis in 2017 indicated that the total exposure of large bank holding companies to covered funds decreased by over 50% from 2014 to 2016, reflecting a substantial reduction in riskier investments.</w:t>
      </w:r>
    </w:p>
    <w:p w:rsidR="008721EB" w:rsidRPr="008721EB" w:rsidRDefault="008721EB" w:rsidP="008721EB">
      <w:pPr>
        <w:numPr>
          <w:ilvl w:val="0"/>
          <w:numId w:val="2"/>
        </w:numPr>
      </w:pPr>
      <w:r w:rsidRPr="008721EB">
        <w:rPr>
          <w:b/>
          <w:bCs/>
        </w:rPr>
        <w:lastRenderedPageBreak/>
        <w:t>Compliance Programs</w:t>
      </w:r>
    </w:p>
    <w:p w:rsidR="008721EB" w:rsidRDefault="008721EB" w:rsidP="008721EB">
      <w:pPr>
        <w:numPr>
          <w:ilvl w:val="1"/>
          <w:numId w:val="2"/>
        </w:numPr>
      </w:pPr>
      <w:r w:rsidRPr="008721EB">
        <w:rPr>
          <w:b/>
          <w:bCs/>
        </w:rPr>
        <w:t>Requirement</w:t>
      </w:r>
      <w:r w:rsidRPr="008721EB">
        <w:t>: Banks must implement robust compliance programs to ensure adherence to the Volcker Rule. This includes establishing internal controls, training, and independent testing.</w:t>
      </w:r>
    </w:p>
    <w:p w:rsidR="005029F8" w:rsidRPr="008721EB" w:rsidRDefault="005029F8" w:rsidP="005029F8">
      <w:pPr>
        <w:numPr>
          <w:ilvl w:val="1"/>
          <w:numId w:val="2"/>
        </w:numPr>
      </w:pPr>
      <w:r w:rsidRPr="005029F8">
        <w:t>The U.S. Office of the Comptroller of the Currency, which regulates nationally chartered banks, estimated the Volcker rule's cost at between $413 million and $4.3 billion. These would be one-time costs taken in one year</w:t>
      </w:r>
      <w:r>
        <w:t>.</w:t>
      </w:r>
    </w:p>
    <w:p w:rsidR="008721EB" w:rsidRPr="008721EB" w:rsidRDefault="008721EB" w:rsidP="008721EB">
      <w:pPr>
        <w:numPr>
          <w:ilvl w:val="0"/>
          <w:numId w:val="2"/>
        </w:numPr>
      </w:pPr>
      <w:r w:rsidRPr="008721EB">
        <w:rPr>
          <w:b/>
          <w:bCs/>
        </w:rPr>
        <w:t>Metrics Reporting</w:t>
      </w:r>
    </w:p>
    <w:p w:rsidR="005029F8" w:rsidRDefault="008721EB" w:rsidP="00DB390E">
      <w:pPr>
        <w:numPr>
          <w:ilvl w:val="1"/>
          <w:numId w:val="2"/>
        </w:numPr>
      </w:pPr>
      <w:r w:rsidRPr="008721EB">
        <w:rPr>
          <w:b/>
          <w:bCs/>
        </w:rPr>
        <w:t>Requirement</w:t>
      </w:r>
      <w:r w:rsidRPr="008721EB">
        <w:t>: Banks are required to report quantitative metrics to regulators to monitor compliance with the rule. These metrics include risk and position limits, inventory turnover, and revenue from trading activities.</w:t>
      </w:r>
    </w:p>
    <w:p w:rsidR="005029F8" w:rsidRPr="005029F8" w:rsidRDefault="005029F8" w:rsidP="005029F8"/>
    <w:p w:rsidR="005029F8" w:rsidRPr="005029F8" w:rsidRDefault="005029F8" w:rsidP="005029F8"/>
    <w:p w:rsidR="005029F8" w:rsidRPr="005029F8" w:rsidRDefault="005029F8" w:rsidP="005029F8"/>
    <w:p w:rsidR="005029F8" w:rsidRDefault="005029F8" w:rsidP="005029F8"/>
    <w:p w:rsidR="005029F8" w:rsidRDefault="005029F8" w:rsidP="005029F8">
      <w:pPr>
        <w:tabs>
          <w:tab w:val="left" w:pos="2050"/>
        </w:tabs>
      </w:pPr>
      <w:r>
        <w:tab/>
      </w:r>
    </w:p>
    <w:p w:rsidR="005029F8" w:rsidRDefault="005029F8" w:rsidP="005029F8">
      <w:r>
        <w:br w:type="page"/>
      </w:r>
    </w:p>
    <w:p w:rsidR="005029F8" w:rsidRDefault="005029F8" w:rsidP="005029F8">
      <w:pPr>
        <w:pStyle w:val="Heading1"/>
        <w:jc w:val="center"/>
      </w:pPr>
      <w:bookmarkStart w:id="48" w:name="_Toc169526163"/>
      <w:r>
        <w:lastRenderedPageBreak/>
        <w:t>Retail Banking Operations</w:t>
      </w:r>
      <w:bookmarkEnd w:id="48"/>
    </w:p>
    <w:p w:rsidR="005029F8" w:rsidRPr="005029F8" w:rsidRDefault="005029F8" w:rsidP="005029F8"/>
    <w:p w:rsidR="00DB390E" w:rsidRDefault="005029F8" w:rsidP="005029F8">
      <w:pPr>
        <w:tabs>
          <w:tab w:val="left" w:pos="2050"/>
        </w:tabs>
      </w:pPr>
      <w:r w:rsidRPr="005029F8">
        <w:t>Retail banking, also known as consumer banking or personal banking, is banking that provides financial services to individual consumers rather than businesses. Retail banking is a way for individual consumers to manage their money, have access to credit, and deposit their funds in a secure manner.</w:t>
      </w:r>
    </w:p>
    <w:p w:rsidR="005029F8" w:rsidRDefault="005029F8" w:rsidP="005029F8">
      <w:pPr>
        <w:numPr>
          <w:ilvl w:val="0"/>
          <w:numId w:val="4"/>
        </w:numPr>
        <w:tabs>
          <w:tab w:val="left" w:pos="2050"/>
        </w:tabs>
      </w:pPr>
      <w:r w:rsidRPr="005029F8">
        <w:t>S</w:t>
      </w:r>
      <w:r>
        <w:t>ervices offered include savings and checking accounts, mortgages, personal loans, debit or credit cards, certificates of deposit (CDs), and more.</w:t>
      </w:r>
    </w:p>
    <w:p w:rsidR="005029F8" w:rsidRDefault="005029F8" w:rsidP="005029F8">
      <w:pPr>
        <w:numPr>
          <w:ilvl w:val="0"/>
          <w:numId w:val="4"/>
        </w:numPr>
        <w:tabs>
          <w:tab w:val="left" w:pos="2050"/>
        </w:tabs>
      </w:pPr>
      <w:r>
        <w:t xml:space="preserve">Today, many </w:t>
      </w:r>
      <w:proofErr w:type="spellStart"/>
      <w:r>
        <w:t>fintech</w:t>
      </w:r>
      <w:proofErr w:type="spellEnd"/>
      <w:r>
        <w:t xml:space="preserve"> companies can provide all the same services as retail banks through internet platforms and smartphone apps.</w:t>
      </w:r>
    </w:p>
    <w:p w:rsidR="005029F8" w:rsidRDefault="005029F8" w:rsidP="005029F8">
      <w:pPr>
        <w:numPr>
          <w:ilvl w:val="0"/>
          <w:numId w:val="4"/>
        </w:numPr>
        <w:tabs>
          <w:tab w:val="left" w:pos="2050"/>
        </w:tabs>
      </w:pPr>
      <w:r>
        <w:t>While retail banking services are aimed at individuals in the general public, corporate banking services are offered only to small or large companies and corporate bodies.</w:t>
      </w:r>
    </w:p>
    <w:p w:rsidR="005029F8" w:rsidRDefault="005029F8" w:rsidP="005029F8">
      <w:pPr>
        <w:tabs>
          <w:tab w:val="left" w:pos="2050"/>
        </w:tabs>
      </w:pPr>
      <w:r>
        <w:t>As of March 31, 2023, the top five largest U.S. commercial banks by</w:t>
      </w:r>
      <w:r w:rsidR="00890C21">
        <w:t xml:space="preserve"> assets were:</w:t>
      </w:r>
    </w:p>
    <w:p w:rsidR="005029F8" w:rsidRDefault="005029F8" w:rsidP="00890C21">
      <w:pPr>
        <w:pStyle w:val="ListParagraph"/>
        <w:numPr>
          <w:ilvl w:val="0"/>
          <w:numId w:val="5"/>
        </w:numPr>
        <w:tabs>
          <w:tab w:val="left" w:pos="2050"/>
        </w:tabs>
      </w:pPr>
      <w:r>
        <w:t>JPMorgan Chase</w:t>
      </w:r>
    </w:p>
    <w:p w:rsidR="005029F8" w:rsidRDefault="005029F8" w:rsidP="00890C21">
      <w:pPr>
        <w:pStyle w:val="ListParagraph"/>
        <w:numPr>
          <w:ilvl w:val="0"/>
          <w:numId w:val="5"/>
        </w:numPr>
        <w:tabs>
          <w:tab w:val="left" w:pos="2050"/>
        </w:tabs>
      </w:pPr>
      <w:r>
        <w:t>Bank of America</w:t>
      </w:r>
    </w:p>
    <w:p w:rsidR="005029F8" w:rsidRDefault="005029F8" w:rsidP="00890C21">
      <w:pPr>
        <w:pStyle w:val="ListParagraph"/>
        <w:numPr>
          <w:ilvl w:val="0"/>
          <w:numId w:val="5"/>
        </w:numPr>
        <w:tabs>
          <w:tab w:val="left" w:pos="2050"/>
        </w:tabs>
      </w:pPr>
      <w:r>
        <w:t>Citibank</w:t>
      </w:r>
    </w:p>
    <w:p w:rsidR="005029F8" w:rsidRDefault="005029F8" w:rsidP="00890C21">
      <w:pPr>
        <w:pStyle w:val="ListParagraph"/>
        <w:numPr>
          <w:ilvl w:val="0"/>
          <w:numId w:val="5"/>
        </w:numPr>
        <w:tabs>
          <w:tab w:val="left" w:pos="2050"/>
        </w:tabs>
      </w:pPr>
      <w:r>
        <w:t>Wells Fargo</w:t>
      </w:r>
    </w:p>
    <w:p w:rsidR="005029F8" w:rsidRDefault="005029F8" w:rsidP="00890C21">
      <w:pPr>
        <w:pStyle w:val="ListParagraph"/>
        <w:numPr>
          <w:ilvl w:val="0"/>
          <w:numId w:val="5"/>
        </w:numPr>
        <w:tabs>
          <w:tab w:val="left" w:pos="2050"/>
        </w:tabs>
      </w:pPr>
      <w:r>
        <w:t>U.S. Bank</w:t>
      </w:r>
    </w:p>
    <w:p w:rsidR="00890C21" w:rsidRDefault="00890C21" w:rsidP="00890C21">
      <w:pPr>
        <w:tabs>
          <w:tab w:val="left" w:pos="2050"/>
        </w:tabs>
      </w:pPr>
      <w:r>
        <w:t>Credit unions are another type of retail bank that works as a non-profit cooperative where members pool their assets to be able to provide loans and other financial services to other members.</w:t>
      </w:r>
    </w:p>
    <w:p w:rsidR="00890C21" w:rsidRPr="00890C21" w:rsidRDefault="00890C21" w:rsidP="00890C21">
      <w:pPr>
        <w:tabs>
          <w:tab w:val="left" w:pos="2050"/>
        </w:tabs>
        <w:rPr>
          <w:b/>
          <w:bCs/>
        </w:rPr>
      </w:pPr>
      <w:r w:rsidRPr="00890C21">
        <w:rPr>
          <w:b/>
          <w:bCs/>
        </w:rPr>
        <w:t>Key Components of Retail Banking Operations</w:t>
      </w:r>
    </w:p>
    <w:p w:rsidR="00890C21" w:rsidRPr="00890C21" w:rsidRDefault="00890C21" w:rsidP="00890C21">
      <w:pPr>
        <w:numPr>
          <w:ilvl w:val="0"/>
          <w:numId w:val="6"/>
        </w:numPr>
        <w:tabs>
          <w:tab w:val="left" w:pos="2050"/>
        </w:tabs>
      </w:pPr>
      <w:r w:rsidRPr="00890C21">
        <w:rPr>
          <w:b/>
          <w:bCs/>
        </w:rPr>
        <w:t>Deposit Accounts</w:t>
      </w:r>
    </w:p>
    <w:p w:rsidR="00890C21" w:rsidRPr="00890C21" w:rsidRDefault="00890C21" w:rsidP="00890C21">
      <w:pPr>
        <w:numPr>
          <w:ilvl w:val="1"/>
          <w:numId w:val="6"/>
        </w:numPr>
        <w:tabs>
          <w:tab w:val="left" w:pos="2050"/>
        </w:tabs>
      </w:pPr>
      <w:r w:rsidRPr="00890C21">
        <w:rPr>
          <w:b/>
          <w:bCs/>
        </w:rPr>
        <w:t>Savings Accounts</w:t>
      </w:r>
      <w:r w:rsidRPr="00890C21">
        <w:t>: Interest-bearing accounts that allow customers to save money.</w:t>
      </w:r>
    </w:p>
    <w:p w:rsidR="00890C21" w:rsidRPr="00890C21" w:rsidRDefault="00890C21" w:rsidP="00890C21">
      <w:pPr>
        <w:numPr>
          <w:ilvl w:val="1"/>
          <w:numId w:val="6"/>
        </w:numPr>
        <w:tabs>
          <w:tab w:val="left" w:pos="2050"/>
        </w:tabs>
      </w:pPr>
      <w:r w:rsidRPr="00890C21">
        <w:rPr>
          <w:b/>
          <w:bCs/>
        </w:rPr>
        <w:t>Checking Accounts</w:t>
      </w:r>
      <w:r w:rsidRPr="00890C21">
        <w:t>: Accounts used for daily transactions, typically offering features like check writing and debit card access.</w:t>
      </w:r>
    </w:p>
    <w:p w:rsidR="00890C21" w:rsidRPr="00890C21" w:rsidRDefault="00890C21" w:rsidP="00890C21">
      <w:pPr>
        <w:numPr>
          <w:ilvl w:val="1"/>
          <w:numId w:val="6"/>
        </w:numPr>
        <w:tabs>
          <w:tab w:val="left" w:pos="2050"/>
        </w:tabs>
      </w:pPr>
      <w:r w:rsidRPr="00890C21">
        <w:rPr>
          <w:b/>
          <w:bCs/>
        </w:rPr>
        <w:t>Certificates of Deposit (CDs)</w:t>
      </w:r>
      <w:r w:rsidRPr="00890C21">
        <w:t>: Fixed-term deposits offering higher interest rates than regular savings accounts, but with limited liquidity.</w:t>
      </w:r>
    </w:p>
    <w:p w:rsidR="00890C21" w:rsidRPr="00890C21" w:rsidRDefault="00890C21" w:rsidP="00890C21">
      <w:pPr>
        <w:numPr>
          <w:ilvl w:val="0"/>
          <w:numId w:val="6"/>
        </w:numPr>
        <w:tabs>
          <w:tab w:val="left" w:pos="2050"/>
        </w:tabs>
      </w:pPr>
      <w:r w:rsidRPr="00890C21">
        <w:rPr>
          <w:b/>
          <w:bCs/>
        </w:rPr>
        <w:t>Loan Products</w:t>
      </w:r>
    </w:p>
    <w:p w:rsidR="00890C21" w:rsidRPr="00890C21" w:rsidRDefault="00890C21" w:rsidP="00890C21">
      <w:pPr>
        <w:numPr>
          <w:ilvl w:val="1"/>
          <w:numId w:val="6"/>
        </w:numPr>
        <w:tabs>
          <w:tab w:val="left" w:pos="2050"/>
        </w:tabs>
      </w:pPr>
      <w:r w:rsidRPr="00890C21">
        <w:rPr>
          <w:b/>
          <w:bCs/>
        </w:rPr>
        <w:t>Personal Loans</w:t>
      </w:r>
      <w:r w:rsidRPr="00890C21">
        <w:t>: Unsecured loans provided for personal use, such as debt consolidation or major purchases.</w:t>
      </w:r>
    </w:p>
    <w:p w:rsidR="00890C21" w:rsidRPr="00890C21" w:rsidRDefault="00890C21" w:rsidP="00890C21">
      <w:pPr>
        <w:numPr>
          <w:ilvl w:val="1"/>
          <w:numId w:val="6"/>
        </w:numPr>
        <w:tabs>
          <w:tab w:val="left" w:pos="2050"/>
        </w:tabs>
      </w:pPr>
      <w:r w:rsidRPr="00890C21">
        <w:rPr>
          <w:b/>
          <w:bCs/>
        </w:rPr>
        <w:t>Mortgages</w:t>
      </w:r>
      <w:r w:rsidRPr="00890C21">
        <w:t>: Loans secured by real estate property, used to purchase homes.</w:t>
      </w:r>
    </w:p>
    <w:p w:rsidR="00890C21" w:rsidRPr="00890C21" w:rsidRDefault="00890C21" w:rsidP="00890C21">
      <w:pPr>
        <w:numPr>
          <w:ilvl w:val="1"/>
          <w:numId w:val="6"/>
        </w:numPr>
        <w:tabs>
          <w:tab w:val="left" w:pos="2050"/>
        </w:tabs>
      </w:pPr>
      <w:r w:rsidRPr="00890C21">
        <w:rPr>
          <w:b/>
          <w:bCs/>
        </w:rPr>
        <w:t>Auto Loans</w:t>
      </w:r>
      <w:r w:rsidRPr="00890C21">
        <w:t>: Loans specifically for the purchase of vehicles.</w:t>
      </w:r>
    </w:p>
    <w:p w:rsidR="00890C21" w:rsidRPr="00890C21" w:rsidRDefault="00890C21" w:rsidP="00890C21">
      <w:pPr>
        <w:numPr>
          <w:ilvl w:val="1"/>
          <w:numId w:val="6"/>
        </w:numPr>
        <w:tabs>
          <w:tab w:val="left" w:pos="2050"/>
        </w:tabs>
      </w:pPr>
      <w:r w:rsidRPr="00890C21">
        <w:rPr>
          <w:b/>
          <w:bCs/>
        </w:rPr>
        <w:lastRenderedPageBreak/>
        <w:t>Credit Cards</w:t>
      </w:r>
      <w:r w:rsidRPr="00890C21">
        <w:t>: Revolving credit lines allowing consumers to borrow up to a certain limit for purchases and cash advances.</w:t>
      </w:r>
    </w:p>
    <w:p w:rsidR="00890C21" w:rsidRPr="00890C21" w:rsidRDefault="00890C21" w:rsidP="00890C21">
      <w:pPr>
        <w:numPr>
          <w:ilvl w:val="0"/>
          <w:numId w:val="6"/>
        </w:numPr>
        <w:tabs>
          <w:tab w:val="left" w:pos="2050"/>
        </w:tabs>
      </w:pPr>
      <w:r w:rsidRPr="00890C21">
        <w:rPr>
          <w:b/>
          <w:bCs/>
        </w:rPr>
        <w:t>Payment Services</w:t>
      </w:r>
    </w:p>
    <w:p w:rsidR="00890C21" w:rsidRPr="00890C21" w:rsidRDefault="00890C21" w:rsidP="00890C21">
      <w:pPr>
        <w:numPr>
          <w:ilvl w:val="1"/>
          <w:numId w:val="6"/>
        </w:numPr>
        <w:tabs>
          <w:tab w:val="left" w:pos="2050"/>
        </w:tabs>
      </w:pPr>
      <w:r w:rsidRPr="00890C21">
        <w:rPr>
          <w:b/>
          <w:bCs/>
        </w:rPr>
        <w:t>Debit and Credit Cards</w:t>
      </w:r>
      <w:r w:rsidRPr="00890C21">
        <w:t>: Payment cards linked to checking accounts (debit) or offering a line of credit (credit).</w:t>
      </w:r>
    </w:p>
    <w:p w:rsidR="00890C21" w:rsidRPr="00890C21" w:rsidRDefault="00890C21" w:rsidP="00890C21">
      <w:pPr>
        <w:numPr>
          <w:ilvl w:val="1"/>
          <w:numId w:val="6"/>
        </w:numPr>
        <w:tabs>
          <w:tab w:val="left" w:pos="2050"/>
        </w:tabs>
      </w:pPr>
      <w:r w:rsidRPr="00890C21">
        <w:rPr>
          <w:b/>
          <w:bCs/>
        </w:rPr>
        <w:t>Electronic Funds Transfers (EFTs)</w:t>
      </w:r>
      <w:r w:rsidRPr="00890C21">
        <w:t>: Online and mobile banking transfers, including bill payments and person-to-person (P2P) transfers.</w:t>
      </w:r>
    </w:p>
    <w:p w:rsidR="00890C21" w:rsidRPr="00890C21" w:rsidRDefault="00890C21" w:rsidP="00890C21">
      <w:pPr>
        <w:numPr>
          <w:ilvl w:val="1"/>
          <w:numId w:val="6"/>
        </w:numPr>
        <w:tabs>
          <w:tab w:val="left" w:pos="2050"/>
        </w:tabs>
      </w:pPr>
      <w:r w:rsidRPr="00890C21">
        <w:rPr>
          <w:b/>
          <w:bCs/>
        </w:rPr>
        <w:t>Automated Teller Machines (ATMs)</w:t>
      </w:r>
      <w:r w:rsidRPr="00890C21">
        <w:t>: Machines providing cash withdrawals, deposits, and other banking services.</w:t>
      </w:r>
    </w:p>
    <w:p w:rsidR="00890C21" w:rsidRPr="00890C21" w:rsidRDefault="00890C21" w:rsidP="00890C21">
      <w:pPr>
        <w:numPr>
          <w:ilvl w:val="0"/>
          <w:numId w:val="6"/>
        </w:numPr>
        <w:tabs>
          <w:tab w:val="left" w:pos="2050"/>
        </w:tabs>
      </w:pPr>
      <w:r w:rsidRPr="00890C21">
        <w:rPr>
          <w:b/>
          <w:bCs/>
        </w:rPr>
        <w:t>Investment and Wealth Management</w:t>
      </w:r>
    </w:p>
    <w:p w:rsidR="00890C21" w:rsidRPr="00890C21" w:rsidRDefault="00890C21" w:rsidP="00890C21">
      <w:pPr>
        <w:numPr>
          <w:ilvl w:val="1"/>
          <w:numId w:val="6"/>
        </w:numPr>
        <w:tabs>
          <w:tab w:val="left" w:pos="2050"/>
        </w:tabs>
      </w:pPr>
      <w:r w:rsidRPr="00890C21">
        <w:rPr>
          <w:b/>
          <w:bCs/>
        </w:rPr>
        <w:t>Investment Accounts</w:t>
      </w:r>
      <w:r w:rsidRPr="00890C21">
        <w:t>: Accounts for buying and holding securities, such as stocks, bonds, and mutual funds.</w:t>
      </w:r>
    </w:p>
    <w:p w:rsidR="00890C21" w:rsidRPr="00890C21" w:rsidRDefault="00890C21" w:rsidP="00890C21">
      <w:pPr>
        <w:numPr>
          <w:ilvl w:val="1"/>
          <w:numId w:val="6"/>
        </w:numPr>
        <w:tabs>
          <w:tab w:val="left" w:pos="2050"/>
        </w:tabs>
      </w:pPr>
      <w:r w:rsidRPr="00890C21">
        <w:rPr>
          <w:b/>
          <w:bCs/>
        </w:rPr>
        <w:t>Retirement Accounts</w:t>
      </w:r>
      <w:r w:rsidRPr="00890C21">
        <w:t>: Accounts like IRAs and 401(k</w:t>
      </w:r>
      <w:proofErr w:type="gramStart"/>
      <w:r w:rsidRPr="00890C21">
        <w:t>)s</w:t>
      </w:r>
      <w:proofErr w:type="gramEnd"/>
      <w:r w:rsidRPr="00890C21">
        <w:t xml:space="preserve"> designed for long-term retirement savings.</w:t>
      </w:r>
    </w:p>
    <w:p w:rsidR="00890C21" w:rsidRPr="00890C21" w:rsidRDefault="00890C21" w:rsidP="00890C21">
      <w:pPr>
        <w:numPr>
          <w:ilvl w:val="1"/>
          <w:numId w:val="6"/>
        </w:numPr>
        <w:tabs>
          <w:tab w:val="left" w:pos="2050"/>
        </w:tabs>
      </w:pPr>
      <w:r w:rsidRPr="00890C21">
        <w:rPr>
          <w:b/>
          <w:bCs/>
        </w:rPr>
        <w:t>Financial Planning</w:t>
      </w:r>
      <w:r w:rsidRPr="00890C21">
        <w:t>: Services offering advice on investments, estate planning, and tax strategies.</w:t>
      </w:r>
    </w:p>
    <w:p w:rsidR="00890C21" w:rsidRPr="00890C21" w:rsidRDefault="00890C21" w:rsidP="00890C21">
      <w:pPr>
        <w:numPr>
          <w:ilvl w:val="0"/>
          <w:numId w:val="6"/>
        </w:numPr>
        <w:tabs>
          <w:tab w:val="left" w:pos="2050"/>
        </w:tabs>
      </w:pPr>
      <w:r w:rsidRPr="00890C21">
        <w:rPr>
          <w:b/>
          <w:bCs/>
        </w:rPr>
        <w:t>Insurance Products</w:t>
      </w:r>
    </w:p>
    <w:p w:rsidR="00890C21" w:rsidRPr="00890C21" w:rsidRDefault="00890C21" w:rsidP="00890C21">
      <w:pPr>
        <w:numPr>
          <w:ilvl w:val="1"/>
          <w:numId w:val="6"/>
        </w:numPr>
        <w:tabs>
          <w:tab w:val="left" w:pos="2050"/>
        </w:tabs>
      </w:pPr>
      <w:r w:rsidRPr="00890C21">
        <w:rPr>
          <w:b/>
          <w:bCs/>
        </w:rPr>
        <w:t>Life Insurance</w:t>
      </w:r>
      <w:r w:rsidRPr="00890C21">
        <w:t>: Policies providing a death benefit to beneficiaries.</w:t>
      </w:r>
    </w:p>
    <w:p w:rsidR="00890C21" w:rsidRPr="00890C21" w:rsidRDefault="00890C21" w:rsidP="00890C21">
      <w:pPr>
        <w:numPr>
          <w:ilvl w:val="1"/>
          <w:numId w:val="6"/>
        </w:numPr>
        <w:tabs>
          <w:tab w:val="left" w:pos="2050"/>
        </w:tabs>
      </w:pPr>
      <w:r w:rsidRPr="00890C21">
        <w:rPr>
          <w:b/>
          <w:bCs/>
        </w:rPr>
        <w:t>Health Insurance</w:t>
      </w:r>
      <w:r w:rsidRPr="00890C21">
        <w:t>: Policies covering medical expenses.</w:t>
      </w:r>
    </w:p>
    <w:p w:rsidR="00890C21" w:rsidRDefault="00890C21" w:rsidP="00890C21">
      <w:pPr>
        <w:numPr>
          <w:ilvl w:val="1"/>
          <w:numId w:val="6"/>
        </w:numPr>
        <w:tabs>
          <w:tab w:val="left" w:pos="2050"/>
        </w:tabs>
      </w:pPr>
      <w:r w:rsidRPr="00890C21">
        <w:rPr>
          <w:b/>
          <w:bCs/>
        </w:rPr>
        <w:t>Property and Casualty Insurance</w:t>
      </w:r>
      <w:r w:rsidRPr="00890C21">
        <w:t>: Policies covering homes, automobiles, and other personal property.</w:t>
      </w:r>
    </w:p>
    <w:p w:rsidR="007C0C46" w:rsidRDefault="007C0C46" w:rsidP="007C0C46">
      <w:pPr>
        <w:tabs>
          <w:tab w:val="left" w:pos="2050"/>
        </w:tabs>
      </w:pPr>
    </w:p>
    <w:p w:rsidR="007C0C46" w:rsidRDefault="007C0C46" w:rsidP="007C0C46">
      <w:pPr>
        <w:tabs>
          <w:tab w:val="left" w:pos="2050"/>
        </w:tabs>
      </w:pPr>
    </w:p>
    <w:p w:rsidR="007C0C46" w:rsidRDefault="007C0C46" w:rsidP="007C0C46">
      <w:pPr>
        <w:tabs>
          <w:tab w:val="left" w:pos="2050"/>
        </w:tabs>
      </w:pPr>
    </w:p>
    <w:p w:rsidR="007C0C46" w:rsidRDefault="007C0C46" w:rsidP="007C0C46">
      <w:pPr>
        <w:tabs>
          <w:tab w:val="left" w:pos="2050"/>
        </w:tabs>
      </w:pPr>
    </w:p>
    <w:p w:rsidR="007C0C46" w:rsidRDefault="007C0C46" w:rsidP="007C0C46">
      <w:pPr>
        <w:tabs>
          <w:tab w:val="left" w:pos="2050"/>
        </w:tabs>
      </w:pPr>
    </w:p>
    <w:p w:rsidR="007C0C46" w:rsidRDefault="007C0C46" w:rsidP="007C0C46">
      <w:pPr>
        <w:tabs>
          <w:tab w:val="left" w:pos="2050"/>
        </w:tabs>
      </w:pPr>
    </w:p>
    <w:p w:rsidR="007C0C46" w:rsidRDefault="007C0C46" w:rsidP="007C0C46">
      <w:pPr>
        <w:tabs>
          <w:tab w:val="left" w:pos="2050"/>
        </w:tabs>
      </w:pPr>
    </w:p>
    <w:p w:rsidR="007C0C46" w:rsidRDefault="007C0C46" w:rsidP="007C0C46">
      <w:pPr>
        <w:tabs>
          <w:tab w:val="left" w:pos="2050"/>
        </w:tabs>
      </w:pPr>
      <w:r>
        <w:rPr>
          <w:noProof/>
        </w:rPr>
        <w:lastRenderedPageBreak/>
        <w:drawing>
          <wp:anchor distT="0" distB="0" distL="114300" distR="114300" simplePos="0" relativeHeight="251658240" behindDoc="1" locked="0" layoutInCell="1" allowOverlap="1" wp14:anchorId="76A08AFC" wp14:editId="0800E24E">
            <wp:simplePos x="0" y="0"/>
            <wp:positionH relativeFrom="column">
              <wp:posOffset>-129540</wp:posOffset>
            </wp:positionH>
            <wp:positionV relativeFrom="paragraph">
              <wp:posOffset>-452120</wp:posOffset>
            </wp:positionV>
            <wp:extent cx="6035040" cy="3114040"/>
            <wp:effectExtent l="0" t="0" r="3810" b="0"/>
            <wp:wrapTight wrapText="bothSides">
              <wp:wrapPolygon edited="0">
                <wp:start x="0" y="0"/>
                <wp:lineTo x="0" y="21406"/>
                <wp:lineTo x="21545" y="21406"/>
                <wp:lineTo x="21545" y="0"/>
                <wp:lineTo x="0" y="0"/>
              </wp:wrapPolygon>
            </wp:wrapTight>
            <wp:docPr id="1" name="Picture 1" descr="Retail Banking Market Size, Share | Growth Trends 2023-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ail Banking Market Size, Share | Growth Trends 2023-20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3114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0C46" w:rsidRDefault="007C0C46" w:rsidP="007C0C46">
      <w:pPr>
        <w:tabs>
          <w:tab w:val="left" w:pos="2050"/>
        </w:tabs>
      </w:pPr>
      <w:r w:rsidRPr="007C0C46">
        <w:t>Market Size (2022): $1.94 T</w:t>
      </w:r>
      <w:r>
        <w:t>rillion</w:t>
      </w:r>
      <w:r w:rsidRPr="007C0C46">
        <w:t xml:space="preserve"> </w:t>
      </w:r>
    </w:p>
    <w:p w:rsidR="007C0C46" w:rsidRPr="007C0C46" w:rsidRDefault="007C0C46" w:rsidP="007C0C46">
      <w:pPr>
        <w:tabs>
          <w:tab w:val="left" w:pos="2050"/>
        </w:tabs>
      </w:pPr>
      <w:r w:rsidRPr="007C0C46">
        <w:t>Market Value (2032): $3.15 T</w:t>
      </w:r>
      <w:r>
        <w:t>rillio</w:t>
      </w:r>
      <w:r w:rsidRPr="007C0C46">
        <w:t>n</w:t>
      </w:r>
    </w:p>
    <w:p w:rsidR="007C0C46" w:rsidRPr="007C0C46" w:rsidRDefault="007C0C46" w:rsidP="007C0C46">
      <w:pPr>
        <w:tabs>
          <w:tab w:val="left" w:pos="2050"/>
        </w:tabs>
      </w:pPr>
      <w:r w:rsidRPr="007C0C46">
        <w:t>Market Segmentation by Market Share (2022):</w:t>
      </w:r>
    </w:p>
    <w:p w:rsidR="007C0C46" w:rsidRPr="007C0C46" w:rsidRDefault="007C0C46" w:rsidP="007C0C46">
      <w:pPr>
        <w:numPr>
          <w:ilvl w:val="0"/>
          <w:numId w:val="9"/>
        </w:numPr>
        <w:tabs>
          <w:tab w:val="left" w:pos="2050"/>
        </w:tabs>
      </w:pPr>
      <w:r w:rsidRPr="007C0C46">
        <w:t>Large Bank Segment: 30%</w:t>
      </w:r>
    </w:p>
    <w:p w:rsidR="007C0C46" w:rsidRPr="007C0C46" w:rsidRDefault="007C0C46" w:rsidP="007C0C46">
      <w:pPr>
        <w:numPr>
          <w:ilvl w:val="0"/>
          <w:numId w:val="9"/>
        </w:numPr>
        <w:tabs>
          <w:tab w:val="left" w:pos="2050"/>
        </w:tabs>
      </w:pPr>
      <w:r w:rsidRPr="007C0C46">
        <w:t>Saving Account Segment: 27%</w:t>
      </w:r>
    </w:p>
    <w:p w:rsidR="007C0C46" w:rsidRPr="007C0C46" w:rsidRDefault="007C0C46" w:rsidP="007C0C46">
      <w:pPr>
        <w:tabs>
          <w:tab w:val="left" w:pos="2050"/>
        </w:tabs>
      </w:pPr>
      <w:r w:rsidRPr="007C0C46">
        <w:t>Regional Analysis:</w:t>
      </w:r>
    </w:p>
    <w:p w:rsidR="007C0C46" w:rsidRPr="007C0C46" w:rsidRDefault="007C0C46" w:rsidP="007C0C46">
      <w:pPr>
        <w:numPr>
          <w:ilvl w:val="0"/>
          <w:numId w:val="10"/>
        </w:numPr>
        <w:tabs>
          <w:tab w:val="left" w:pos="2050"/>
        </w:tabs>
      </w:pPr>
      <w:r w:rsidRPr="007C0C46">
        <w:t>North America Market Share (2022): 25%</w:t>
      </w:r>
    </w:p>
    <w:p w:rsidR="007C0C46" w:rsidRDefault="007C0C46" w:rsidP="007C0C46">
      <w:pPr>
        <w:tabs>
          <w:tab w:val="left" w:pos="2050"/>
        </w:tabs>
      </w:pPr>
      <w:r>
        <w:t>2024 data:</w:t>
      </w:r>
    </w:p>
    <w:tbl>
      <w:tblPr>
        <w:tblStyle w:val="TableGrid"/>
        <w:tblpPr w:leftFromText="180" w:rightFromText="180" w:vertAnchor="page" w:horzAnchor="margin" w:tblpXSpec="center" w:tblpY="10471"/>
        <w:tblW w:w="10326" w:type="dxa"/>
        <w:tblLook w:val="04A0" w:firstRow="1" w:lastRow="0" w:firstColumn="1" w:lastColumn="0" w:noHBand="0" w:noVBand="1"/>
      </w:tblPr>
      <w:tblGrid>
        <w:gridCol w:w="1346"/>
        <w:gridCol w:w="4461"/>
        <w:gridCol w:w="4519"/>
      </w:tblGrid>
      <w:tr w:rsidR="007C0C46" w:rsidRPr="00A2402B" w:rsidTr="007C0C46">
        <w:trPr>
          <w:trHeight w:val="317"/>
        </w:trPr>
        <w:tc>
          <w:tcPr>
            <w:tcW w:w="0" w:type="auto"/>
            <w:hideMark/>
          </w:tcPr>
          <w:p w:rsidR="007C0C46" w:rsidRPr="00A2402B" w:rsidRDefault="007C0C46" w:rsidP="007C0C46">
            <w:pPr>
              <w:rPr>
                <w:rFonts w:ascii="Arial" w:eastAsia="Times New Roman" w:hAnsi="Arial" w:cs="Arial"/>
                <w:b/>
                <w:bCs/>
                <w:color w:val="151515"/>
                <w:sz w:val="24"/>
                <w:szCs w:val="24"/>
              </w:rPr>
            </w:pPr>
            <w:r w:rsidRPr="00A2402B">
              <w:rPr>
                <w:rFonts w:ascii="Arial" w:eastAsia="Times New Roman" w:hAnsi="Arial" w:cs="Arial"/>
                <w:b/>
                <w:bCs/>
                <w:color w:val="151515"/>
                <w:sz w:val="24"/>
                <w:szCs w:val="24"/>
              </w:rPr>
              <w:t>Age group</w:t>
            </w:r>
          </w:p>
        </w:tc>
        <w:tc>
          <w:tcPr>
            <w:tcW w:w="0" w:type="auto"/>
            <w:hideMark/>
          </w:tcPr>
          <w:p w:rsidR="007C0C46" w:rsidRPr="00A2402B" w:rsidRDefault="007C0C46" w:rsidP="007C0C46">
            <w:pPr>
              <w:jc w:val="center"/>
              <w:rPr>
                <w:rFonts w:ascii="Arial" w:eastAsia="Times New Roman" w:hAnsi="Arial" w:cs="Arial"/>
                <w:b/>
                <w:bCs/>
                <w:color w:val="151515"/>
                <w:sz w:val="24"/>
                <w:szCs w:val="24"/>
              </w:rPr>
            </w:pPr>
            <w:r w:rsidRPr="00A2402B">
              <w:rPr>
                <w:rFonts w:ascii="Arial" w:eastAsia="Times New Roman" w:hAnsi="Arial" w:cs="Arial"/>
                <w:b/>
                <w:bCs/>
                <w:color w:val="151515"/>
                <w:sz w:val="24"/>
                <w:szCs w:val="24"/>
              </w:rPr>
              <w:t>Percent who primarily use online banking</w:t>
            </w:r>
          </w:p>
        </w:tc>
        <w:tc>
          <w:tcPr>
            <w:tcW w:w="0" w:type="auto"/>
            <w:hideMark/>
          </w:tcPr>
          <w:p w:rsidR="007C0C46" w:rsidRPr="00A2402B" w:rsidRDefault="007C0C46" w:rsidP="007C0C46">
            <w:pPr>
              <w:jc w:val="center"/>
              <w:rPr>
                <w:rFonts w:ascii="Arial" w:eastAsia="Times New Roman" w:hAnsi="Arial" w:cs="Arial"/>
                <w:b/>
                <w:bCs/>
                <w:color w:val="151515"/>
                <w:sz w:val="24"/>
                <w:szCs w:val="24"/>
              </w:rPr>
            </w:pPr>
            <w:r w:rsidRPr="00A2402B">
              <w:rPr>
                <w:rFonts w:ascii="Arial" w:eastAsia="Times New Roman" w:hAnsi="Arial" w:cs="Arial"/>
                <w:b/>
                <w:bCs/>
                <w:color w:val="151515"/>
                <w:sz w:val="24"/>
                <w:szCs w:val="24"/>
              </w:rPr>
              <w:t>Percent who primarily use mobile banking</w:t>
            </w:r>
          </w:p>
        </w:tc>
      </w:tr>
      <w:tr w:rsidR="007C0C46" w:rsidRPr="00A2402B" w:rsidTr="007C0C46">
        <w:trPr>
          <w:gridAfter w:val="2"/>
        </w:trPr>
        <w:tc>
          <w:tcPr>
            <w:tcW w:w="0" w:type="auto"/>
            <w:hideMark/>
          </w:tcPr>
          <w:p w:rsidR="007C0C46" w:rsidRPr="00A2402B" w:rsidRDefault="007C0C46" w:rsidP="007C0C46">
            <w:pPr>
              <w:rPr>
                <w:rFonts w:ascii="Arial" w:eastAsia="Times New Roman" w:hAnsi="Arial" w:cs="Arial"/>
                <w:color w:val="515260"/>
                <w:sz w:val="24"/>
                <w:szCs w:val="24"/>
              </w:rPr>
            </w:pPr>
          </w:p>
        </w:tc>
      </w:tr>
      <w:tr w:rsidR="007C0C46" w:rsidRPr="00A2402B" w:rsidTr="007C0C46">
        <w:trPr>
          <w:trHeight w:val="317"/>
        </w:trPr>
        <w:tc>
          <w:tcPr>
            <w:tcW w:w="0" w:type="auto"/>
            <w:hideMark/>
          </w:tcPr>
          <w:p w:rsidR="007C0C46" w:rsidRPr="00A2402B" w:rsidRDefault="007C0C46" w:rsidP="007C0C46">
            <w:pPr>
              <w:rPr>
                <w:rFonts w:ascii="Arial" w:eastAsia="Times New Roman" w:hAnsi="Arial" w:cs="Arial"/>
                <w:color w:val="515260"/>
                <w:sz w:val="24"/>
                <w:szCs w:val="24"/>
              </w:rPr>
            </w:pPr>
            <w:r w:rsidRPr="00A2402B">
              <w:rPr>
                <w:rFonts w:ascii="Arial" w:eastAsia="Times New Roman" w:hAnsi="Arial" w:cs="Arial"/>
                <w:color w:val="515260"/>
                <w:sz w:val="24"/>
                <w:szCs w:val="24"/>
              </w:rPr>
              <w:t> 12-27</w:t>
            </w:r>
          </w:p>
        </w:tc>
        <w:tc>
          <w:tcPr>
            <w:tcW w:w="0" w:type="auto"/>
            <w:hideMark/>
          </w:tcPr>
          <w:p w:rsidR="007C0C46" w:rsidRPr="00A2402B" w:rsidRDefault="007C0C46" w:rsidP="007C0C46">
            <w:pPr>
              <w:jc w:val="center"/>
              <w:rPr>
                <w:rFonts w:ascii="Arial" w:eastAsia="Times New Roman" w:hAnsi="Arial" w:cs="Arial"/>
                <w:color w:val="515260"/>
                <w:sz w:val="24"/>
                <w:szCs w:val="24"/>
              </w:rPr>
            </w:pPr>
            <w:r w:rsidRPr="00A2402B">
              <w:rPr>
                <w:rFonts w:ascii="Arial" w:eastAsia="Times New Roman" w:hAnsi="Arial" w:cs="Arial"/>
                <w:color w:val="515260"/>
                <w:sz w:val="24"/>
                <w:szCs w:val="24"/>
              </w:rPr>
              <w:t> 11%</w:t>
            </w:r>
          </w:p>
        </w:tc>
        <w:tc>
          <w:tcPr>
            <w:tcW w:w="0" w:type="auto"/>
            <w:hideMark/>
          </w:tcPr>
          <w:p w:rsidR="007C0C46" w:rsidRPr="00A2402B" w:rsidRDefault="007C0C46" w:rsidP="007C0C46">
            <w:pPr>
              <w:jc w:val="center"/>
              <w:rPr>
                <w:rFonts w:ascii="Arial" w:eastAsia="Times New Roman" w:hAnsi="Arial" w:cs="Arial"/>
                <w:color w:val="515260"/>
                <w:sz w:val="24"/>
                <w:szCs w:val="24"/>
              </w:rPr>
            </w:pPr>
            <w:r w:rsidRPr="00A2402B">
              <w:rPr>
                <w:rFonts w:ascii="Arial" w:eastAsia="Times New Roman" w:hAnsi="Arial" w:cs="Arial"/>
                <w:color w:val="515260"/>
                <w:sz w:val="24"/>
                <w:szCs w:val="24"/>
              </w:rPr>
              <w:t> 57%</w:t>
            </w:r>
          </w:p>
        </w:tc>
      </w:tr>
      <w:tr w:rsidR="007C0C46" w:rsidRPr="00A2402B" w:rsidTr="007C0C46">
        <w:trPr>
          <w:trHeight w:val="317"/>
        </w:trPr>
        <w:tc>
          <w:tcPr>
            <w:tcW w:w="0" w:type="auto"/>
            <w:hideMark/>
          </w:tcPr>
          <w:p w:rsidR="007C0C46" w:rsidRPr="00A2402B" w:rsidRDefault="007C0C46" w:rsidP="007C0C46">
            <w:pPr>
              <w:rPr>
                <w:rFonts w:ascii="Arial" w:eastAsia="Times New Roman" w:hAnsi="Arial" w:cs="Arial"/>
                <w:color w:val="515260"/>
                <w:sz w:val="24"/>
                <w:szCs w:val="24"/>
              </w:rPr>
            </w:pPr>
            <w:r w:rsidRPr="00A2402B">
              <w:rPr>
                <w:rFonts w:ascii="Arial" w:eastAsia="Times New Roman" w:hAnsi="Arial" w:cs="Arial"/>
                <w:color w:val="515260"/>
                <w:sz w:val="24"/>
                <w:szCs w:val="24"/>
              </w:rPr>
              <w:t> 28-43</w:t>
            </w:r>
          </w:p>
        </w:tc>
        <w:tc>
          <w:tcPr>
            <w:tcW w:w="0" w:type="auto"/>
            <w:hideMark/>
          </w:tcPr>
          <w:p w:rsidR="007C0C46" w:rsidRPr="00A2402B" w:rsidRDefault="007C0C46" w:rsidP="007C0C46">
            <w:pPr>
              <w:jc w:val="center"/>
              <w:rPr>
                <w:rFonts w:ascii="Arial" w:eastAsia="Times New Roman" w:hAnsi="Arial" w:cs="Arial"/>
                <w:color w:val="515260"/>
                <w:sz w:val="24"/>
                <w:szCs w:val="24"/>
              </w:rPr>
            </w:pPr>
            <w:r w:rsidRPr="00A2402B">
              <w:rPr>
                <w:rFonts w:ascii="Arial" w:eastAsia="Times New Roman" w:hAnsi="Arial" w:cs="Arial"/>
                <w:color w:val="515260"/>
                <w:sz w:val="24"/>
                <w:szCs w:val="24"/>
              </w:rPr>
              <w:t> 14%</w:t>
            </w:r>
          </w:p>
        </w:tc>
        <w:tc>
          <w:tcPr>
            <w:tcW w:w="0" w:type="auto"/>
            <w:hideMark/>
          </w:tcPr>
          <w:p w:rsidR="007C0C46" w:rsidRPr="00A2402B" w:rsidRDefault="007C0C46" w:rsidP="007C0C46">
            <w:pPr>
              <w:jc w:val="center"/>
              <w:rPr>
                <w:rFonts w:ascii="Arial" w:eastAsia="Times New Roman" w:hAnsi="Arial" w:cs="Arial"/>
                <w:color w:val="515260"/>
                <w:sz w:val="24"/>
                <w:szCs w:val="24"/>
              </w:rPr>
            </w:pPr>
            <w:r w:rsidRPr="00A2402B">
              <w:rPr>
                <w:rFonts w:ascii="Arial" w:eastAsia="Times New Roman" w:hAnsi="Arial" w:cs="Arial"/>
                <w:color w:val="515260"/>
                <w:sz w:val="24"/>
                <w:szCs w:val="24"/>
              </w:rPr>
              <w:t> 60%</w:t>
            </w:r>
          </w:p>
        </w:tc>
      </w:tr>
      <w:tr w:rsidR="007C0C46" w:rsidRPr="00A2402B" w:rsidTr="007C0C46">
        <w:trPr>
          <w:trHeight w:val="298"/>
        </w:trPr>
        <w:tc>
          <w:tcPr>
            <w:tcW w:w="0" w:type="auto"/>
            <w:hideMark/>
          </w:tcPr>
          <w:p w:rsidR="007C0C46" w:rsidRPr="00A2402B" w:rsidRDefault="007C0C46" w:rsidP="007C0C46">
            <w:pPr>
              <w:rPr>
                <w:rFonts w:ascii="Arial" w:eastAsia="Times New Roman" w:hAnsi="Arial" w:cs="Arial"/>
                <w:color w:val="515260"/>
                <w:sz w:val="24"/>
                <w:szCs w:val="24"/>
              </w:rPr>
            </w:pPr>
            <w:r w:rsidRPr="00A2402B">
              <w:rPr>
                <w:rFonts w:ascii="Arial" w:eastAsia="Times New Roman" w:hAnsi="Arial" w:cs="Arial"/>
                <w:color w:val="515260"/>
                <w:sz w:val="24"/>
                <w:szCs w:val="24"/>
              </w:rPr>
              <w:t> 44-59</w:t>
            </w:r>
          </w:p>
        </w:tc>
        <w:tc>
          <w:tcPr>
            <w:tcW w:w="0" w:type="auto"/>
            <w:hideMark/>
          </w:tcPr>
          <w:p w:rsidR="007C0C46" w:rsidRPr="00A2402B" w:rsidRDefault="007C0C46" w:rsidP="007C0C46">
            <w:pPr>
              <w:jc w:val="center"/>
              <w:rPr>
                <w:rFonts w:ascii="Arial" w:eastAsia="Times New Roman" w:hAnsi="Arial" w:cs="Arial"/>
                <w:color w:val="515260"/>
                <w:sz w:val="24"/>
                <w:szCs w:val="24"/>
              </w:rPr>
            </w:pPr>
            <w:r w:rsidRPr="00A2402B">
              <w:rPr>
                <w:rFonts w:ascii="Arial" w:eastAsia="Times New Roman" w:hAnsi="Arial" w:cs="Arial"/>
                <w:color w:val="515260"/>
                <w:sz w:val="24"/>
                <w:szCs w:val="24"/>
              </w:rPr>
              <w:t> 17%</w:t>
            </w:r>
          </w:p>
        </w:tc>
        <w:tc>
          <w:tcPr>
            <w:tcW w:w="0" w:type="auto"/>
            <w:hideMark/>
          </w:tcPr>
          <w:p w:rsidR="007C0C46" w:rsidRPr="00A2402B" w:rsidRDefault="007C0C46" w:rsidP="007C0C46">
            <w:pPr>
              <w:jc w:val="center"/>
              <w:rPr>
                <w:rFonts w:ascii="Arial" w:eastAsia="Times New Roman" w:hAnsi="Arial" w:cs="Arial"/>
                <w:color w:val="515260"/>
                <w:sz w:val="24"/>
                <w:szCs w:val="24"/>
              </w:rPr>
            </w:pPr>
            <w:r w:rsidRPr="00A2402B">
              <w:rPr>
                <w:rFonts w:ascii="Arial" w:eastAsia="Times New Roman" w:hAnsi="Arial" w:cs="Arial"/>
                <w:color w:val="515260"/>
                <w:sz w:val="24"/>
                <w:szCs w:val="24"/>
              </w:rPr>
              <w:t> 52%</w:t>
            </w:r>
          </w:p>
        </w:tc>
      </w:tr>
      <w:tr w:rsidR="007C0C46" w:rsidRPr="00A2402B" w:rsidTr="007C0C46">
        <w:trPr>
          <w:trHeight w:val="338"/>
        </w:trPr>
        <w:tc>
          <w:tcPr>
            <w:tcW w:w="0" w:type="auto"/>
            <w:hideMark/>
          </w:tcPr>
          <w:p w:rsidR="007C0C46" w:rsidRPr="00A2402B" w:rsidRDefault="007C0C46" w:rsidP="007C0C46">
            <w:pPr>
              <w:rPr>
                <w:rFonts w:ascii="Arial" w:eastAsia="Times New Roman" w:hAnsi="Arial" w:cs="Arial"/>
                <w:color w:val="515260"/>
                <w:sz w:val="24"/>
                <w:szCs w:val="24"/>
              </w:rPr>
            </w:pPr>
            <w:r w:rsidRPr="00A2402B">
              <w:rPr>
                <w:rFonts w:ascii="Arial" w:eastAsia="Times New Roman" w:hAnsi="Arial" w:cs="Arial"/>
                <w:color w:val="515260"/>
                <w:sz w:val="24"/>
                <w:szCs w:val="24"/>
              </w:rPr>
              <w:t> 60-78</w:t>
            </w:r>
          </w:p>
        </w:tc>
        <w:tc>
          <w:tcPr>
            <w:tcW w:w="0" w:type="auto"/>
            <w:hideMark/>
          </w:tcPr>
          <w:p w:rsidR="007C0C46" w:rsidRPr="00A2402B" w:rsidRDefault="007C0C46" w:rsidP="007C0C46">
            <w:pPr>
              <w:jc w:val="center"/>
              <w:rPr>
                <w:rFonts w:ascii="Arial" w:eastAsia="Times New Roman" w:hAnsi="Arial" w:cs="Arial"/>
                <w:color w:val="515260"/>
                <w:sz w:val="24"/>
                <w:szCs w:val="24"/>
              </w:rPr>
            </w:pPr>
            <w:r w:rsidRPr="00A2402B">
              <w:rPr>
                <w:rFonts w:ascii="Arial" w:eastAsia="Times New Roman" w:hAnsi="Arial" w:cs="Arial"/>
                <w:color w:val="515260"/>
                <w:sz w:val="24"/>
                <w:szCs w:val="24"/>
              </w:rPr>
              <w:t> 39%</w:t>
            </w:r>
          </w:p>
        </w:tc>
        <w:tc>
          <w:tcPr>
            <w:tcW w:w="0" w:type="auto"/>
            <w:hideMark/>
          </w:tcPr>
          <w:p w:rsidR="007C0C46" w:rsidRPr="00A2402B" w:rsidRDefault="007C0C46" w:rsidP="007C0C46">
            <w:pPr>
              <w:jc w:val="center"/>
              <w:rPr>
                <w:rFonts w:ascii="Arial" w:eastAsia="Times New Roman" w:hAnsi="Arial" w:cs="Arial"/>
                <w:color w:val="515260"/>
                <w:sz w:val="24"/>
                <w:szCs w:val="24"/>
              </w:rPr>
            </w:pPr>
            <w:r w:rsidRPr="00A2402B">
              <w:rPr>
                <w:rFonts w:ascii="Arial" w:eastAsia="Times New Roman" w:hAnsi="Arial" w:cs="Arial"/>
                <w:color w:val="515260"/>
                <w:sz w:val="24"/>
                <w:szCs w:val="24"/>
              </w:rPr>
              <w:t> 31%</w:t>
            </w:r>
          </w:p>
        </w:tc>
      </w:tr>
    </w:tbl>
    <w:p w:rsidR="009B0CCC" w:rsidRDefault="009B0CCC" w:rsidP="009B0CCC"/>
    <w:p w:rsidR="007C0C46" w:rsidRDefault="007C0C46" w:rsidP="009B0CCC"/>
    <w:p w:rsidR="00222C19" w:rsidRPr="00222C19" w:rsidRDefault="00222C19" w:rsidP="00222C19"/>
    <w:p w:rsidR="00222C19" w:rsidRDefault="00222C19" w:rsidP="00222C19">
      <w:pPr>
        <w:rPr>
          <w:noProof/>
        </w:rPr>
      </w:pPr>
      <w:r>
        <w:rPr>
          <w:b/>
          <w:bCs/>
          <w:noProof/>
        </w:rPr>
        <w:lastRenderedPageBreak/>
        <w:t>S</w:t>
      </w:r>
      <w:r w:rsidRPr="00222C19">
        <w:rPr>
          <w:b/>
          <w:bCs/>
          <w:noProof/>
        </w:rPr>
        <w:t>hare of bank account holders processing banking matters via mobile banking (smartphone or tablet) in the United States</w:t>
      </w:r>
      <w:r>
        <w:rPr>
          <w:b/>
          <w:bCs/>
          <w:noProof/>
        </w:rPr>
        <w:t xml:space="preserve">: </w:t>
      </w:r>
    </w:p>
    <w:p w:rsidR="00222C19" w:rsidRPr="00222C19" w:rsidRDefault="00222C19" w:rsidP="00222C19">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153035</wp:posOffset>
            </wp:positionV>
            <wp:extent cx="5626100" cy="3606800"/>
            <wp:effectExtent l="0" t="0" r="0" b="0"/>
            <wp:wrapTight wrapText="bothSides">
              <wp:wrapPolygon edited="0">
                <wp:start x="0" y="0"/>
                <wp:lineTo x="0" y="21448"/>
                <wp:lineTo x="21502" y="21448"/>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0).png"/>
                    <pic:cNvPicPr/>
                  </pic:nvPicPr>
                  <pic:blipFill rotWithShape="1">
                    <a:blip r:embed="rId11">
                      <a:extLst>
                        <a:ext uri="{28A0092B-C50C-407E-A947-70E740481C1C}">
                          <a14:useLocalDpi xmlns:a14="http://schemas.microsoft.com/office/drawing/2010/main" val="0"/>
                        </a:ext>
                      </a:extLst>
                    </a:blip>
                    <a:srcRect l="7775" t="25089" r="40326" b="15725"/>
                    <a:stretch/>
                  </pic:blipFill>
                  <pic:spPr bwMode="auto">
                    <a:xfrm>
                      <a:off x="0" y="0"/>
                      <a:ext cx="5626100" cy="360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22C19" w:rsidRPr="00222C19" w:rsidRDefault="00222C19" w:rsidP="00222C19"/>
    <w:p w:rsidR="00222C19" w:rsidRPr="00222C19" w:rsidRDefault="00222C19" w:rsidP="00222C19"/>
    <w:p w:rsidR="00222C19" w:rsidRDefault="00222C19" w:rsidP="00222C19"/>
    <w:p w:rsidR="00222C19" w:rsidRPr="00222C19" w:rsidRDefault="00222C19" w:rsidP="00222C19"/>
    <w:p w:rsidR="00222C19" w:rsidRPr="00222C19" w:rsidRDefault="00222C19" w:rsidP="00222C19"/>
    <w:p w:rsidR="00222C19" w:rsidRPr="00222C19" w:rsidRDefault="00222C19" w:rsidP="00222C19"/>
    <w:p w:rsidR="00222C19" w:rsidRPr="00222C19" w:rsidRDefault="00222C19" w:rsidP="00222C19"/>
    <w:p w:rsidR="00222C19" w:rsidRPr="00222C19" w:rsidRDefault="00222C19" w:rsidP="00222C19"/>
    <w:p w:rsidR="00222C19" w:rsidRPr="00222C19" w:rsidRDefault="00222C19" w:rsidP="00222C19"/>
    <w:p w:rsidR="00222C19" w:rsidRPr="00222C19" w:rsidRDefault="00222C19" w:rsidP="00222C19"/>
    <w:p w:rsidR="00222C19" w:rsidRPr="00222C19" w:rsidRDefault="00222C19" w:rsidP="00222C19"/>
    <w:p w:rsidR="00222C19" w:rsidRDefault="00222C19" w:rsidP="00222C19"/>
    <w:p w:rsidR="00222C19" w:rsidRDefault="0048764C" w:rsidP="00222C19">
      <w:r>
        <w:t>The share of expenditure remains relatively stable, ranging from around 56% to 64%, throughout the time period shown. There is a noticeable increase from around 58% in the earlier years to around 60-61% in the middle years, and then a further increase to around 63-64% in the most recent years.</w:t>
      </w:r>
    </w:p>
    <w:p w:rsidR="009313B9" w:rsidRDefault="009313B9" w:rsidP="009313B9">
      <w:pPr>
        <w:pStyle w:val="Title"/>
        <w:jc w:val="right"/>
      </w:pPr>
    </w:p>
    <w:p w:rsidR="009313B9" w:rsidRDefault="009313B9" w:rsidP="009313B9">
      <w:pPr>
        <w:pStyle w:val="Title"/>
        <w:jc w:val="right"/>
      </w:pPr>
    </w:p>
    <w:p w:rsidR="009313B9" w:rsidRDefault="009313B9" w:rsidP="009313B9">
      <w:pPr>
        <w:pStyle w:val="Title"/>
        <w:jc w:val="right"/>
      </w:pPr>
    </w:p>
    <w:p w:rsidR="009313B9" w:rsidRDefault="009313B9" w:rsidP="009313B9">
      <w:pPr>
        <w:pStyle w:val="Title"/>
        <w:jc w:val="right"/>
      </w:pPr>
    </w:p>
    <w:p w:rsidR="009313B9" w:rsidRDefault="009313B9" w:rsidP="009313B9">
      <w:pPr>
        <w:pStyle w:val="Title"/>
        <w:jc w:val="right"/>
      </w:pPr>
    </w:p>
    <w:p w:rsidR="009313B9" w:rsidRDefault="009313B9" w:rsidP="009313B9">
      <w:pPr>
        <w:pStyle w:val="Title"/>
        <w:jc w:val="right"/>
      </w:pPr>
    </w:p>
    <w:p w:rsidR="009313B9" w:rsidRPr="00222C19" w:rsidRDefault="009313B9" w:rsidP="009313B9">
      <w:pPr>
        <w:pStyle w:val="Title"/>
        <w:jc w:val="right"/>
      </w:pPr>
      <w:r>
        <w:t>Thank You</w:t>
      </w:r>
    </w:p>
    <w:sectPr w:rsidR="009313B9" w:rsidRPr="00222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160" w:rsidRDefault="00F95160" w:rsidP="00222C19">
      <w:pPr>
        <w:spacing w:after="0" w:line="240" w:lineRule="auto"/>
      </w:pPr>
      <w:r>
        <w:separator/>
      </w:r>
    </w:p>
  </w:endnote>
  <w:endnote w:type="continuationSeparator" w:id="0">
    <w:p w:rsidR="00F95160" w:rsidRDefault="00F95160" w:rsidP="00222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160" w:rsidRDefault="00F95160" w:rsidP="00222C19">
      <w:pPr>
        <w:spacing w:after="0" w:line="240" w:lineRule="auto"/>
      </w:pPr>
      <w:r>
        <w:separator/>
      </w:r>
    </w:p>
  </w:footnote>
  <w:footnote w:type="continuationSeparator" w:id="0">
    <w:p w:rsidR="00F95160" w:rsidRDefault="00F95160" w:rsidP="00222C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1FF9"/>
    <w:multiLevelType w:val="multilevel"/>
    <w:tmpl w:val="820C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43708"/>
    <w:multiLevelType w:val="hybridMultilevel"/>
    <w:tmpl w:val="E210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54285"/>
    <w:multiLevelType w:val="multilevel"/>
    <w:tmpl w:val="6B0A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D97963"/>
    <w:multiLevelType w:val="multilevel"/>
    <w:tmpl w:val="590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322ADD"/>
    <w:multiLevelType w:val="hybridMultilevel"/>
    <w:tmpl w:val="5F9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64BB0"/>
    <w:multiLevelType w:val="hybridMultilevel"/>
    <w:tmpl w:val="A18AC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7A63F8"/>
    <w:multiLevelType w:val="multilevel"/>
    <w:tmpl w:val="B8B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CE50D2"/>
    <w:multiLevelType w:val="multilevel"/>
    <w:tmpl w:val="85B2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B3421"/>
    <w:multiLevelType w:val="multilevel"/>
    <w:tmpl w:val="0EC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1A0DDD"/>
    <w:multiLevelType w:val="multilevel"/>
    <w:tmpl w:val="0486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8"/>
  </w:num>
  <w:num w:numId="4">
    <w:abstractNumId w:val="3"/>
  </w:num>
  <w:num w:numId="5">
    <w:abstractNumId w:val="1"/>
  </w:num>
  <w:num w:numId="6">
    <w:abstractNumId w:val="2"/>
  </w:num>
  <w:num w:numId="7">
    <w:abstractNumId w:val="6"/>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826"/>
    <w:rsid w:val="00222C19"/>
    <w:rsid w:val="0048764C"/>
    <w:rsid w:val="004A1FCC"/>
    <w:rsid w:val="005029F8"/>
    <w:rsid w:val="007C0C46"/>
    <w:rsid w:val="008721EB"/>
    <w:rsid w:val="00890C21"/>
    <w:rsid w:val="009313B9"/>
    <w:rsid w:val="009B0CCC"/>
    <w:rsid w:val="009D2826"/>
    <w:rsid w:val="00A2402B"/>
    <w:rsid w:val="00DB390E"/>
    <w:rsid w:val="00DD1A2E"/>
    <w:rsid w:val="00EB3C96"/>
    <w:rsid w:val="00F9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3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2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2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B390E"/>
    <w:rPr>
      <w:color w:val="0000FF" w:themeColor="hyperlink"/>
      <w:u w:val="single"/>
    </w:rPr>
  </w:style>
  <w:style w:type="paragraph" w:styleId="ListParagraph">
    <w:name w:val="List Paragraph"/>
    <w:basedOn w:val="Normal"/>
    <w:uiPriority w:val="34"/>
    <w:qFormat/>
    <w:rsid w:val="00DB390E"/>
    <w:pPr>
      <w:ind w:left="720"/>
      <w:contextualSpacing/>
    </w:pPr>
  </w:style>
  <w:style w:type="character" w:customStyle="1" w:styleId="Heading3Char">
    <w:name w:val="Heading 3 Char"/>
    <w:basedOn w:val="DefaultParagraphFont"/>
    <w:link w:val="Heading3"/>
    <w:uiPriority w:val="9"/>
    <w:semiHidden/>
    <w:rsid w:val="008721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B0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CC"/>
    <w:rPr>
      <w:rFonts w:ascii="Tahoma" w:hAnsi="Tahoma" w:cs="Tahoma"/>
      <w:sz w:val="16"/>
      <w:szCs w:val="16"/>
    </w:rPr>
  </w:style>
  <w:style w:type="table" w:styleId="TableGrid">
    <w:name w:val="Table Grid"/>
    <w:basedOn w:val="TableNormal"/>
    <w:uiPriority w:val="59"/>
    <w:rsid w:val="00A24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C19"/>
  </w:style>
  <w:style w:type="paragraph" w:styleId="Footer">
    <w:name w:val="footer"/>
    <w:basedOn w:val="Normal"/>
    <w:link w:val="FooterChar"/>
    <w:uiPriority w:val="99"/>
    <w:unhideWhenUsed/>
    <w:rsid w:val="00222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C19"/>
  </w:style>
  <w:style w:type="paragraph" w:styleId="Title">
    <w:name w:val="Title"/>
    <w:basedOn w:val="Normal"/>
    <w:next w:val="Normal"/>
    <w:link w:val="TitleChar"/>
    <w:uiPriority w:val="10"/>
    <w:qFormat/>
    <w:rsid w:val="009313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13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313B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313B9"/>
    <w:pPr>
      <w:outlineLvl w:val="9"/>
    </w:pPr>
    <w:rPr>
      <w:lang w:eastAsia="ja-JP"/>
    </w:rPr>
  </w:style>
  <w:style w:type="paragraph" w:styleId="TOC1">
    <w:name w:val="toc 1"/>
    <w:basedOn w:val="Normal"/>
    <w:next w:val="Normal"/>
    <w:autoRedefine/>
    <w:uiPriority w:val="39"/>
    <w:unhideWhenUsed/>
    <w:rsid w:val="009313B9"/>
    <w:pPr>
      <w:spacing w:after="100"/>
    </w:pPr>
  </w:style>
  <w:style w:type="paragraph" w:styleId="TOC2">
    <w:name w:val="toc 2"/>
    <w:basedOn w:val="Normal"/>
    <w:next w:val="Normal"/>
    <w:autoRedefine/>
    <w:uiPriority w:val="39"/>
    <w:unhideWhenUsed/>
    <w:rsid w:val="009313B9"/>
    <w:pPr>
      <w:spacing w:after="100"/>
      <w:ind w:left="220"/>
    </w:pPr>
  </w:style>
  <w:style w:type="paragraph" w:styleId="TOC3">
    <w:name w:val="toc 3"/>
    <w:basedOn w:val="Normal"/>
    <w:next w:val="Normal"/>
    <w:autoRedefine/>
    <w:uiPriority w:val="39"/>
    <w:unhideWhenUsed/>
    <w:rsid w:val="009313B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3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2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2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B390E"/>
    <w:rPr>
      <w:color w:val="0000FF" w:themeColor="hyperlink"/>
      <w:u w:val="single"/>
    </w:rPr>
  </w:style>
  <w:style w:type="paragraph" w:styleId="ListParagraph">
    <w:name w:val="List Paragraph"/>
    <w:basedOn w:val="Normal"/>
    <w:uiPriority w:val="34"/>
    <w:qFormat/>
    <w:rsid w:val="00DB390E"/>
    <w:pPr>
      <w:ind w:left="720"/>
      <w:contextualSpacing/>
    </w:pPr>
  </w:style>
  <w:style w:type="character" w:customStyle="1" w:styleId="Heading3Char">
    <w:name w:val="Heading 3 Char"/>
    <w:basedOn w:val="DefaultParagraphFont"/>
    <w:link w:val="Heading3"/>
    <w:uiPriority w:val="9"/>
    <w:semiHidden/>
    <w:rsid w:val="008721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B0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CC"/>
    <w:rPr>
      <w:rFonts w:ascii="Tahoma" w:hAnsi="Tahoma" w:cs="Tahoma"/>
      <w:sz w:val="16"/>
      <w:szCs w:val="16"/>
    </w:rPr>
  </w:style>
  <w:style w:type="table" w:styleId="TableGrid">
    <w:name w:val="Table Grid"/>
    <w:basedOn w:val="TableNormal"/>
    <w:uiPriority w:val="59"/>
    <w:rsid w:val="00A24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C19"/>
  </w:style>
  <w:style w:type="paragraph" w:styleId="Footer">
    <w:name w:val="footer"/>
    <w:basedOn w:val="Normal"/>
    <w:link w:val="FooterChar"/>
    <w:uiPriority w:val="99"/>
    <w:unhideWhenUsed/>
    <w:rsid w:val="00222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C19"/>
  </w:style>
  <w:style w:type="paragraph" w:styleId="Title">
    <w:name w:val="Title"/>
    <w:basedOn w:val="Normal"/>
    <w:next w:val="Normal"/>
    <w:link w:val="TitleChar"/>
    <w:uiPriority w:val="10"/>
    <w:qFormat/>
    <w:rsid w:val="009313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13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313B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313B9"/>
    <w:pPr>
      <w:outlineLvl w:val="9"/>
    </w:pPr>
    <w:rPr>
      <w:lang w:eastAsia="ja-JP"/>
    </w:rPr>
  </w:style>
  <w:style w:type="paragraph" w:styleId="TOC1">
    <w:name w:val="toc 1"/>
    <w:basedOn w:val="Normal"/>
    <w:next w:val="Normal"/>
    <w:autoRedefine/>
    <w:uiPriority w:val="39"/>
    <w:unhideWhenUsed/>
    <w:rsid w:val="009313B9"/>
    <w:pPr>
      <w:spacing w:after="100"/>
    </w:pPr>
  </w:style>
  <w:style w:type="paragraph" w:styleId="TOC2">
    <w:name w:val="toc 2"/>
    <w:basedOn w:val="Normal"/>
    <w:next w:val="Normal"/>
    <w:autoRedefine/>
    <w:uiPriority w:val="39"/>
    <w:unhideWhenUsed/>
    <w:rsid w:val="009313B9"/>
    <w:pPr>
      <w:spacing w:after="100"/>
      <w:ind w:left="220"/>
    </w:pPr>
  </w:style>
  <w:style w:type="paragraph" w:styleId="TOC3">
    <w:name w:val="toc 3"/>
    <w:basedOn w:val="Normal"/>
    <w:next w:val="Normal"/>
    <w:autoRedefine/>
    <w:uiPriority w:val="39"/>
    <w:unhideWhenUsed/>
    <w:rsid w:val="009313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7977">
      <w:bodyDiv w:val="1"/>
      <w:marLeft w:val="0"/>
      <w:marRight w:val="0"/>
      <w:marTop w:val="0"/>
      <w:marBottom w:val="0"/>
      <w:divBdr>
        <w:top w:val="none" w:sz="0" w:space="0" w:color="auto"/>
        <w:left w:val="none" w:sz="0" w:space="0" w:color="auto"/>
        <w:bottom w:val="none" w:sz="0" w:space="0" w:color="auto"/>
        <w:right w:val="none" w:sz="0" w:space="0" w:color="auto"/>
      </w:divBdr>
      <w:divsChild>
        <w:div w:id="1852142113">
          <w:marLeft w:val="0"/>
          <w:marRight w:val="0"/>
          <w:marTop w:val="0"/>
          <w:marBottom w:val="0"/>
          <w:divBdr>
            <w:top w:val="none" w:sz="0" w:space="0" w:color="auto"/>
            <w:left w:val="none" w:sz="0" w:space="0" w:color="auto"/>
            <w:bottom w:val="none" w:sz="0" w:space="0" w:color="auto"/>
            <w:right w:val="none" w:sz="0" w:space="0" w:color="auto"/>
          </w:divBdr>
          <w:divsChild>
            <w:div w:id="1011614449">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121534321">
      <w:bodyDiv w:val="1"/>
      <w:marLeft w:val="0"/>
      <w:marRight w:val="0"/>
      <w:marTop w:val="0"/>
      <w:marBottom w:val="0"/>
      <w:divBdr>
        <w:top w:val="none" w:sz="0" w:space="0" w:color="auto"/>
        <w:left w:val="none" w:sz="0" w:space="0" w:color="auto"/>
        <w:bottom w:val="none" w:sz="0" w:space="0" w:color="auto"/>
        <w:right w:val="none" w:sz="0" w:space="0" w:color="auto"/>
      </w:divBdr>
    </w:div>
    <w:div w:id="248346038">
      <w:bodyDiv w:val="1"/>
      <w:marLeft w:val="0"/>
      <w:marRight w:val="0"/>
      <w:marTop w:val="0"/>
      <w:marBottom w:val="0"/>
      <w:divBdr>
        <w:top w:val="none" w:sz="0" w:space="0" w:color="auto"/>
        <w:left w:val="none" w:sz="0" w:space="0" w:color="auto"/>
        <w:bottom w:val="none" w:sz="0" w:space="0" w:color="auto"/>
        <w:right w:val="none" w:sz="0" w:space="0" w:color="auto"/>
      </w:divBdr>
      <w:divsChild>
        <w:div w:id="928544083">
          <w:marLeft w:val="0"/>
          <w:marRight w:val="0"/>
          <w:marTop w:val="0"/>
          <w:marBottom w:val="0"/>
          <w:divBdr>
            <w:top w:val="none" w:sz="0" w:space="0" w:color="auto"/>
            <w:left w:val="none" w:sz="0" w:space="0" w:color="auto"/>
            <w:bottom w:val="none" w:sz="0" w:space="0" w:color="auto"/>
            <w:right w:val="none" w:sz="0" w:space="0" w:color="auto"/>
          </w:divBdr>
          <w:divsChild>
            <w:div w:id="341393164">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336813560">
      <w:bodyDiv w:val="1"/>
      <w:marLeft w:val="0"/>
      <w:marRight w:val="0"/>
      <w:marTop w:val="0"/>
      <w:marBottom w:val="0"/>
      <w:divBdr>
        <w:top w:val="none" w:sz="0" w:space="0" w:color="auto"/>
        <w:left w:val="none" w:sz="0" w:space="0" w:color="auto"/>
        <w:bottom w:val="none" w:sz="0" w:space="0" w:color="auto"/>
        <w:right w:val="none" w:sz="0" w:space="0" w:color="auto"/>
      </w:divBdr>
    </w:div>
    <w:div w:id="598681976">
      <w:bodyDiv w:val="1"/>
      <w:marLeft w:val="0"/>
      <w:marRight w:val="0"/>
      <w:marTop w:val="0"/>
      <w:marBottom w:val="0"/>
      <w:divBdr>
        <w:top w:val="none" w:sz="0" w:space="0" w:color="auto"/>
        <w:left w:val="none" w:sz="0" w:space="0" w:color="auto"/>
        <w:bottom w:val="none" w:sz="0" w:space="0" w:color="auto"/>
        <w:right w:val="none" w:sz="0" w:space="0" w:color="auto"/>
      </w:divBdr>
    </w:div>
    <w:div w:id="599217350">
      <w:bodyDiv w:val="1"/>
      <w:marLeft w:val="0"/>
      <w:marRight w:val="0"/>
      <w:marTop w:val="0"/>
      <w:marBottom w:val="0"/>
      <w:divBdr>
        <w:top w:val="none" w:sz="0" w:space="0" w:color="auto"/>
        <w:left w:val="none" w:sz="0" w:space="0" w:color="auto"/>
        <w:bottom w:val="none" w:sz="0" w:space="0" w:color="auto"/>
        <w:right w:val="none" w:sz="0" w:space="0" w:color="auto"/>
      </w:divBdr>
    </w:div>
    <w:div w:id="988359295">
      <w:bodyDiv w:val="1"/>
      <w:marLeft w:val="0"/>
      <w:marRight w:val="0"/>
      <w:marTop w:val="0"/>
      <w:marBottom w:val="0"/>
      <w:divBdr>
        <w:top w:val="none" w:sz="0" w:space="0" w:color="auto"/>
        <w:left w:val="none" w:sz="0" w:space="0" w:color="auto"/>
        <w:bottom w:val="none" w:sz="0" w:space="0" w:color="auto"/>
        <w:right w:val="none" w:sz="0" w:space="0" w:color="auto"/>
      </w:divBdr>
      <w:divsChild>
        <w:div w:id="2086487141">
          <w:marLeft w:val="0"/>
          <w:marRight w:val="0"/>
          <w:marTop w:val="0"/>
          <w:marBottom w:val="0"/>
          <w:divBdr>
            <w:top w:val="none" w:sz="0" w:space="0" w:color="auto"/>
            <w:left w:val="none" w:sz="0" w:space="0" w:color="auto"/>
            <w:bottom w:val="none" w:sz="0" w:space="0" w:color="auto"/>
            <w:right w:val="none" w:sz="0" w:space="0" w:color="auto"/>
          </w:divBdr>
          <w:divsChild>
            <w:div w:id="7412224">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1187256483">
      <w:bodyDiv w:val="1"/>
      <w:marLeft w:val="0"/>
      <w:marRight w:val="0"/>
      <w:marTop w:val="0"/>
      <w:marBottom w:val="0"/>
      <w:divBdr>
        <w:top w:val="none" w:sz="0" w:space="0" w:color="auto"/>
        <w:left w:val="none" w:sz="0" w:space="0" w:color="auto"/>
        <w:bottom w:val="none" w:sz="0" w:space="0" w:color="auto"/>
        <w:right w:val="none" w:sz="0" w:space="0" w:color="auto"/>
      </w:divBdr>
    </w:div>
    <w:div w:id="1258634520">
      <w:bodyDiv w:val="1"/>
      <w:marLeft w:val="0"/>
      <w:marRight w:val="0"/>
      <w:marTop w:val="0"/>
      <w:marBottom w:val="0"/>
      <w:divBdr>
        <w:top w:val="none" w:sz="0" w:space="0" w:color="auto"/>
        <w:left w:val="none" w:sz="0" w:space="0" w:color="auto"/>
        <w:bottom w:val="none" w:sz="0" w:space="0" w:color="auto"/>
        <w:right w:val="none" w:sz="0" w:space="0" w:color="auto"/>
      </w:divBdr>
    </w:div>
    <w:div w:id="1398747683">
      <w:bodyDiv w:val="1"/>
      <w:marLeft w:val="0"/>
      <w:marRight w:val="0"/>
      <w:marTop w:val="0"/>
      <w:marBottom w:val="0"/>
      <w:divBdr>
        <w:top w:val="none" w:sz="0" w:space="0" w:color="auto"/>
        <w:left w:val="none" w:sz="0" w:space="0" w:color="auto"/>
        <w:bottom w:val="none" w:sz="0" w:space="0" w:color="auto"/>
        <w:right w:val="none" w:sz="0" w:space="0" w:color="auto"/>
      </w:divBdr>
    </w:div>
    <w:div w:id="1600066638">
      <w:bodyDiv w:val="1"/>
      <w:marLeft w:val="0"/>
      <w:marRight w:val="0"/>
      <w:marTop w:val="0"/>
      <w:marBottom w:val="0"/>
      <w:divBdr>
        <w:top w:val="none" w:sz="0" w:space="0" w:color="auto"/>
        <w:left w:val="none" w:sz="0" w:space="0" w:color="auto"/>
        <w:bottom w:val="none" w:sz="0" w:space="0" w:color="auto"/>
        <w:right w:val="none" w:sz="0" w:space="0" w:color="auto"/>
      </w:divBdr>
    </w:div>
    <w:div w:id="1668827389">
      <w:bodyDiv w:val="1"/>
      <w:marLeft w:val="0"/>
      <w:marRight w:val="0"/>
      <w:marTop w:val="0"/>
      <w:marBottom w:val="0"/>
      <w:divBdr>
        <w:top w:val="none" w:sz="0" w:space="0" w:color="auto"/>
        <w:left w:val="none" w:sz="0" w:space="0" w:color="auto"/>
        <w:bottom w:val="none" w:sz="0" w:space="0" w:color="auto"/>
        <w:right w:val="none" w:sz="0" w:space="0" w:color="auto"/>
      </w:divBdr>
    </w:div>
    <w:div w:id="1901867401">
      <w:bodyDiv w:val="1"/>
      <w:marLeft w:val="0"/>
      <w:marRight w:val="0"/>
      <w:marTop w:val="0"/>
      <w:marBottom w:val="0"/>
      <w:divBdr>
        <w:top w:val="none" w:sz="0" w:space="0" w:color="auto"/>
        <w:left w:val="none" w:sz="0" w:space="0" w:color="auto"/>
        <w:bottom w:val="none" w:sz="0" w:space="0" w:color="auto"/>
        <w:right w:val="none" w:sz="0" w:space="0" w:color="auto"/>
      </w:divBdr>
    </w:div>
    <w:div w:id="206622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D109D-116A-4937-99FC-DB82DA236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8</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2024-06-16T08:09:00Z</dcterms:created>
  <dcterms:modified xsi:type="dcterms:W3CDTF">2024-06-26T11:42:00Z</dcterms:modified>
</cp:coreProperties>
</file>