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w:t>
      </w:r>
    </w:p>
    <w:p>
      <w:pPr>
        <w:spacing w:after="80"/>
      </w:pPr>
      <w:r>
        <w:rPr>
          <w:rFonts w:ascii="Calibri" w:hAnsi="Calibri"/>
          <w:b/>
          <w:i w:val="0"/>
          <w:color w:val="000000"/>
          <w:sz w:val="28"/>
        </w:rPr>
        <w:t>Evacuva: Scalable Sensor-Assisted Evacuation Routing</w:t>
      </w:r>
    </w:p>
    <w:p>
      <w:pPr>
        <w:keepNext w:val="0"/>
        <w:spacing w:after="160"/>
      </w:pPr>
      <w:r>
        <w:t>Final Distinction Project Report</w:t>
      </w:r>
    </w:p>
    <w:p>
      <w:pPr>
        <w:spacing w:before="80" w:after="140"/>
        <w:pBdr>
          <w:top w:val="single" w:sz="10" w:space="8" w:color="1F3864"/>
          <w:left w:val="single" w:sz="10" w:space="8" w:color="1F3864"/>
          <w:bottom w:val="single" w:sz="10" w:space="8" w:color="1F3864"/>
          <w:right w:val="single" w:sz="10" w:space="8" w:color="1F3864"/>
        </w:pBdr>
      </w:pPr>
      <w:r>
        <w:rPr>
          <w:rFonts w:ascii="Calibri" w:hAnsi="Calibri"/>
          <w:b/>
          <w:i w:val="0"/>
          <w:color w:val="1F3864"/>
          <w:sz w:val="22"/>
        </w:rPr>
        <w:t xml:space="preserve">Central scalability question: </w:t>
      </w:r>
      <w:r>
        <w:rPr>
          <w:rFonts w:ascii="Calibri" w:hAnsi="Calibri"/>
          <w:b w:val="0"/>
          <w:i w:val="0"/>
          <w:color w:val="000000"/>
          <w:sz w:val="22"/>
        </w:rPr>
        <w:t>Can a queue-backed pool of AWS route workers return the twentieth consecutive validated evacuation route within five seconds more reliably than one sequential worker?</w:t>
      </w:r>
    </w:p>
    <w:p>
      <w:pPr>
        <w:pStyle w:val="Heading2"/>
      </w:pPr>
      <w:r>
        <w:t>Executive Summary</w:t>
      </w:r>
    </w:p>
    <w:p>
      <w:pPr>
        <w:keepNext w:val="0"/>
        <w:spacing w:after="100"/>
      </w:pPr>
      <w:r>
        <w:rPr>
          <w:rFonts w:ascii="Calibri" w:hAnsi="Calibri"/>
          <w:b w:val="0"/>
          <w:i w:val="0"/>
          <w:color w:val="000000"/>
          <w:sz w:val="22"/>
        </w:rPr>
        <w:t>Evacuva is a scalable IoT evacuation-routing prototype built around a generated 100 by 100 floorplan, 42 simulated smoke, temperature, occupancy and exit-door sensors, and ten people located on different walkable cells. Sensor readings are converted into changing route risks and blocked areas. A weighted Dijkstra calculation then finds a lower-risk path to an available exit, and an independent validator checks that every reported route is continuous, walkable and correctly terminated.</w:t>
      </w:r>
    </w:p>
    <w:p>
      <w:pPr>
        <w:keepNext w:val="0"/>
        <w:spacing w:after="100"/>
      </w:pPr>
      <w:r>
        <w:rPr>
          <w:rFonts w:ascii="Calibri" w:hAnsi="Calibri"/>
          <w:b w:val="0"/>
          <w:i w:val="0"/>
          <w:color w:val="000000"/>
          <w:sz w:val="22"/>
        </w:rPr>
        <w:t>Scalability is evaluated across the complete request path rather than by quoting the local algorithm time. A single route calculation can finish in roughly one hundred milliseconds locally, but concurrent users introduce queue waiting, network calls, storage operations and result polling. The final architecture therefore separates sensor-state updates from occupant route requests, places HTTP ingress behind an Application Load Balancer, stores route jobs in SQS and allows a stateless ECS worker pool to process those jobs in parallel. The controlled result improved the median twentieth-request latency from 11,431 ms with one worker to 4,050 ms with six workers.</w:t>
      </w:r>
    </w:p>
    <w:p>
      <w:pPr>
        <w:pStyle w:val="Heading2"/>
      </w:pPr>
      <w:r>
        <w:t>Objectives and Success Criterion</w:t>
      </w:r>
    </w:p>
    <w:p>
      <w:pPr>
        <w:pStyle w:val="ListBullet"/>
        <w:spacing w:after="40"/>
      </w:pPr>
      <w:r>
        <w:t>Convert live sensor readings into a versioned building state and calculate a validated safest route.</w:t>
      </w:r>
    </w:p>
    <w:p>
      <w:pPr>
        <w:pStyle w:val="ListBullet"/>
        <w:spacing w:after="40"/>
      </w:pPr>
      <w:r>
        <w:t>Keep incoming requests durable while allowing independent route calculations to run concurrently.</w:t>
      </w:r>
    </w:p>
    <w:p>
      <w:pPr>
        <w:pStyle w:val="ListBullet"/>
        <w:spacing w:after="40"/>
      </w:pPr>
      <w:r>
        <w:t>Increase or reduce cloud worker capacity in response to measured queue backlog.</w:t>
      </w:r>
    </w:p>
    <w:p>
      <w:pPr>
        <w:pStyle w:val="ListBullet"/>
        <w:spacing w:after="40"/>
      </w:pPr>
      <w:r>
        <w:t>Demonstrate whether the twentieth consecutive request returns a valid safe route within five seconds.</w:t>
      </w:r>
    </w:p>
    <w:p>
      <w:pPr>
        <w:pStyle w:val="ListBullet"/>
        <w:spacing w:after="40"/>
      </w:pPr>
      <w:r>
        <w:t>Record failures and limitations instead of treating one successful run as a guaranteed SLA.</w:t>
      </w:r>
    </w:p>
    <w:p>
      <w:pPr>
        <w:pStyle w:val="Heading2"/>
      </w:pPr>
      <w:r>
        <w:t>Scope</w:t>
      </w:r>
    </w:p>
    <w:p>
      <w:pPr>
        <w:keepNext w:val="0"/>
        <w:spacing w:after="100"/>
      </w:pPr>
      <w:r>
        <w:rPr>
          <w:rFonts w:ascii="Calibri" w:hAnsi="Calibri"/>
          <w:b w:val="0"/>
          <w:i w:val="0"/>
          <w:color w:val="000000"/>
          <w:sz w:val="22"/>
        </w:rPr>
        <w:t>The implemented scope includes seeded scenario generation, sensor simulation, local MQTT messaging, Node-RED validation and batching, AWS IoT Core ingestion, separate state and route queues, DynamoDB versioned state, container images in ECR, two request-service tasks behind an ALB, a two-to-ten ECS route-worker service, CloudWatch-driven scaling, repeatable load generation and a standalone Next.js dashboard. The system is a university prototype rather than a certified life-safety product. Authentication, infrastructure-as-code, CI/CD, production alerting and measured carbon emissions remain outside the approved scope.</w:t>
      </w:r>
    </w:p>
    <w:p>
      <w:r>
        <w:br w:type="page"/>
      </w:r>
    </w:p>
    <w:p>
      <w:pPr>
        <w:pStyle w:val="Heading1"/>
      </w:pPr>
      <w:r>
        <w:t>Architecture and Scalability Design</w:t>
      </w:r>
    </w:p>
    <w:p>
      <w:pPr>
        <w:pStyle w:val="Heading1"/>
      </w:pPr>
      <w:r>
        <w:t>Flow Diagram</w:t>
      </w:r>
    </w:p>
    <w:p>
      <w:pPr>
        <w:spacing w:before="440" w:after="560"/>
        <w:jc w:val="center"/>
      </w:pPr>
      <w:r>
        <w:rPr>
          <w:rFonts w:ascii="Calibri" w:hAnsi="Calibri"/>
          <w:b w:val="0"/>
          <w:i/>
          <w:color w:val="000000"/>
          <w:sz w:val="22"/>
        </w:rPr>
        <w:t>[Diagram to be inserted]</w:t>
      </w:r>
    </w:p>
    <w:p>
      <w:pPr>
        <w:pStyle w:val="Heading2"/>
      </w:pPr>
      <w:r>
        <w:t>Architecture Responsibilities</w:t>
      </w:r>
    </w:p>
    <w:p>
      <w:pPr>
        <w:keepNext w:val="0"/>
        <w:spacing w:after="100"/>
      </w:pPr>
      <w:r>
        <w:rPr>
          <w:rFonts w:ascii="Calibri" w:hAnsi="Calibri"/>
          <w:b w:val="0"/>
          <w:i w:val="0"/>
          <w:color w:val="000000"/>
          <w:sz w:val="22"/>
        </w:rPr>
        <w:t>Sensor updates first travel from 42 Node.js sensor nodes through a local MQTT broker. Node-RED rejects malformed, wrong-scenario and stale-sequence messages, combines the five automatic readings produced each interval, and publishes accepted batches through a certificate-authenticated TLS connection to AWS IoT Core. An IoT rule forwards each batch to the state-update queue. The state coordinator applies that batch exactly once and writes both the current DynamoDB state and an immutable STATE#version snapshot. After the version exists, ten occupant requests can reference the same consistent building state without applying the sensor readings again.</w:t>
      </w:r>
    </w:p>
    <w:p>
      <w:r>
        <w:t>The HTTP and calculation paths are deliberately separated. The ALB distributes submissions and result lookups across two healthy request-service tasks in different availability zones. A request service validates the scenario, occupant, starting coordinate and immutable state version, returns HTTP 202, and places one durable route-calculation event on SQS. It never calculates the route. SQS then assigns stored messages to competing route-worker tasks, so workers remain outside the ALB target group and require no inbound network rule.</w:t>
      </w:r>
    </w:p>
    <w:p>
      <w:r>
        <w:t>Each worker is packaged as a non-root Node.js container, stored in a private ECR repository and run as an ECS Fargate task. A worker receives one message, reads the named immutable state, calculates and validates one occupant route, and conditionally stores one RESULT#requestId item. This stateless, read-only calculation model allows additional workers to be started without synchronising process memory or duplicating state mutation.</w:t>
      </w:r>
    </w:p>
    <w:p>
      <w:pPr>
        <w:spacing w:after="0"/>
      </w:pPr>
    </w:p>
    <w:p>
      <w:pPr>
        <w:pStyle w:val="Heading2"/>
      </w:pPr>
      <w:r>
        <w:t>Consistency and Failure Isolation</w:t>
      </w:r>
    </w:p>
    <w:p>
      <w:pPr>
        <w:keepNext w:val="0"/>
        <w:spacing w:after="100"/>
      </w:pPr>
      <w:r>
        <w:t>Each accepted sensor batch advances the shared building state once through a dedicated state coordinator. The coordinator atomically stores the current state pointer, an immutable STATE#version record and a batch marker. Every occupant request names that exact version, so a worker delayed in the queue cannot silently use newer sensor data. Conditional result writes make repeated SQS deliveries idempotent. Invalid or repeatedly failing requests remain available for retry and move to a dedicated failure queue after three receives.</w:t>
      </w:r>
    </w:p>
    <w:p>
      <w:pPr>
        <w:pStyle w:val="Heading2"/>
      </w:pPr>
      <w:r>
        <w:t>Autoscaling Design</w:t>
      </w:r>
    </w:p>
    <w:p>
      <w:pPr>
        <w:keepNext w:val="0"/>
        <w:spacing w:after="100"/>
      </w:pPr>
      <w:r>
        <w:rPr>
          <w:rFonts w:ascii="Calibri" w:hAnsi="Calibri"/>
          <w:b w:val="0"/>
          <w:i w:val="0"/>
          <w:color w:val="000000"/>
          <w:sz w:val="22"/>
        </w:rPr>
        <w:t>Application Auto Scaling controls a normal minimum of two and maximum of ten route-worker tasks. CloudWatch metric math divides ApproximateNumberOfMessagesVisible by RunningTaskCount, producing a backlog-per-worker signal that relates waiting work to available processing capacity. The calibrated target is 0.5 queued messages per worker, with a 30-second scale-out cooldown and a 180-second scale-in cooldown. The first target-tracking configuration required three samples and reacted too slowly to brief five-second bursts, so a one-period step scale-out alarm was added. The revised periodic test observed desired capacity change from two to six workers and later return to the two-worker baseline after the queue drained. No artificial computation delay was used.</w:t>
      </w:r>
    </w:p>
    <w:p>
      <w:r>
        <w:br w:type="page"/>
      </w:r>
    </w:p>
    <w:p>
      <w:pPr>
        <w:pStyle w:val="Heading1"/>
      </w:pPr>
      <w:r>
        <w:t>Implementation</w:t>
      </w:r>
    </w:p>
    <w:p>
      <w:pPr>
        <w:pStyle w:val="Heading2"/>
      </w:pPr>
      <w:r>
        <w:t>Sensor and Edge Pipeline</w:t>
      </w:r>
    </w:p>
    <w:p>
      <w:pPr>
        <w:keepNext w:val="0"/>
        <w:spacing w:after="100"/>
      </w:pPr>
      <w:r>
        <w:t>One Node.js simulator owns 42 independent sensor-node objects. Five different readings are published through the local MQTT broker every five seconds, and the rotation covers all sensors over a 60-second cycle. Manual override and resume commands use dedicated MQTT topics, allowing a selected sensor to change immediately without blocking the automatic schedule. Node-RED validates message schemas, scenario identity and sequence order, combines automatic readings into five-reading batches, publishes manual updates immediately, and forwards accepted batches to AWS IoT Core using TLS device credentials.</w:t>
      </w:r>
    </w:p>
    <w:p>
      <w:pPr>
        <w:pStyle w:val="Heading2"/>
      </w:pPr>
      <w:r>
        <w:t>Route and State Model</w:t>
      </w:r>
    </w:p>
    <w:p>
      <w:pPr>
        <w:keepNext w:val="0"/>
        <w:spacing w:after="100"/>
      </w:pPr>
      <w:r>
        <w:t>The core package generates a repeatable connected floorplan from a seed and converts sensor conditions into cell weights or hard blocks. Dijkstra's shortest-path method (Dijkstra 1959) selects the lowest accumulated risk path to an available exit. A separate validator checks that a successful path begins at the requested coordinate, remains inside the grid, moves through adjacent walkable cells and ends at an exit. The route worker reads one immutable state version, calculates one occupant route and writes one RESULT#requestId record without mutating shared building state.</w:t>
      </w:r>
    </w:p>
    <w:p>
      <w:pPr>
        <w:pStyle w:val="Heading2"/>
      </w:pPr>
      <w:r>
        <w:t>Software Components</w:t>
      </w:r>
    </w:p>
    <w:p>
      <w:pPr>
        <w:keepNext w:val="0"/>
        <w:spacing w:after="100"/>
      </w:pPr>
      <w:r>
        <w:rPr>
          <w:rFonts w:ascii="Calibri" w:hAnsi="Calibri"/>
          <w:b w:val="0"/>
          <w:i w:val="0"/>
          <w:color w:val="000000"/>
          <w:sz w:val="22"/>
        </w:rPr>
        <w:t>The JavaScript codebase uses focused factory functions rather than a broad inheritance hierarchy. createSensorSimulator coordinates individual sensor-node state; createSqsStateCoordinator owns ordered state advancement; createRequestService owns ALB-facing HTTP behaviour; createSqsRouteWorker owns one queue-to-result calculation; and createRouteLoadGenerator owns concurrent submission, result polling and latency statistics. MinimumPriorityQueue is the binary min-heap used by Dijkstra's algorithm, while HttpError carries controlled HTTP status information. There are no main.ino or .cpp files, RTOS priorities, task schedulers or semaphores in this implementation, so those mechanisms are not presented as evidence.</w:t>
      </w:r>
    </w:p>
    <w:p>
      <w:pPr>
        <w:pStyle w:val="Heading2"/>
      </w:pPr>
      <w:r>
        <w:t>Scalability-Oriented Implementation Decisions</w:t>
      </w:r>
    </w:p>
    <w:p>
      <w:r>
        <w:t>Several smaller choices support horizontal scaling. Standard SQS delivery is treated as at-least-once, so duplicate message IDs do not create a second route result. A failed message is deleted only after durable processing succeeds; repeated failures move to a dead-letter queue after three receives. DynamoDB current state, immutable versions and batch markers prevent stale or repeated sensor updates from changing a request already in flight. Long polling avoids continuous empty queue requests, while one-message-per-worker receipt keeps the unit of work simple. The load generator validates every returned route before counting it as successful, preventing a fast malformed response from improving the reported scalability result.</w:t>
      </w:r>
    </w:p>
    <w:p>
      <w:pPr>
        <w:spacing w:after="0"/>
      </w:pPr>
    </w:p>
    <w:p>
      <w:pPr>
        <w:pStyle w:val="Heading2"/>
      </w:pPr>
      <w:r>
        <w:t>Visual Application</w:t>
      </w:r>
    </w:p>
    <w:p>
      <w:pPr>
        <w:keepNext w:val="0"/>
        <w:spacing w:after="100"/>
      </w:pPr>
      <w:r>
        <w:t>A standalone Next.js and React application displays the 100 by 100 floorplan, all ten occupants, all 42 sensor readings, the selected route and directional guidance. Occupants are black, while temperature, occupancy, smoke and exit-door sensors use red, blue, orange and green. Sensor overrides and automatic-mode resume commands are available from the same interface. The application is separate from Node-RED, preserving Node-RED's focused validation and batching role.</w:t>
      </w:r>
    </w:p>
    <w:p>
      <w:r>
        <w:br w:type="page"/>
      </w:r>
    </w:p>
    <w:p>
      <w:pPr>
        <w:pStyle w:val="Heading1"/>
      </w:pPr>
      <w:r>
        <w:t>Evaluation and Testing</w:t>
      </w:r>
    </w:p>
    <w:p>
      <w:pPr>
        <w:pStyle w:val="Heading2"/>
      </w:pPr>
      <w:r>
        <w:t>Execution and Concurrency Model</w:t>
      </w:r>
    </w:p>
    <w:p>
      <w:pPr>
        <w:keepNext w:val="0"/>
        <w:spacing w:after="100"/>
      </w:pPr>
      <w:r>
        <w:t>Evacuva does not use an RTOS, tick interrupt or main.ino setup routine. Scheduling occurs at two real layers. Locally, Node.js uses its event loop and a recursive non-blocking timer for the five-second sensor interval. The next interval is scheduled only after the current publish callbacks finish, preventing overlapping local batches without introducing a blocking sleep. MQTT callbacks handle manual commands independently, and the test suite calls direct advancement methods so timing tests remain deterministic.</w:t>
      </w:r>
    </w:p>
    <w:p>
      <w:pPr>
        <w:keepNext w:val="0"/>
        <w:spacing w:after="100"/>
      </w:pPr>
      <w:r>
        <w:t>In AWS, each ECS task runs one Node.js process. A route worker long-polls SQS and requests at most one message at a time. Multiple tasks act as competing consumers, so SQS assigns different messages to available workers and calculations run in parallel across processes. No application-level thread priority or semaphore is required: shared state is avoided through immutable version reads, while DynamoDB conditional writes and transaction checks protect result and state consistency. The visibility timeout supplies temporary message ownership; unsuccessful processing leaves the message undeleted for retry.</w:t>
      </w:r>
    </w:p>
    <w:p>
      <w:pPr>
        <w:keepNext w:val="0"/>
        <w:spacing w:after="100"/>
      </w:pPr>
      <w:r>
        <w:t>The state coordinator uses a different SQS queue and process because state advancement must remain serial and idempotent, whereas occupant route calculations are independent and horizontally scalable. This separation prevents ten occupant requests from applying the same five-second sensor batch ten times. It also removes the state-write conflict that would occur if every route worker attempted to update shared state.</w:t>
      </w:r>
    </w:p>
    <w:p>
      <w:pPr>
        <w:pStyle w:val="Heading2"/>
      </w:pPr>
      <w:r>
        <w:t>Controlled Experiment Method</w:t>
      </w:r>
    </w:p>
    <w:p>
      <w:pPr>
        <w:keepNext w:val="0"/>
        <w:spacing w:after="100"/>
      </w:pPr>
      <w:r>
        <w:rPr>
          <w:rFonts w:ascii="Calibri" w:hAnsi="Calibri"/>
          <w:b w:val="0"/>
          <w:i w:val="0"/>
          <w:color w:val="000000"/>
          <w:sz w:val="22"/>
        </w:rPr>
        <w:t>The controlled comparison kept the scenario, state version, ALB, two request-service tasks, request payloads, result polling and route validation unchanged. Only warm route-worker capacity changed between one and six. Scale-in was temporarily paused so capacity remained stable during each burst, and normal scaling was restored afterwards. Five 20-request trials were retained for each configuration. A trial passed only when request 20 returned a contract-valid route within 5,000 ms end-to-end. Separate 50- and 100-request bursts evaluated median and p95 behaviour, and three periodic experiments submitted ten requests every five seconds for 48 intervals. Client-observed time covered HTTP submission, queue waiting, calculation, DynamoDB storage and result retrieval.</w:t>
      </w:r>
    </w:p>
    <w:tbl>
      <w:tblPr>
        <w:tblStyle w:val="TableGrid"/>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00"/>
        <w:gridCol w:w="6060"/>
      </w:tblGrid>
      <w:tr>
        <w:tc>
          <w:tcPr>
            <w:tcW w:type="dxa" w:w="3300"/>
            <w:tcMar>
              <w:top w:w="80" w:type="dxa"/>
              <w:start w:w="120" w:type="dxa"/>
              <w:bottom w:w="80" w:type="dxa"/>
              <w:end w:w="120" w:type="dxa"/>
            </w:tcMar>
            <w:vAlign w:val="center"/>
          </w:tcPr>
          <w:p>
            <w:pPr>
              <w:spacing w:before="0" w:after="0" w:line="240" w:lineRule="auto"/>
            </w:pPr>
            <w:r>
              <w:rPr>
                <w:rFonts w:ascii="Calibri" w:hAnsi="Calibri"/>
                <w:b/>
                <w:i w:val="0"/>
                <w:color w:val="000000"/>
                <w:sz w:val="18"/>
              </w:rPr>
              <w:t>Measured item</w:t>
            </w:r>
          </w:p>
        </w:tc>
        <w:tc>
          <w:tcPr>
            <w:tcW w:type="dxa" w:w="6060"/>
            <w:tcMar>
              <w:top w:w="80" w:type="dxa"/>
              <w:start w:w="120" w:type="dxa"/>
              <w:bottom w:w="80" w:type="dxa"/>
              <w:end w:w="120" w:type="dxa"/>
            </w:tcMar>
            <w:vAlign w:val="center"/>
          </w:tcPr>
          <w:p>
            <w:pPr>
              <w:spacing w:before="0" w:after="0" w:line="240" w:lineRule="auto"/>
            </w:pPr>
            <w:r>
              <w:rPr>
                <w:rFonts w:ascii="Calibri" w:hAnsi="Calibri"/>
                <w:b/>
                <w:i w:val="0"/>
                <w:color w:val="000000"/>
                <w:sz w:val="18"/>
              </w:rPr>
              <w:t>Reason for inclusion</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Median, p95 and maximum latency</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Show typical and tail behaviour rather than one selected request</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Twentieth-request latency</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Directly evaluate the submitted five-second SLA</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Valid route count</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Prevent fast invalid responses from being counted as success</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Visible and in-flight queue depth</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Show backlog accumulation and recovery</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Running task count and scaling history</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Prove that capacity changed during the workload</w:t>
            </w:r>
          </w:p>
        </w:tc>
      </w:tr>
      <w:tr>
        <w:tc>
          <w:tcPr>
            <w:tcW w:type="dxa" w:w="33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ALB target and generated errors</w:t>
            </w:r>
          </w:p>
        </w:tc>
        <w:tc>
          <w:tcPr>
            <w:tcW w:type="dxa" w:w="60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Separate application failures from ingress failures</w:t>
            </w:r>
          </w:p>
        </w:tc>
      </w:tr>
    </w:tbl>
    <w:p>
      <w:pPr>
        <w:spacing w:after="0"/>
      </w:pPr>
    </w:p>
    <w:p>
      <w:pPr>
        <w:pStyle w:val="Heading2"/>
      </w:pPr>
      <w:r>
        <w:t>Correctness and Reliability Checks</w:t>
      </w:r>
    </w:p>
    <w:p>
      <w:pPr>
        <w:keepNext w:val="0"/>
        <w:spacing w:after="100"/>
      </w:pPr>
      <w:r>
        <w:t>The complete local quality gate passed ESLint, Prettier and 125 deterministic tests. Tests cover successful and failed routing, sensor commands, schema validation, stale events, state transactions, duplicate delivery, HTTP request validation, result lookup, queue behaviour, dashboard mapping and load statistics. A live invalid message was rejected on receives one, two and three, then appeared unchanged in the failure queue. A repeated valid state batch was deleted as a duplicate and did not advance the DynamoDB state version.</w:t>
      </w:r>
    </w:p>
    <w:p>
      <w:r>
        <w:br w:type="page"/>
      </w:r>
    </w:p>
    <w:p>
      <w:pPr>
        <w:pStyle w:val="Heading1"/>
      </w:pPr>
      <w:r>
        <w:t>Results and Critical Evaluation</w:t>
      </w:r>
    </w:p>
    <w:p>
      <w:pPr>
        <w:pStyle w:val="Heading2"/>
      </w:pPr>
      <w:r>
        <w:t>Twentieth-Request SLA</w:t>
      </w:r>
    </w:p>
    <w:tbl>
      <w:tblPr>
        <w:tblStyle w:val="TableGrid"/>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50"/>
        <w:gridCol w:w="1250"/>
        <w:gridCol w:w="1700"/>
        <w:gridCol w:w="1900"/>
        <w:gridCol w:w="3260"/>
      </w:tblGrid>
      <w:tr>
        <w:tc>
          <w:tcPr>
            <w:tcW w:type="dxa" w:w="1250"/>
            <w:tcMar>
              <w:top w:w="80" w:type="dxa"/>
              <w:start w:w="120" w:type="dxa"/>
              <w:bottom w:w="80" w:type="dxa"/>
              <w:end w:w="120" w:type="dxa"/>
            </w:tcMar>
            <w:vAlign w:val="center"/>
          </w:tcPr>
          <w:p>
            <w:pPr>
              <w:spacing w:before="0" w:after="0" w:line="240" w:lineRule="auto"/>
            </w:pPr>
            <w:r>
              <w:rPr>
                <w:rFonts w:ascii="Calibri" w:hAnsi="Calibri"/>
                <w:b/>
                <w:i w:val="0"/>
                <w:color w:val="000000"/>
                <w:sz w:val="18"/>
              </w:rPr>
              <w:t>Capacity</w:t>
            </w:r>
          </w:p>
        </w:tc>
        <w:tc>
          <w:tcPr>
            <w:tcW w:type="dxa" w:w="1250"/>
            <w:tcMar>
              <w:top w:w="80" w:type="dxa"/>
              <w:start w:w="120" w:type="dxa"/>
              <w:bottom w:w="80" w:type="dxa"/>
              <w:end w:w="120" w:type="dxa"/>
            </w:tcMar>
            <w:vAlign w:val="center"/>
          </w:tcPr>
          <w:p>
            <w:pPr>
              <w:spacing w:before="0" w:after="0" w:line="240" w:lineRule="auto"/>
            </w:pPr>
            <w:r>
              <w:rPr>
                <w:rFonts w:ascii="Calibri" w:hAnsi="Calibri"/>
                <w:b/>
                <w:i w:val="0"/>
                <w:color w:val="000000"/>
                <w:sz w:val="18"/>
              </w:rPr>
              <w:t>Trials passed</w:t>
            </w:r>
          </w:p>
        </w:tc>
        <w:tc>
          <w:tcPr>
            <w:tcW w:type="dxa" w:w="1700"/>
            <w:tcMar>
              <w:top w:w="80" w:type="dxa"/>
              <w:start w:w="120" w:type="dxa"/>
              <w:bottom w:w="80" w:type="dxa"/>
              <w:end w:w="120" w:type="dxa"/>
            </w:tcMar>
            <w:vAlign w:val="center"/>
          </w:tcPr>
          <w:p>
            <w:pPr>
              <w:spacing w:before="0" w:after="0" w:line="240" w:lineRule="auto"/>
            </w:pPr>
            <w:r>
              <w:rPr>
                <w:rFonts w:ascii="Calibri" w:hAnsi="Calibri"/>
                <w:b/>
                <w:i w:val="0"/>
                <w:color w:val="000000"/>
                <w:sz w:val="18"/>
              </w:rPr>
              <w:t>Valid client results</w:t>
            </w:r>
          </w:p>
        </w:tc>
        <w:tc>
          <w:tcPr>
            <w:tcW w:type="dxa" w:w="1900"/>
            <w:tcMar>
              <w:top w:w="80" w:type="dxa"/>
              <w:start w:w="120" w:type="dxa"/>
              <w:bottom w:w="80" w:type="dxa"/>
              <w:end w:w="120" w:type="dxa"/>
            </w:tcMar>
            <w:vAlign w:val="center"/>
          </w:tcPr>
          <w:p>
            <w:pPr>
              <w:spacing w:before="0" w:after="0" w:line="240" w:lineRule="auto"/>
            </w:pPr>
            <w:r>
              <w:rPr>
                <w:rFonts w:ascii="Calibri" w:hAnsi="Calibri"/>
                <w:b/>
                <w:i w:val="0"/>
                <w:color w:val="000000"/>
                <w:sz w:val="18"/>
              </w:rPr>
              <w:t>20th-request median</w:t>
            </w:r>
          </w:p>
        </w:tc>
        <w:tc>
          <w:tcPr>
            <w:tcW w:type="dxa" w:w="3260"/>
            <w:tcMar>
              <w:top w:w="80" w:type="dxa"/>
              <w:start w:w="120" w:type="dxa"/>
              <w:bottom w:w="80" w:type="dxa"/>
              <w:end w:w="120" w:type="dxa"/>
            </w:tcMar>
            <w:vAlign w:val="center"/>
          </w:tcPr>
          <w:p>
            <w:pPr>
              <w:spacing w:before="0" w:after="0" w:line="240" w:lineRule="auto"/>
            </w:pPr>
            <w:r>
              <w:rPr>
                <w:rFonts w:ascii="Calibri" w:hAnsi="Calibri"/>
                <w:b/>
                <w:i w:val="0"/>
                <w:color w:val="000000"/>
                <w:sz w:val="18"/>
              </w:rPr>
              <w:t>Observed conclusion</w:t>
            </w:r>
          </w:p>
        </w:tc>
      </w:tr>
      <w:tr>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 worker</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0/5</w:t>
            </w:r>
          </w:p>
        </w:tc>
        <w:tc>
          <w:tcPr>
            <w:tcW w:type="dxa" w:w="17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100/100</w:t>
            </w:r>
          </w:p>
        </w:tc>
        <w:tc>
          <w:tcPr>
            <w:tcW w:type="dxa" w:w="1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11,431 ms</w:t>
            </w:r>
          </w:p>
        </w:tc>
        <w:tc>
          <w:tcPr>
            <w:tcW w:type="dxa" w:w="32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Consistent SLA failure</w:t>
            </w:r>
          </w:p>
        </w:tc>
      </w:tr>
      <w:tr>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6 workers</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4/5</w:t>
            </w:r>
          </w:p>
        </w:tc>
        <w:tc>
          <w:tcPr>
            <w:tcW w:type="dxa" w:w="17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97/100</w:t>
            </w:r>
          </w:p>
        </w:tc>
        <w:tc>
          <w:tcPr>
            <w:tcW w:type="dxa" w:w="1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4,050 ms</w:t>
            </w:r>
          </w:p>
        </w:tc>
        <w:tc>
          <w:tcPr>
            <w:tcW w:type="dxa" w:w="326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Clear benefit; not guaranteed</w:t>
            </w:r>
          </w:p>
        </w:tc>
      </w:tr>
    </w:tbl>
    <w:p>
      <w:pPr>
        <w:spacing w:after="0"/>
      </w:pPr>
    </w:p>
    <w:p>
      <w:pPr>
        <w:keepNext w:val="0"/>
        <w:spacing w:after="100"/>
      </w:pPr>
      <w:r>
        <w:t>The matched comparison reduced the twentieth-request median by approximately 64.6 percent. The first six-worker trial completed request 20 in 4,207 ms, compared with 13,843 ms for the recorded one-worker baseline. However, one of the five six-worker trials failed because the client received an error, producing an 80 percent trial pass rate. The result demonstrates scalability but does not establish a guaranteed SLA.</w:t>
      </w:r>
    </w:p>
    <w:p>
      <w:pPr>
        <w:pStyle w:val="Heading2"/>
      </w:pPr>
      <w:r>
        <w:t>Larger Burst Results</w:t>
      </w:r>
    </w:p>
    <w:tbl>
      <w:tblPr>
        <w:tblStyle w:val="TableGrid"/>
        <w:tblW w:type="dxa" w:w="9360"/>
        <w:jc w:val="left"/>
        <w:tblLayout w:type="fixed"/>
        <w:tblLook w:firstColumn="1" w:firstRow="1" w:lastColumn="0" w:lastRow="0" w:noHBand="0" w:noVBand="1" w:val="04A0"/>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0"/>
        <w:gridCol w:w="900"/>
        <w:gridCol w:w="1250"/>
        <w:gridCol w:w="2000"/>
        <w:gridCol w:w="2000"/>
        <w:gridCol w:w="2310"/>
      </w:tblGrid>
      <w:tr>
        <w:tc>
          <w:tcPr>
            <w:tcW w:type="dxa" w:w="900"/>
            <w:tcMar>
              <w:top w:w="80" w:type="dxa"/>
              <w:start w:w="120" w:type="dxa"/>
              <w:bottom w:w="80" w:type="dxa"/>
              <w:end w:w="120" w:type="dxa"/>
            </w:tcMar>
            <w:vAlign w:val="center"/>
          </w:tcPr>
          <w:p>
            <w:pPr>
              <w:spacing w:before="0" w:after="0" w:line="240" w:lineRule="auto"/>
            </w:pPr>
            <w:r>
              <w:rPr>
                <w:rFonts w:ascii="Calibri" w:hAnsi="Calibri"/>
                <w:b/>
                <w:i w:val="0"/>
                <w:color w:val="000000"/>
                <w:sz w:val="18"/>
              </w:rPr>
              <w:t>Burst</w:t>
            </w:r>
          </w:p>
        </w:tc>
        <w:tc>
          <w:tcPr>
            <w:tcW w:type="dxa" w:w="900"/>
            <w:tcMar>
              <w:top w:w="80" w:type="dxa"/>
              <w:start w:w="120" w:type="dxa"/>
              <w:bottom w:w="80" w:type="dxa"/>
              <w:end w:w="120" w:type="dxa"/>
            </w:tcMar>
            <w:vAlign w:val="center"/>
          </w:tcPr>
          <w:p>
            <w:pPr>
              <w:spacing w:before="0" w:after="0" w:line="240" w:lineRule="auto"/>
            </w:pPr>
            <w:r>
              <w:rPr>
                <w:rFonts w:ascii="Calibri" w:hAnsi="Calibri"/>
                <w:b/>
                <w:i w:val="0"/>
                <w:color w:val="000000"/>
                <w:sz w:val="18"/>
              </w:rPr>
              <w:t>Workers</w:t>
            </w:r>
          </w:p>
        </w:tc>
        <w:tc>
          <w:tcPr>
            <w:tcW w:type="dxa" w:w="1250"/>
            <w:tcMar>
              <w:top w:w="80" w:type="dxa"/>
              <w:start w:w="120" w:type="dxa"/>
              <w:bottom w:w="80" w:type="dxa"/>
              <w:end w:w="120" w:type="dxa"/>
            </w:tcMar>
            <w:vAlign w:val="center"/>
          </w:tcPr>
          <w:p>
            <w:pPr>
              <w:spacing w:before="0" w:after="0" w:line="240" w:lineRule="auto"/>
            </w:pPr>
            <w:r>
              <w:rPr>
                <w:rFonts w:ascii="Calibri" w:hAnsi="Calibri"/>
                <w:b/>
                <w:i w:val="0"/>
                <w:color w:val="000000"/>
                <w:sz w:val="18"/>
              </w:rPr>
              <w:t>Valid</w:t>
            </w:r>
          </w:p>
        </w:tc>
        <w:tc>
          <w:tcPr>
            <w:tcW w:type="dxa" w:w="2000"/>
            <w:tcMar>
              <w:top w:w="80" w:type="dxa"/>
              <w:start w:w="120" w:type="dxa"/>
              <w:bottom w:w="80" w:type="dxa"/>
              <w:end w:w="120" w:type="dxa"/>
            </w:tcMar>
            <w:vAlign w:val="center"/>
          </w:tcPr>
          <w:p>
            <w:pPr>
              <w:spacing w:before="0" w:after="0" w:line="240" w:lineRule="auto"/>
            </w:pPr>
            <w:r>
              <w:rPr>
                <w:rFonts w:ascii="Calibri" w:hAnsi="Calibri"/>
                <w:b/>
                <w:i w:val="0"/>
                <w:color w:val="000000"/>
                <w:sz w:val="18"/>
              </w:rPr>
              <w:t>Median</w:t>
            </w:r>
          </w:p>
        </w:tc>
        <w:tc>
          <w:tcPr>
            <w:tcW w:type="dxa" w:w="2000"/>
            <w:tcMar>
              <w:top w:w="80" w:type="dxa"/>
              <w:start w:w="120" w:type="dxa"/>
              <w:bottom w:w="80" w:type="dxa"/>
              <w:end w:w="120" w:type="dxa"/>
            </w:tcMar>
            <w:vAlign w:val="center"/>
          </w:tcPr>
          <w:p>
            <w:pPr>
              <w:spacing w:before="0" w:after="0" w:line="240" w:lineRule="auto"/>
            </w:pPr>
            <w:r>
              <w:rPr>
                <w:rFonts w:ascii="Calibri" w:hAnsi="Calibri"/>
                <w:b/>
                <w:i w:val="0"/>
                <w:color w:val="000000"/>
                <w:sz w:val="18"/>
              </w:rPr>
              <w:t>p95</w:t>
            </w:r>
          </w:p>
        </w:tc>
        <w:tc>
          <w:tcPr>
            <w:tcW w:type="dxa" w:w="2310"/>
            <w:tcMar>
              <w:top w:w="80" w:type="dxa"/>
              <w:start w:w="120" w:type="dxa"/>
              <w:bottom w:w="80" w:type="dxa"/>
              <w:end w:w="120" w:type="dxa"/>
            </w:tcMar>
            <w:vAlign w:val="center"/>
          </w:tcPr>
          <w:p>
            <w:pPr>
              <w:spacing w:before="0" w:after="0" w:line="240" w:lineRule="auto"/>
            </w:pPr>
            <w:r>
              <w:rPr>
                <w:rFonts w:ascii="Calibri" w:hAnsi="Calibri"/>
                <w:b/>
                <w:i w:val="0"/>
                <w:color w:val="000000"/>
                <w:sz w:val="18"/>
              </w:rPr>
              <w:t>Maximum</w:t>
            </w:r>
          </w:p>
        </w:tc>
      </w:tr>
      <w:tr>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50</w:t>
            </w:r>
          </w:p>
        </w:tc>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50/50</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18,911 ms</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34,953 ms</w:t>
            </w:r>
          </w:p>
        </w:tc>
        <w:tc>
          <w:tcPr>
            <w:tcW w:type="dxa" w:w="231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36,509 ms</w:t>
            </w:r>
          </w:p>
        </w:tc>
      </w:tr>
      <w:tr>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50</w:t>
            </w:r>
          </w:p>
        </w:tc>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6</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50/50</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11,020 ms</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12,690 ms</w:t>
            </w:r>
          </w:p>
        </w:tc>
        <w:tc>
          <w:tcPr>
            <w:tcW w:type="dxa" w:w="231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13,554 ms</w:t>
            </w:r>
          </w:p>
        </w:tc>
      </w:tr>
      <w:tr>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100</w:t>
            </w:r>
          </w:p>
        </w:tc>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97/100</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37,112 ms</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68,106 ms</w:t>
            </w:r>
          </w:p>
        </w:tc>
        <w:tc>
          <w:tcPr>
            <w:tcW w:type="dxa" w:w="231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70,924 ms</w:t>
            </w:r>
          </w:p>
        </w:tc>
      </w:tr>
      <w:tr>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100</w:t>
            </w:r>
          </w:p>
        </w:tc>
        <w:tc>
          <w:tcPr>
            <w:tcW w:type="dxa" w:w="9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6</w:t>
            </w:r>
          </w:p>
        </w:tc>
        <w:tc>
          <w:tcPr>
            <w:tcW w:type="dxa" w:w="125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99/100</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12,024 ms</w:t>
            </w:r>
          </w:p>
        </w:tc>
        <w:tc>
          <w:tcPr>
            <w:tcW w:type="dxa" w:w="200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19,537 ms</w:t>
            </w:r>
          </w:p>
        </w:tc>
        <w:tc>
          <w:tcPr>
            <w:tcW w:type="dxa" w:w="2310"/>
            <w:tcMar>
              <w:top w:w="80" w:type="dxa"/>
              <w:start w:w="120" w:type="dxa"/>
              <w:bottom w:w="80" w:type="dxa"/>
              <w:end w:w="120" w:type="dxa"/>
            </w:tcMar>
            <w:vAlign w:val="center"/>
          </w:tcPr>
          <w:p>
            <w:pPr>
              <w:spacing w:before="0" w:after="0" w:line="240" w:lineRule="auto"/>
            </w:pPr>
            <w:r>
              <w:rPr>
                <w:rFonts w:ascii="Calibri" w:hAnsi="Calibri"/>
                <w:b w:val="0"/>
                <w:i w:val="0"/>
                <w:color w:val="000000"/>
                <w:sz w:val="18"/>
              </w:rPr>
              <w:t>20,481 ms</w:t>
            </w:r>
          </w:p>
        </w:tc>
      </w:tr>
    </w:tbl>
    <w:p>
      <w:pPr>
        <w:spacing w:after="0"/>
      </w:pPr>
    </w:p>
    <w:p>
      <w:pPr>
        <w:keepNext w:val="0"/>
        <w:spacing w:after="100"/>
      </w:pPr>
      <w:r>
        <w:t>Six workers reduced p95 latency by 63.7 percent for 50 requests and 71.3 percent for 100 requests. Both larger bursts remained above five seconds, showing that additional capacity improved throughput without removing all tail latency. The periodic autoscaling run processed 480 of 480 routes successfully. CloudWatch recorded desired capacity changing from two to six, and later interval maxima fell to approximately 2,600 to 3,200 ms before the queue returned to zero.</w:t>
      </w:r>
    </w:p>
    <w:p>
      <w:pPr>
        <w:pStyle w:val="Heading2"/>
      </w:pPr>
      <w:r>
        <w:t>Sustainability and Limitations</w:t>
      </w:r>
    </w:p>
    <w:p>
      <w:pPr>
        <w:keepNext w:val="0"/>
        <w:spacing w:after="100"/>
      </w:pPr>
      <w:r>
        <w:t>The service scales from a two-worker minimum toward ten only when backlog requires it, then scales in after a longer cooldown. Message batching, compact state records and stateless workers avoid repeated state mutation and unnecessary computation. These are resource-efficiency design choices, not direct measurements of energy or carbon. The AWS Academy experiment did not collect power data, and the minimum of two workers retains idle capacity to reduce cold-start latency.</w:t>
      </w:r>
    </w:p>
    <w:p>
      <w:pPr>
        <w:keepNext w:val="0"/>
        <w:spacing w:after="100"/>
      </w:pPr>
      <w:r>
        <w:t>Three client errors occurred in the main six-worker trials even though DynamoDB later contained successful results. ALB metrics showed generated 5xx responses but no target 5xx or connection errors, and container logging was not enabled for that experiment. The deployed worker also recorded misleading internal queue and total timing fields; client-observed end-to-end figures remain independent and valid, and the local source now contains a regression-tested correction. These constraints are retained as limitations rather than removed from the result set.</w:t>
      </w:r>
    </w:p>
    <w:p>
      <w:pPr>
        <w:pStyle w:val="Heading2"/>
      </w:pPr>
      <w:r>
        <w:t>Conclusion</w:t>
      </w:r>
    </w:p>
    <w:p>
      <w:pPr>
        <w:keepNext w:val="0"/>
        <w:spacing w:after="100"/>
      </w:pPr>
      <w:r>
        <w:rPr>
          <w:rFonts w:ascii="Calibri" w:hAnsi="Calibri"/>
          <w:b w:val="0"/>
          <w:i w:val="0"/>
          <w:color w:val="000000"/>
          <w:sz w:val="22"/>
        </w:rPr>
        <w:t>Evacuva demonstrates that the scalable result came from architectural separation rather than from changing the routing algorithm or inserting delays. ALB distributed HTTP work, SQS absorbed bursts, immutable DynamoDB state removed cross-worker state conflicts, and ECS supplied parallel route consumers according to a measured backlog signal. One worker achieved zero SLA passes across five trials, while six workers achieved four. The 50- and 100-request p95 improvements were 63.7 and 71.3 percent respectively. These results establish a clear scaling benefit while the 80 percent SLA trial pass rate, remaining tail latency and ALB-generated errors show that the prototype is not yet a guaranteed production service.</w:t>
      </w:r>
    </w:p>
    <w:p>
      <w:r>
        <w:br w:type="page"/>
      </w:r>
    </w:p>
    <w:p>
      <w:pPr>
        <w:pStyle w:val="Heading1"/>
      </w:pPr>
      <w:r>
        <w:t>Evidence Appendix</w:t>
      </w:r>
    </w:p>
    <w:p>
      <w:pPr>
        <w:spacing w:after="80"/>
      </w:pPr>
      <w:r>
        <w:t>Replace every outlined box with a readable screenshot before PDF export. Cropping should retain the AWS service name, region, resource name, relevant values and timestamp where available. Credentials, certificates, private keys and unrelated browser content must be excluded.</w:t>
      </w:r>
    </w:p>
    <w:p>
      <w:pPr>
        <w:pStyle w:val="Heading2"/>
      </w:pPr>
      <w:r>
        <w:t>Sensor Ingestion Evidence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Place the Node-RED debug sidebar beside the AWS IoT Core MQTT test client, or insert two tightly cropped images in the same box.</w:t>
      </w:r>
    </w:p>
    <w:p>
      <w:pPr>
        <w:spacing w:after="60"/>
      </w:pPr>
      <w:r>
        <w:rPr>
          <w:rFonts w:ascii="Calibri" w:hAnsi="Calibri"/>
          <w:b/>
          <w:i w:val="0"/>
          <w:color w:val="000000"/>
          <w:sz w:val="22"/>
        </w:rPr>
        <w:t xml:space="preserve">The screenshot must show: </w:t>
      </w:r>
      <w:r>
        <w:rPr>
          <w:rFonts w:ascii="Calibri" w:hAnsi="Calibri"/>
          <w:b w:val="0"/>
          <w:i w:val="0"/>
          <w:color w:val="000000"/>
          <w:sz w:val="22"/>
        </w:rPr>
        <w:t>A valid five-reading batch, scenario-48291, the batch ID, collected timestamp, sensor IDs and the AWS topic evacuva/scenarios/scenario-48291/sensor-reading-batches.</w:t>
      </w:r>
    </w:p>
    <w:p>
      <w:pPr>
        <w:spacing w:after="60"/>
      </w:pPr>
      <w:r>
        <w:rPr>
          <w:rFonts w:ascii="Calibri" w:hAnsi="Calibri"/>
          <w:b/>
          <w:i w:val="0"/>
          <w:color w:val="000000"/>
          <w:sz w:val="22"/>
        </w:rPr>
        <w:t xml:space="preserve">Caption to use: </w:t>
      </w:r>
      <w:r>
        <w:rPr>
          <w:rFonts w:ascii="Calibri" w:hAnsi="Calibri"/>
          <w:b w:val="0"/>
          <w:i w:val="0"/>
          <w:color w:val="000000"/>
          <w:sz w:val="22"/>
        </w:rPr>
        <w:t>Validated sensor readings passing from Node-RED to AWS IoT Core.</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proves that the sensor pipeline reaches AWS after local schema and sequence validation.</w:t>
      </w:r>
    </w:p>
    <w:p>
      <w:pPr>
        <w:pStyle w:val="Heading2"/>
      </w:pPr>
      <w:r>
        <w:t>State and Queue Reliability Evidence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Use the SQS console for evacuva-state-updates and a DynamoDB query for scenario-48291.</w:t>
      </w:r>
    </w:p>
    <w:p>
      <w:pPr>
        <w:spacing w:after="60"/>
      </w:pPr>
      <w:r>
        <w:rPr>
          <w:rFonts w:ascii="Calibri" w:hAnsi="Calibri"/>
          <w:b/>
          <w:i w:val="0"/>
          <w:color w:val="000000"/>
          <w:sz w:val="22"/>
        </w:rPr>
        <w:t xml:space="preserve">The screenshot must show: </w:t>
      </w:r>
      <w:r>
        <w:rPr>
          <w:rFonts w:ascii="Calibri" w:hAnsi="Calibri"/>
          <w:b w:val="0"/>
          <w:i w:val="0"/>
          <w:color w:val="000000"/>
          <w:sz w:val="22"/>
        </w:rPr>
        <w:t>The queue name and message counts, plus STATE, STATE#6 and BATCH#&lt;batchId&gt; records sharing state version 6. If space allows, include the terminal line showing a duplicate batch deleted without advancing the version.</w:t>
      </w:r>
    </w:p>
    <w:p>
      <w:pPr>
        <w:spacing w:after="60"/>
      </w:pPr>
      <w:r>
        <w:rPr>
          <w:rFonts w:ascii="Calibri" w:hAnsi="Calibri"/>
          <w:b/>
          <w:i w:val="0"/>
          <w:color w:val="000000"/>
          <w:sz w:val="22"/>
        </w:rPr>
        <w:t xml:space="preserve">Caption to use: </w:t>
      </w:r>
      <w:r>
        <w:rPr>
          <w:rFonts w:ascii="Calibri" w:hAnsi="Calibri"/>
          <w:b w:val="0"/>
          <w:i w:val="0"/>
          <w:color w:val="000000"/>
          <w:sz w:val="22"/>
        </w:rPr>
        <w:t>Dedicated state queue, immutable state version and duplicate-batch protection.</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connects durable ingestion to exactly-once logical state advancement.</w:t>
      </w:r>
    </w:p>
    <w:p>
      <w:r>
        <w:br w:type="page"/>
      </w:r>
    </w:p>
    <w:p>
      <w:pPr>
        <w:pStyle w:val="Heading1"/>
      </w:pPr>
      <w:r>
        <w:t>AWS Deployment Evidence</w:t>
      </w:r>
    </w:p>
    <w:p>
      <w:pPr>
        <w:pStyle w:val="Heading2"/>
      </w:pPr>
      <w:r>
        <w:t>Load Balancer and Request-Service Evidence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Open EC2 &gt; Target Groups &gt; evacuva-request-service and ECS &gt; Services &gt; evacuva-request-service.</w:t>
      </w:r>
    </w:p>
    <w:p>
      <w:pPr>
        <w:spacing w:after="60"/>
      </w:pPr>
      <w:r>
        <w:rPr>
          <w:rFonts w:ascii="Calibri" w:hAnsi="Calibri"/>
          <w:b/>
          <w:i w:val="0"/>
          <w:color w:val="000000"/>
          <w:sz w:val="22"/>
        </w:rPr>
        <w:t xml:space="preserve">The screenshot must show: </w:t>
      </w:r>
      <w:r>
        <w:rPr>
          <w:rFonts w:ascii="Calibri" w:hAnsi="Calibri"/>
          <w:b w:val="0"/>
          <w:i w:val="0"/>
          <w:color w:val="000000"/>
          <w:sz w:val="22"/>
        </w:rPr>
        <w:t>Two healthy IP targets on port 3000, the /health path, desired count 2, running count 2 and placement across us-east-1a and us-east-1b. Hide account-sensitive browser areas if unnecessary.</w:t>
      </w:r>
    </w:p>
    <w:p>
      <w:pPr>
        <w:spacing w:after="60"/>
      </w:pPr>
      <w:r>
        <w:rPr>
          <w:rFonts w:ascii="Calibri" w:hAnsi="Calibri"/>
          <w:b/>
          <w:i w:val="0"/>
          <w:color w:val="000000"/>
          <w:sz w:val="22"/>
        </w:rPr>
        <w:t xml:space="preserve">Caption to use: </w:t>
      </w:r>
      <w:r>
        <w:rPr>
          <w:rFonts w:ascii="Calibri" w:hAnsi="Calibri"/>
          <w:b w:val="0"/>
          <w:i w:val="0"/>
          <w:color w:val="000000"/>
          <w:sz w:val="22"/>
        </w:rPr>
        <w:t>Application Load Balancer distributing HTTP traffic across two healthy request-service tasks.</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proves that public request ingress is redundant and separate from route computation.</w:t>
      </w:r>
    </w:p>
    <w:p>
      <w:pPr>
        <w:pStyle w:val="Heading2"/>
      </w:pPr>
      <w:r>
        <w:t>Worker Service and Autoscaling Evidence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Open ECS &gt; evacuva-route-worker service and Application Auto Scaling or the matching CloudWatch alarm history.</w:t>
      </w:r>
    </w:p>
    <w:p>
      <w:pPr>
        <w:spacing w:after="60"/>
      </w:pPr>
      <w:r>
        <w:rPr>
          <w:rFonts w:ascii="Calibri" w:hAnsi="Calibri"/>
          <w:b/>
          <w:i w:val="0"/>
          <w:color w:val="000000"/>
          <w:sz w:val="22"/>
        </w:rPr>
        <w:t xml:space="preserve">The screenshot must show: </w:t>
      </w:r>
      <w:r>
        <w:rPr>
          <w:rFonts w:ascii="Calibri" w:hAnsi="Calibri"/>
          <w:b w:val="0"/>
          <w:i w:val="0"/>
          <w:color w:val="000000"/>
          <w:sz w:val="22"/>
        </w:rPr>
        <w:t>Minimum capacity 2, maximum capacity 10, the backlog-per-worker target of 0.5, the 30-second scale-out cooldown, the 180-second scale-in cooldown and scaling activity from desired count 2 to 6.</w:t>
      </w:r>
    </w:p>
    <w:p>
      <w:pPr>
        <w:spacing w:after="60"/>
      </w:pPr>
      <w:r>
        <w:rPr>
          <w:rFonts w:ascii="Calibri" w:hAnsi="Calibri"/>
          <w:b/>
          <w:i w:val="0"/>
          <w:color w:val="000000"/>
          <w:sz w:val="22"/>
        </w:rPr>
        <w:t xml:space="preserve">Caption to use: </w:t>
      </w:r>
      <w:r>
        <w:rPr>
          <w:rFonts w:ascii="Calibri" w:hAnsi="Calibri"/>
          <w:b w:val="0"/>
          <w:i w:val="0"/>
          <w:color w:val="000000"/>
          <w:sz w:val="22"/>
        </w:rPr>
        <w:t>Route-worker service scaling from two to six tasks in response to SQS backlog.</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is the direct infrastructure evidence that horizontal capacity changed during the experiment.</w:t>
      </w:r>
    </w:p>
    <w:p>
      <w:r>
        <w:br w:type="page"/>
      </w:r>
    </w:p>
    <w:p>
      <w:pPr>
        <w:pStyle w:val="Heading1"/>
      </w:pPr>
      <w:r>
        <w:t>SLA Experiment Evidence</w:t>
      </w:r>
    </w:p>
    <w:p>
      <w:pPr>
        <w:pStyle w:val="Heading2"/>
      </w:pPr>
      <w:r>
        <w:t>One-Worker Baseline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Use the Git Bash output from the controlled one-worker run and an ECS service view showing one warm route worker.</w:t>
      </w:r>
    </w:p>
    <w:p>
      <w:pPr>
        <w:spacing w:after="60"/>
      </w:pPr>
      <w:r>
        <w:rPr>
          <w:rFonts w:ascii="Calibri" w:hAnsi="Calibri"/>
          <w:b/>
          <w:i w:val="0"/>
          <w:color w:val="000000"/>
          <w:sz w:val="22"/>
        </w:rPr>
        <w:t xml:space="preserve">The screenshot must show: </w:t>
      </w:r>
      <w:r>
        <w:rPr>
          <w:rFonts w:ascii="Calibri" w:hAnsi="Calibri"/>
          <w:b w:val="0"/>
          <w:i w:val="0"/>
          <w:color w:val="000000"/>
          <w:sz w:val="22"/>
        </w:rPr>
        <w:t>Run ID phase-4-6-20-20260822113208817, 20 valid routes, median 15,993 ms, p95 24,527 ms, maximum 25,427 ms, request 20 at 13,843 ms and twentiethRequestSlaPassed: false.</w:t>
      </w:r>
    </w:p>
    <w:p>
      <w:pPr>
        <w:spacing w:after="60"/>
      </w:pPr>
      <w:r>
        <w:rPr>
          <w:rFonts w:ascii="Calibri" w:hAnsi="Calibri"/>
          <w:b/>
          <w:i w:val="0"/>
          <w:color w:val="000000"/>
          <w:sz w:val="22"/>
        </w:rPr>
        <w:t xml:space="preserve">Caption to use: </w:t>
      </w:r>
      <w:r>
        <w:rPr>
          <w:rFonts w:ascii="Calibri" w:hAnsi="Calibri"/>
          <w:b w:val="0"/>
          <w:i w:val="0"/>
          <w:color w:val="000000"/>
          <w:sz w:val="22"/>
        </w:rPr>
        <w:t>One-worker 20-request baseline failing the five-second twentieth-request SLA.</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establishes the sequential bottleneck before additional worker capacity is compared.</w:t>
      </w:r>
    </w:p>
    <w:p>
      <w:pPr>
        <w:pStyle w:val="Heading2"/>
      </w:pPr>
      <w:r>
        <w:t>Six-Worker SLA Result</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Use the Git Bash output from the controlled six-worker run and an ECS view confirming six running workers.</w:t>
      </w:r>
    </w:p>
    <w:p>
      <w:pPr>
        <w:spacing w:after="60"/>
      </w:pPr>
      <w:r>
        <w:rPr>
          <w:rFonts w:ascii="Calibri" w:hAnsi="Calibri"/>
          <w:b/>
          <w:i w:val="0"/>
          <w:color w:val="000000"/>
          <w:sz w:val="22"/>
        </w:rPr>
        <w:t xml:space="preserve">The screenshot must show: </w:t>
      </w:r>
      <w:r>
        <w:rPr>
          <w:rFonts w:ascii="Calibri" w:hAnsi="Calibri"/>
          <w:b w:val="0"/>
          <w:i w:val="0"/>
          <w:color w:val="000000"/>
          <w:sz w:val="22"/>
        </w:rPr>
        <w:t>Run ID phase-4-6-20-20260822120253878, 20 valid routes, median 4,207 ms, p95 5,078 ms, maximum 5,106 ms, request 20 at 4,207 ms and twentiethRequestSlaPassed: true.</w:t>
      </w:r>
    </w:p>
    <w:p>
      <w:pPr>
        <w:spacing w:after="60"/>
      </w:pPr>
      <w:r>
        <w:rPr>
          <w:rFonts w:ascii="Calibri" w:hAnsi="Calibri"/>
          <w:b/>
          <w:i w:val="0"/>
          <w:color w:val="000000"/>
          <w:sz w:val="22"/>
        </w:rPr>
        <w:t xml:space="preserve">Caption to use: </w:t>
      </w:r>
      <w:r>
        <w:rPr>
          <w:rFonts w:ascii="Calibri" w:hAnsi="Calibri"/>
          <w:b w:val="0"/>
          <w:i w:val="0"/>
          <w:color w:val="000000"/>
          <w:sz w:val="22"/>
        </w:rPr>
        <w:t>Six-worker 20-request run passing the defined twentieth-request SLA.</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provides the clearest like-for-like evidence of the benefit of parallel route consumers.</w:t>
      </w:r>
    </w:p>
    <w:p>
      <w:r>
        <w:br w:type="page"/>
      </w:r>
    </w:p>
    <w:p>
      <w:pPr>
        <w:pStyle w:val="Heading1"/>
      </w:pPr>
      <w:r>
        <w:t>Extended Scalability Evidence</w:t>
      </w:r>
    </w:p>
    <w:p>
      <w:pPr>
        <w:pStyle w:val="Heading2"/>
      </w:pPr>
      <w:r>
        <w:t>Periodic Autoscaling Run</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Use the final terminal lines from periodic run phase-4-6-10-20260822115737586 with the matching ECS scaling-history entry.</w:t>
      </w:r>
    </w:p>
    <w:p>
      <w:pPr>
        <w:spacing w:after="60"/>
      </w:pPr>
      <w:r>
        <w:rPr>
          <w:rFonts w:ascii="Calibri" w:hAnsi="Calibri"/>
          <w:b/>
          <w:i w:val="0"/>
          <w:color w:val="000000"/>
          <w:sz w:val="22"/>
        </w:rPr>
        <w:t xml:space="preserve">The screenshot must show: </w:t>
      </w:r>
      <w:r>
        <w:rPr>
          <w:rFonts w:ascii="Calibri" w:hAnsi="Calibri"/>
          <w:b w:val="0"/>
          <w:i w:val="0"/>
          <w:color w:val="000000"/>
          <w:sz w:val="22"/>
        </w:rPr>
        <w:t>Ten requests every five seconds, 48 intervals, totalRequestCount 480, validRouteCount 480, failureCount 0, desired capacity changing from 2 to 6, and later interval maxima around 2,600 to 3,200 ms.</w:t>
      </w:r>
    </w:p>
    <w:p>
      <w:pPr>
        <w:spacing w:after="60"/>
      </w:pPr>
      <w:r>
        <w:rPr>
          <w:rFonts w:ascii="Calibri" w:hAnsi="Calibri"/>
          <w:b/>
          <w:i w:val="0"/>
          <w:color w:val="000000"/>
          <w:sz w:val="22"/>
        </w:rPr>
        <w:t xml:space="preserve">Caption to use: </w:t>
      </w:r>
      <w:r>
        <w:rPr>
          <w:rFonts w:ascii="Calibri" w:hAnsi="Calibri"/>
          <w:b w:val="0"/>
          <w:i w:val="0"/>
          <w:color w:val="000000"/>
          <w:sz w:val="22"/>
        </w:rPr>
        <w:t>Periodic workload completing 480 valid routes while the worker service scales automatically.</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proves that scaling was triggered by a sustained real workload rather than manually changed only for the SLA screenshot.</w:t>
      </w:r>
    </w:p>
    <w:p>
      <w:pPr>
        <w:pStyle w:val="Heading2"/>
      </w:pPr>
      <w:r>
        <w:t>Fifty- and One-Hundred-Request Comparison</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Use the stored terminal summaries or a clean chart created directly from the recorded values in Progress.md.</w:t>
      </w:r>
    </w:p>
    <w:p>
      <w:pPr>
        <w:spacing w:after="60"/>
      </w:pPr>
      <w:r>
        <w:rPr>
          <w:rFonts w:ascii="Calibri" w:hAnsi="Calibri"/>
          <w:b/>
          <w:i w:val="0"/>
          <w:color w:val="000000"/>
          <w:sz w:val="22"/>
        </w:rPr>
        <w:t xml:space="preserve">The screenshot must show: </w:t>
      </w:r>
      <w:r>
        <w:rPr>
          <w:rFonts w:ascii="Calibri" w:hAnsi="Calibri"/>
          <w:b w:val="0"/>
          <w:i w:val="0"/>
          <w:color w:val="000000"/>
          <w:sz w:val="22"/>
        </w:rPr>
        <w:t>For 50 requests: one worker p95 34,953 ms and six workers p95 12,690 ms. For 100 requests: one worker p95 68,106 ms and six workers p95 19,537 ms. Include valid counts of 50/50, 50/50, 97/100 and 99/100.</w:t>
      </w:r>
    </w:p>
    <w:p>
      <w:pPr>
        <w:spacing w:after="60"/>
      </w:pPr>
      <w:r>
        <w:rPr>
          <w:rFonts w:ascii="Calibri" w:hAnsi="Calibri"/>
          <w:b/>
          <w:i w:val="0"/>
          <w:color w:val="000000"/>
          <w:sz w:val="22"/>
        </w:rPr>
        <w:t xml:space="preserve">Caption to use: </w:t>
      </w:r>
      <w:r>
        <w:rPr>
          <w:rFonts w:ascii="Calibri" w:hAnsi="Calibri"/>
          <w:b w:val="0"/>
          <w:i w:val="0"/>
          <w:color w:val="000000"/>
          <w:sz w:val="22"/>
        </w:rPr>
        <w:t>Tail-latency comparison for one and six workers at larger burst sizes.</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shows that the benefit remains visible beyond the selected twentieth request, while also exposing remaining tail latency.</w:t>
      </w:r>
    </w:p>
    <w:p>
      <w:r>
        <w:br w:type="page"/>
      </w:r>
    </w:p>
    <w:p>
      <w:pPr>
        <w:pStyle w:val="Heading1"/>
      </w:pPr>
      <w:r>
        <w:t>Code and Application Evidence</w:t>
      </w:r>
    </w:p>
    <w:p>
      <w:pPr>
        <w:pStyle w:val="Heading2"/>
      </w:pPr>
      <w:r>
        <w:t>Routing and Worker Code</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Open packages/core/src/routing/calculateSafestRoute.js and apps/route-worker/src/sqsRouteWorker.js in the editor.</w:t>
      </w:r>
    </w:p>
    <w:p>
      <w:pPr>
        <w:spacing w:after="60"/>
      </w:pPr>
      <w:r>
        <w:rPr>
          <w:rFonts w:ascii="Calibri" w:hAnsi="Calibri"/>
          <w:b/>
          <w:i w:val="0"/>
          <w:color w:val="000000"/>
          <w:sz w:val="22"/>
        </w:rPr>
        <w:t xml:space="preserve">The screenshot must show: </w:t>
      </w:r>
      <w:r>
        <w:rPr>
          <w:rFonts w:ascii="Calibri" w:hAnsi="Calibri"/>
          <w:b w:val="0"/>
          <w:i w:val="0"/>
          <w:color w:val="000000"/>
          <w:sz w:val="22"/>
        </w:rPr>
        <w:t>The MinimumPriorityQueue and calculateSafestRoute entry point, followed by the worker's one-message receive, immutable state-version read, independent validation and conditional result write. Show filenames and line numbers, but no unrelated files.</w:t>
      </w:r>
    </w:p>
    <w:p>
      <w:pPr>
        <w:spacing w:after="60"/>
      </w:pPr>
      <w:r>
        <w:rPr>
          <w:rFonts w:ascii="Calibri" w:hAnsi="Calibri"/>
          <w:b/>
          <w:i w:val="0"/>
          <w:color w:val="000000"/>
          <w:sz w:val="22"/>
        </w:rPr>
        <w:t xml:space="preserve">Caption to use: </w:t>
      </w:r>
      <w:r>
        <w:rPr>
          <w:rFonts w:ascii="Calibri" w:hAnsi="Calibri"/>
          <w:b w:val="0"/>
          <w:i w:val="0"/>
          <w:color w:val="000000"/>
          <w:sz w:val="22"/>
        </w:rPr>
        <w:t>Focused routing algorithm and stateless SQS worker implementation.</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links the architecture claims to the exact source responsibilities assessed in the report.</w:t>
      </w:r>
    </w:p>
    <w:p>
      <w:pPr>
        <w:pStyle w:val="Heading2"/>
      </w:pPr>
      <w:r>
        <w:t>Dashboard and Manual Sensor Control</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Run the local workflow and open http://127.0.0.1:3001 in the browser.</w:t>
      </w:r>
    </w:p>
    <w:p>
      <w:pPr>
        <w:spacing w:after="60"/>
      </w:pPr>
      <w:r>
        <w:rPr>
          <w:rFonts w:ascii="Calibri" w:hAnsi="Calibri"/>
          <w:b/>
          <w:i w:val="0"/>
          <w:color w:val="000000"/>
          <w:sz w:val="22"/>
        </w:rPr>
        <w:t xml:space="preserve">The screenshot must show: </w:t>
      </w:r>
      <w:r>
        <w:rPr>
          <w:rFonts w:ascii="Calibri" w:hAnsi="Calibri"/>
          <w:b w:val="0"/>
          <w:i w:val="0"/>
          <w:color w:val="000000"/>
          <w:sz w:val="22"/>
        </w:rPr>
        <w:t>The 100 by 100 map, all ten black occupant markers, red temperature sensors, blue occupancy sensors, orange smoke sensors, green door sensors, the current route, guidance, and a selected sensor's override/resume control.</w:t>
      </w:r>
    </w:p>
    <w:p>
      <w:pPr>
        <w:spacing w:after="60"/>
      </w:pPr>
      <w:r>
        <w:rPr>
          <w:rFonts w:ascii="Calibri" w:hAnsi="Calibri"/>
          <w:b/>
          <w:i w:val="0"/>
          <w:color w:val="000000"/>
          <w:sz w:val="22"/>
        </w:rPr>
        <w:t xml:space="preserve">Caption to use: </w:t>
      </w:r>
      <w:r>
        <w:rPr>
          <w:rFonts w:ascii="Calibri" w:hAnsi="Calibri"/>
          <w:b w:val="0"/>
          <w:i w:val="0"/>
          <w:color w:val="000000"/>
          <w:sz w:val="22"/>
        </w:rPr>
        <w:t>Standalone Evacuva dashboard presenting live state and manual sensor control.</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demonstrates the usable application layer without implying that the dashboard itself performs cloud scaling.</w:t>
      </w:r>
    </w:p>
    <w:p>
      <w:r>
        <w:br w:type="page"/>
      </w:r>
    </w:p>
    <w:p>
      <w:pPr>
        <w:pStyle w:val="Heading1"/>
      </w:pPr>
      <w:r>
        <w:t>Repository and Reproduction Evidence</w:t>
      </w:r>
    </w:p>
    <w:p>
      <w:pPr>
        <w:pStyle w:val="Heading2"/>
      </w:pPr>
      <w:r>
        <w:t>Repository Structure and Commit</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Open the GitHub repository https://github.com/Architbh007/Evacuva at the final submitted commit.</w:t>
      </w:r>
    </w:p>
    <w:p>
      <w:pPr>
        <w:spacing w:after="60"/>
      </w:pPr>
      <w:r>
        <w:rPr>
          <w:rFonts w:ascii="Calibri" w:hAnsi="Calibri"/>
          <w:b/>
          <w:i w:val="0"/>
          <w:color w:val="000000"/>
          <w:sz w:val="22"/>
        </w:rPr>
        <w:t xml:space="preserve">The screenshot must show: </w:t>
      </w:r>
      <w:r>
        <w:rPr>
          <w:rFonts w:ascii="Calibri" w:hAnsi="Calibri"/>
          <w:b w:val="0"/>
          <w:i w:val="0"/>
          <w:color w:val="000000"/>
          <w:sz w:val="22"/>
        </w:rPr>
        <w:t>The apps and packages directories, README.md, Design.md, Progress.md and Rules.md, plus the final commit hash and Architbh007 author identity. Do not show the local aws directory or any ignored credential file.</w:t>
      </w:r>
    </w:p>
    <w:p>
      <w:pPr>
        <w:spacing w:after="60"/>
      </w:pPr>
      <w:r>
        <w:rPr>
          <w:rFonts w:ascii="Calibri" w:hAnsi="Calibri"/>
          <w:b/>
          <w:i w:val="0"/>
          <w:color w:val="000000"/>
          <w:sz w:val="22"/>
        </w:rPr>
        <w:t xml:space="preserve">Caption to use: </w:t>
      </w:r>
      <w:r>
        <w:rPr>
          <w:rFonts w:ascii="Calibri" w:hAnsi="Calibri"/>
          <w:b w:val="0"/>
          <w:i w:val="0"/>
          <w:color w:val="000000"/>
          <w:sz w:val="22"/>
        </w:rPr>
        <w:t>Submitted source structure and exact version used for the report.</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makes the code appendix traceable without pasting thousands of generated or dependency lines into the report.</w:t>
      </w:r>
    </w:p>
    <w:p>
      <w:pPr>
        <w:pStyle w:val="Heading2"/>
      </w:pPr>
      <w:r>
        <w:t>Quality Check Output</w:t>
      </w:r>
    </w:p>
    <w:p>
      <w:pPr>
        <w:keepLines/>
        <w:spacing w:before="60" w:after="100" w:line="240" w:lineRule="auto"/>
        <w:jc w:val="center"/>
        <w:pBdr>
          <w:top w:val="single" w:sz="8" w:space="8" w:color="000000"/>
          <w:left w:val="single" w:sz="8" w:space="8" w:color="000000"/>
          <w:bottom w:val="single" w:sz="8" w:space="8" w:color="000000"/>
          <w:right w:val="single" w:sz="8" w:space="8" w:color="000000"/>
        </w:pBdr>
      </w:pPr>
      <w:r>
        <w:br/>
        <w:br/>
      </w:r>
      <w:r>
        <w:rPr>
          <w:rFonts w:ascii="Calibri" w:hAnsi="Calibri"/>
          <w:b/>
          <w:i w:val="0"/>
          <w:color w:val="000000"/>
          <w:sz w:val="22"/>
        </w:rPr>
        <w:t>[INSERT SCREENSHOT HERE]</w:t>
      </w:r>
      <w:r>
        <w:br/>
        <w:br/>
      </w:r>
    </w:p>
    <w:p>
      <w:pPr>
        <w:spacing w:after="60"/>
      </w:pPr>
      <w:r>
        <w:rPr>
          <w:rFonts w:ascii="Calibri" w:hAnsi="Calibri"/>
          <w:b/>
          <w:i w:val="0"/>
          <w:color w:val="000000"/>
          <w:sz w:val="22"/>
        </w:rPr>
        <w:t xml:space="preserve">Capture location: </w:t>
      </w:r>
      <w:r>
        <w:rPr>
          <w:rFonts w:ascii="Calibri" w:hAnsi="Calibri"/>
          <w:b w:val="0"/>
          <w:i w:val="0"/>
          <w:color w:val="000000"/>
          <w:sz w:val="22"/>
        </w:rPr>
        <w:t>Run npm.cmd run check from the repository root and capture the final summary.</w:t>
      </w:r>
    </w:p>
    <w:p>
      <w:pPr>
        <w:spacing w:after="60"/>
      </w:pPr>
      <w:r>
        <w:rPr>
          <w:rFonts w:ascii="Calibri" w:hAnsi="Calibri"/>
          <w:b/>
          <w:i w:val="0"/>
          <w:color w:val="000000"/>
          <w:sz w:val="22"/>
        </w:rPr>
        <w:t xml:space="preserve">The screenshot must show: </w:t>
      </w:r>
      <w:r>
        <w:rPr>
          <w:rFonts w:ascii="Calibri" w:hAnsi="Calibri"/>
          <w:b w:val="0"/>
          <w:i w:val="0"/>
          <w:color w:val="000000"/>
          <w:sz w:val="22"/>
        </w:rPr>
        <w:t>ESLint passed, Prettier passed, 125 tests passed and 0 failed. If the final test count changes before submission, use the new verified count in both the screenshot and main report.</w:t>
      </w:r>
    </w:p>
    <w:p>
      <w:pPr>
        <w:spacing w:after="60"/>
      </w:pPr>
      <w:r>
        <w:rPr>
          <w:rFonts w:ascii="Calibri" w:hAnsi="Calibri"/>
          <w:b/>
          <w:i w:val="0"/>
          <w:color w:val="000000"/>
          <w:sz w:val="22"/>
        </w:rPr>
        <w:t xml:space="preserve">Caption to use: </w:t>
      </w:r>
      <w:r>
        <w:rPr>
          <w:rFonts w:ascii="Calibri" w:hAnsi="Calibri"/>
          <w:b w:val="0"/>
          <w:i w:val="0"/>
          <w:color w:val="000000"/>
          <w:sz w:val="22"/>
        </w:rPr>
        <w:t>Repository quality gate completing without lint, format or test failures.</w:t>
      </w:r>
    </w:p>
    <w:p>
      <w:pPr>
        <w:spacing w:after="100"/>
      </w:pPr>
      <w:r>
        <w:rPr>
          <w:rFonts w:ascii="Calibri" w:hAnsi="Calibri"/>
          <w:b/>
          <w:i w:val="0"/>
          <w:color w:val="000000"/>
          <w:sz w:val="22"/>
        </w:rPr>
        <w:t xml:space="preserve">Why this evidence is needed: </w:t>
      </w:r>
      <w:r>
        <w:rPr>
          <w:rFonts w:ascii="Calibri" w:hAnsi="Calibri"/>
          <w:b w:val="0"/>
          <w:i w:val="0"/>
          <w:color w:val="000000"/>
          <w:sz w:val="22"/>
        </w:rPr>
        <w:t>This provides reproducible evidence that the submitted implementation, rather than an earlier local copy, passed its checks.</w:t>
      </w:r>
    </w:p>
    <w:p>
      <w:pPr>
        <w:pStyle w:val="Heading2"/>
      </w:pPr>
      <w:r>
        <w:t>Commands to Reproduce</w:t>
      </w:r>
    </w:p>
    <w:p>
      <w:pPr>
        <w:pStyle w:val="ListBullet"/>
        <w:spacing w:after="40"/>
      </w:pPr>
      <w:r>
        <w:t>Start local components in separate terminals: npm.cmd run mqtt:broker, state-engine, node-red, simulate:sensors and dashboard.</w:t>
      </w:r>
    </w:p>
    <w:p>
      <w:pPr>
        <w:pStyle w:val="ListBullet"/>
        <w:spacing w:after="40"/>
      </w:pPr>
      <w:r>
        <w:t>Run npm.cmd run check and npm.cmd run dashboard:build before final submission.</w:t>
      </w:r>
    </w:p>
    <w:p>
      <w:pPr>
        <w:pStyle w:val="ListBullet"/>
        <w:spacing w:after="40"/>
      </w:pPr>
      <w:r>
        <w:t>Set the verified ALB URL and AWS region, then run npm.cmd run load-test:route for a controlled burst.</w:t>
      </w:r>
    </w:p>
    <w:p>
      <w:pPr>
        <w:pStyle w:val="Heading2"/>
      </w:pPr>
      <w:r>
        <w:t>References</w:t>
      </w:r>
    </w:p>
    <w:p>
      <w:pPr>
        <w:spacing w:after="40"/>
      </w:pPr>
      <w:r>
        <w:t>Amazon Web Services 2026, Amazon SQS queue types, AWS Documentation, https://docs.aws.amazon.com/AWSSimpleQueueService/latest/SQSDeveloperGuide/sqs-queue-types.html.</w:t>
      </w:r>
    </w:p>
    <w:p>
      <w:pPr>
        <w:spacing w:after="40"/>
      </w:pPr>
      <w:r>
        <w:t>Amazon Web Services 2026, Optimizing Amazon ECS service auto scaling, AWS Documentation, https://docs.aws.amazon.com/AmazonECS/latest/developerguide/capacity-autoscaling-best-practice.html.</w:t>
      </w:r>
    </w:p>
    <w:p>
      <w:pPr>
        <w:spacing w:after="40"/>
      </w:pPr>
      <w:r>
        <w:t>Amazon Web Services 2026, Target groups for Application Load Balancers, AWS Documentation, https://docs.aws.amazon.com/elasticloadbalancing/latest/application/load-balancer-target-groups.html.</w:t>
      </w:r>
    </w:p>
    <w:p>
      <w:pPr>
        <w:spacing w:after="40"/>
      </w:pPr>
      <w:r>
        <w:t>Dijkstra, EW 1959, 'A note on two problems in connexion with graphs', Numerische Mathematik, vol. 1, pp. 269-271.</w:t>
      </w:r>
    </w:p>
    <w:sectPr w:rsidR="00FC693F" w:rsidRPr="0006063C" w:rsidSect="00034616">
      <w:headerReference w:type="default" r:id="rId9"/>
      <w:footerReference w:type="default" r:id="rId10"/>
      <w:headerReference w:type="even" r:id="rId11"/>
      <w:headerReference w:type="first" r:id="rId12"/>
      <w:pgSz w:w="11906" w:h="16838"/>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left"/>
    </w:pPr>
    <w:r>
      <w:rPr>
        <w:rFonts w:ascii="Calibri" w:hAnsi="Calibri"/>
        <w:b/>
        <w:i w:val="0"/>
        <w:color w:val="1F3864"/>
        <w:sz w:val="18"/>
      </w:rPr>
      <w:t>SIT329 - Task 6.1D ~ Evacuva Scalable IoT Final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1F3864"/>
        <w:sz w:val="18"/>
      </w:rPr>
      <w:t>SIT329 - Task 6.1D ~ Evacuva Scalable IoT Final Project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1F3864"/>
        <w:sz w:val="18"/>
      </w:rPr>
      <w:t>SIT329 - Task 6.1D ~ Evacuva Scalable IoT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5E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ind w:left="357" w:hanging="18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