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0248" w14:textId="77777777" w:rsidR="00EC3B90" w:rsidRDefault="00DA1023" w:rsidP="00DA1023">
      <w:pPr>
        <w:pStyle w:val="Title"/>
        <w:jc w:val="center"/>
      </w:pPr>
      <w:r>
        <w:rPr>
          <w:noProof/>
        </w:rPr>
        <w:drawing>
          <wp:inline distT="0" distB="0" distL="0" distR="0" wp14:anchorId="39C0304B" wp14:editId="4AFDC71E">
            <wp:extent cx="2860040" cy="542925"/>
            <wp:effectExtent l="0" t="0" r="0" b="9525"/>
            <wp:docPr id="6489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FEF2" w14:textId="77777777" w:rsidR="00EC3B90" w:rsidRDefault="00EC3B90" w:rsidP="00DA1023">
      <w:pPr>
        <w:pStyle w:val="Title"/>
        <w:jc w:val="center"/>
      </w:pPr>
    </w:p>
    <w:p w14:paraId="5B97C65F" w14:textId="77777777" w:rsidR="00EC3B90" w:rsidRDefault="00EC3B90" w:rsidP="00DA1023">
      <w:pPr>
        <w:pStyle w:val="Title"/>
        <w:jc w:val="center"/>
      </w:pPr>
    </w:p>
    <w:p w14:paraId="2DFD5ACB" w14:textId="77777777" w:rsidR="00EC3B90" w:rsidRDefault="00EC3B90" w:rsidP="00DA1023">
      <w:pPr>
        <w:pStyle w:val="Title"/>
        <w:jc w:val="center"/>
      </w:pPr>
    </w:p>
    <w:p w14:paraId="621D5C5F" w14:textId="68A21B47" w:rsidR="009E3DAE" w:rsidRDefault="00DA1023" w:rsidP="00DA1023">
      <w:pPr>
        <w:pStyle w:val="Title"/>
        <w:jc w:val="center"/>
      </w:pPr>
      <w:r>
        <w:br/>
      </w:r>
      <w:r w:rsidR="00C27F48">
        <w:t>Order Flow</w:t>
      </w:r>
    </w:p>
    <w:p w14:paraId="1339DA27" w14:textId="5EF2DBEB" w:rsidR="00C27F48" w:rsidRDefault="00C27F48" w:rsidP="00C27F48">
      <w:r>
        <w:t>An event-driven e-commerce order-fulfillment reference architecture utilizing</w:t>
      </w:r>
      <w:r w:rsidR="005A7E92">
        <w:t>:</w:t>
      </w:r>
      <w:r>
        <w:t xml:space="preserve"> </w:t>
      </w:r>
      <w:r w:rsidR="005A7E92">
        <w:t xml:space="preserve"> Dot Net </w:t>
      </w:r>
      <w:r>
        <w:t>10, Aspire, EF Core, and Angular.  Built locally, priced at zero spend, but wired for real Azure cloud deployment.</w:t>
      </w:r>
    </w:p>
    <w:p w14:paraId="486F5D3E" w14:textId="0BD0628A" w:rsidR="00C27F48" w:rsidRDefault="00C27F48" w:rsidP="00C27F48">
      <w:r>
        <w:t xml:space="preserve">Prepared by </w:t>
      </w:r>
      <w:r>
        <w:rPr>
          <w:b/>
          <w:bCs/>
        </w:rPr>
        <w:t>Robert Felkins</w:t>
      </w:r>
      <w:r>
        <w:rPr>
          <w:b/>
          <w:bCs/>
        </w:rPr>
        <w:br/>
      </w:r>
      <w:r>
        <w:t>Principal Architect – Architect4Hire.com</w:t>
      </w:r>
    </w:p>
    <w:p w14:paraId="5460FEFB" w14:textId="77777777" w:rsidR="00C27F48" w:rsidRDefault="00C27F48">
      <w:r>
        <w:br w:type="page"/>
      </w:r>
    </w:p>
    <w:sdt>
      <w:sdtPr>
        <w:id w:val="104263693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2574E73E" w14:textId="54E63883" w:rsidR="00C27F48" w:rsidRDefault="00C27F48">
          <w:pPr>
            <w:pStyle w:val="TOCHeading"/>
          </w:pPr>
          <w:r>
            <w:t>Contents</w:t>
          </w:r>
        </w:p>
        <w:p w14:paraId="60D4FA29" w14:textId="241D41CE" w:rsidR="00DF12AB" w:rsidRDefault="00C27F4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21142" w:history="1">
            <w:r w:rsidR="00DF12AB" w:rsidRPr="005E26C9">
              <w:rPr>
                <w:rStyle w:val="Hyperlink"/>
                <w:noProof/>
              </w:rPr>
              <w:t>Purpose &amp; Positioning</w:t>
            </w:r>
            <w:r w:rsidR="00DF12AB">
              <w:rPr>
                <w:noProof/>
                <w:webHidden/>
              </w:rPr>
              <w:tab/>
            </w:r>
            <w:r w:rsidR="00DF12AB">
              <w:rPr>
                <w:noProof/>
                <w:webHidden/>
              </w:rPr>
              <w:fldChar w:fldCharType="begin"/>
            </w:r>
            <w:r w:rsidR="00DF12AB">
              <w:rPr>
                <w:noProof/>
                <w:webHidden/>
              </w:rPr>
              <w:instrText xml:space="preserve"> PAGEREF _Toc234821142 \h </w:instrText>
            </w:r>
            <w:r w:rsidR="00DF12AB">
              <w:rPr>
                <w:noProof/>
                <w:webHidden/>
              </w:rPr>
            </w:r>
            <w:r w:rsidR="00DF12AB"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3</w:t>
            </w:r>
            <w:r w:rsidR="00DF12AB">
              <w:rPr>
                <w:noProof/>
                <w:webHidden/>
              </w:rPr>
              <w:fldChar w:fldCharType="end"/>
            </w:r>
          </w:hyperlink>
        </w:p>
        <w:p w14:paraId="658DF2E6" w14:textId="69F49A88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3" w:history="1">
            <w:r w:rsidRPr="005E26C9">
              <w:rPr>
                <w:rStyle w:val="Hyperlink"/>
                <w:noProof/>
              </w:rPr>
              <w:t>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5300" w14:textId="12225621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4" w:history="1">
            <w:r w:rsidRPr="005E26C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DAA1" w14:textId="52367E59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5" w:history="1">
            <w:r w:rsidRPr="005E26C9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0BBB" w14:textId="1F3E1667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6" w:history="1">
            <w:r w:rsidRPr="005E26C9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6FC71" w14:textId="6AC9B358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7" w:history="1">
            <w:r w:rsidRPr="005E26C9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7064" w14:textId="200B607B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8" w:history="1">
            <w:r w:rsidRPr="005E26C9">
              <w:rPr>
                <w:rStyle w:val="Hyperlink"/>
                <w:noProof/>
              </w:rPr>
              <w:t>Logical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7130" w14:textId="47D45BAC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49" w:history="1">
            <w:r w:rsidRPr="005E26C9">
              <w:rPr>
                <w:rStyle w:val="Hyperlink"/>
                <w:noProof/>
              </w:rPr>
              <w:t>Services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E1582" w14:textId="461C5134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0" w:history="1">
            <w:r w:rsidRPr="005E26C9">
              <w:rPr>
                <w:rStyle w:val="Hyperlink"/>
                <w:noProof/>
              </w:rPr>
              <w:t>Saga &amp; Compensation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D241" w14:textId="64EC45E6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1" w:history="1">
            <w:r w:rsidRPr="005E26C9">
              <w:rPr>
                <w:rStyle w:val="Hyperlink"/>
                <w:noProof/>
              </w:rPr>
              <w:t>Forward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B9AA" w14:textId="29218A3A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2" w:history="1">
            <w:r w:rsidRPr="005E26C9">
              <w:rPr>
                <w:rStyle w:val="Hyperlink"/>
                <w:noProof/>
              </w:rPr>
              <w:t>Compensation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8957C" w14:textId="26211610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3" w:history="1">
            <w:r w:rsidRPr="005E26C9">
              <w:rPr>
                <w:rStyle w:val="Hyperlink"/>
                <w:noProof/>
              </w:rPr>
              <w:t>Failure Handling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9102" w14:textId="78819583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4" w:history="1">
            <w:r w:rsidRPr="005E26C9">
              <w:rPr>
                <w:rStyle w:val="Hyperlink"/>
                <w:noProof/>
              </w:rPr>
              <w:t>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E732" w14:textId="4035084E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5" w:history="1">
            <w:r w:rsidRPr="005E26C9">
              <w:rPr>
                <w:rStyle w:val="Hyperlink"/>
                <w:noProof/>
              </w:rPr>
              <w:t>Data &amp;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5177" w14:textId="20CB5119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6" w:history="1">
            <w:r w:rsidRPr="005E26C9">
              <w:rPr>
                <w:rStyle w:val="Hyperlink"/>
                <w:noProof/>
              </w:rPr>
              <w:t>Messaging &amp;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1614" w14:textId="2DC73C79" w:rsidR="00DF12AB" w:rsidRDefault="00DF12A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7" w:history="1">
            <w:r w:rsidRPr="005E26C9">
              <w:rPr>
                <w:rStyle w:val="Hyperlink"/>
                <w:rFonts w:eastAsia="Calibri"/>
                <w:noProof/>
              </w:rPr>
              <w:t>Representative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BA8E" w14:textId="5760BD35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8" w:history="1">
            <w:r w:rsidRPr="005E26C9">
              <w:rPr>
                <w:rStyle w:val="Hyperlink"/>
                <w:noProof/>
              </w:rPr>
              <w:t>Front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C9C2" w14:textId="146B09CB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59" w:history="1">
            <w:r w:rsidRPr="005E26C9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C7CD" w14:textId="2869E974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60" w:history="1">
            <w:r w:rsidRPr="005E26C9">
              <w:rPr>
                <w:rStyle w:val="Hyperlink"/>
                <w:noProof/>
              </w:rPr>
              <w:t>Architecture Decision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09BF" w14:textId="332005BF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61" w:history="1">
            <w:r w:rsidRPr="005E26C9">
              <w:rPr>
                <w:rStyle w:val="Hyperlink"/>
                <w:noProof/>
              </w:rPr>
              <w:t>Build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AB0B" w14:textId="23F45B9E" w:rsidR="00DF12AB" w:rsidRDefault="00DF12A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4821162" w:history="1">
            <w:r w:rsidRPr="005E26C9">
              <w:rPr>
                <w:rStyle w:val="Hyperlink"/>
                <w:noProof/>
              </w:rPr>
              <w:t>Open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398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FCA2" w14:textId="04B0A9DB" w:rsidR="00C27F48" w:rsidRDefault="00C27F48">
          <w:r>
            <w:rPr>
              <w:b/>
              <w:bCs/>
              <w:noProof/>
            </w:rPr>
            <w:fldChar w:fldCharType="end"/>
          </w:r>
        </w:p>
      </w:sdtContent>
    </w:sdt>
    <w:p w14:paraId="04CE392B" w14:textId="77777777" w:rsidR="00DA1023" w:rsidRDefault="00DA1023">
      <w:pPr>
        <w:rPr>
          <w:rFonts w:asciiTheme="majorHAnsi" w:eastAsiaTheme="majorEastAsia" w:hAnsiTheme="majorHAnsi" w:cstheme="majorBidi"/>
          <w:color w:val="C2260C" w:themeColor="accent6" w:themeShade="BF"/>
          <w:sz w:val="40"/>
          <w:szCs w:val="40"/>
        </w:rPr>
      </w:pPr>
      <w:r>
        <w:br w:type="page"/>
      </w:r>
    </w:p>
    <w:p w14:paraId="39D06C1D" w14:textId="2AA486A5" w:rsidR="00C27F48" w:rsidRDefault="00C27F48" w:rsidP="00C27F48">
      <w:pPr>
        <w:pStyle w:val="Heading1"/>
      </w:pPr>
      <w:bookmarkStart w:id="0" w:name="_Toc234821142"/>
      <w:r>
        <w:lastRenderedPageBreak/>
        <w:t>Purpose &amp; Positioning</w:t>
      </w:r>
      <w:bookmarkEnd w:id="0"/>
    </w:p>
    <w:p w14:paraId="63ADE45E" w14:textId="0C8D1EE7" w:rsidR="00DA1023" w:rsidRDefault="00DA1023" w:rsidP="00DA1023">
      <w:r>
        <w:t>Overflow is a reference architecture, not a product.  It exists to prove one thing to a prospective client:  that the person they are considering hiring can design an event-driven system that behaves correctly when things go wrong – not just when the demo goes right.</w:t>
      </w:r>
    </w:p>
    <w:p w14:paraId="76059CB9" w14:textId="653094F3" w:rsidR="00DA1023" w:rsidRDefault="00DA1023" w:rsidP="00DA1023">
      <w:r>
        <w:t>The domain is deliberately universal.  An order comes in, inventory is reserved, payment is charged, the warehouse is told to ship, and the customer is notified.  Every business vertical: retail, distribution, manufacturing, or logistics, understands this flow without translation.  That makes it the ideal canvas for showing architectural judgment rather than explaining it.</w:t>
      </w:r>
    </w:p>
    <w:p w14:paraId="446DE9F7" w14:textId="04D1DE16" w:rsidR="00DA1023" w:rsidRDefault="00DA1023" w:rsidP="00DA1023">
      <w:pPr>
        <w:rPr>
          <w:b/>
          <w:bCs/>
        </w:rPr>
      </w:pPr>
      <w:r>
        <w:rPr>
          <w:b/>
          <w:bCs/>
        </w:rPr>
        <w:t xml:space="preserve">What </w:t>
      </w:r>
      <w:r w:rsidR="005A7E92">
        <w:rPr>
          <w:b/>
          <w:bCs/>
        </w:rPr>
        <w:t>is this document</w:t>
      </w:r>
      <w:r>
        <w:rPr>
          <w:b/>
          <w:bCs/>
        </w:rPr>
        <w:t xml:space="preserve"> for</w:t>
      </w:r>
    </w:p>
    <w:p w14:paraId="0A51D511" w14:textId="7C1AFDA7" w:rsidR="00DA1023" w:rsidRPr="00DA1023" w:rsidRDefault="00DA1023" w:rsidP="00DA1023">
      <w:pPr>
        <w:pStyle w:val="ListParagraph"/>
        <w:numPr>
          <w:ilvl w:val="0"/>
          <w:numId w:val="1"/>
        </w:numPr>
        <w:rPr>
          <w:b/>
          <w:bCs/>
        </w:rPr>
      </w:pPr>
      <w:r>
        <w:t>A shared reference for the Order Flow system and build – service boundaries, contracts, failure behavior, and the decisions behind them.</w:t>
      </w:r>
    </w:p>
    <w:p w14:paraId="3B77CB61" w14:textId="0CC4A0E1" w:rsidR="00DA1023" w:rsidRPr="00DA1023" w:rsidRDefault="00DA1023" w:rsidP="00DA102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planning artifact that the SCRUB prompt library is </w:t>
      </w:r>
      <w:r w:rsidR="005A7E92">
        <w:t>derived</w:t>
      </w:r>
      <w:r>
        <w:t xml:space="preserve"> from, and the raw materials for the accompanying case study and blog posts.</w:t>
      </w:r>
    </w:p>
    <w:p w14:paraId="509A2EC0" w14:textId="6E025DE9" w:rsidR="00DA1023" w:rsidRPr="00DA1023" w:rsidRDefault="00DA1023" w:rsidP="00DA1023">
      <w:pPr>
        <w:pStyle w:val="ListParagraph"/>
        <w:numPr>
          <w:ilvl w:val="0"/>
          <w:numId w:val="1"/>
        </w:numPr>
        <w:rPr>
          <w:b/>
          <w:bCs/>
        </w:rPr>
      </w:pPr>
      <w:r>
        <w:t>An</w:t>
      </w:r>
      <w:r w:rsidR="005A7E92">
        <w:t xml:space="preserve"> editable draft.  Everything here is a starting position and is meant to be fodder for conversation, not a settled specification.</w:t>
      </w:r>
    </w:p>
    <w:p w14:paraId="063E885C" w14:textId="6CC0FDAF" w:rsidR="00C27F48" w:rsidRDefault="00C27F48" w:rsidP="00C27F48">
      <w:pPr>
        <w:pStyle w:val="Heading1"/>
      </w:pPr>
      <w:bookmarkStart w:id="1" w:name="_Toc234821143"/>
      <w:r>
        <w:t>Design Principles</w:t>
      </w:r>
      <w:bookmarkEnd w:id="1"/>
    </w:p>
    <w:p w14:paraId="6A7C4D0F" w14:textId="41FE51B8" w:rsidR="005A7E92" w:rsidRDefault="005A7E92" w:rsidP="005A7E92">
      <w:r>
        <w:t xml:space="preserve">These are the rules that design and build are </w:t>
      </w:r>
      <w:proofErr w:type="gramStart"/>
      <w:r>
        <w:t>held to</w:t>
      </w:r>
      <w:proofErr w:type="gramEnd"/>
      <w:r>
        <w:t>.  When a decision is contested later, it is settled by appeal to one of these principles.</w:t>
      </w:r>
    </w:p>
    <w:p w14:paraId="08D40FF4" w14:textId="06A4CDDF" w:rsidR="005A7E92" w:rsidRDefault="005A7E92" w:rsidP="005A7E92">
      <w:r w:rsidRPr="005A7E92">
        <w:rPr>
          <w:b/>
          <w:bCs/>
        </w:rPr>
        <w:t>Right-sizing is an architectural decision</w:t>
      </w:r>
      <w:r>
        <w:rPr>
          <w:b/>
          <w:bCs/>
        </w:rPr>
        <w:br/>
      </w:r>
      <w:r>
        <w:t>The default is the boring, correct solution.  Microservices, event sourcing, and a service mesh each solve a real problem, and each becomes a liability without that problem.  Order Flow decomposes only where the seam earns its keep, and this document records what was deliberately left together.</w:t>
      </w:r>
    </w:p>
    <w:p w14:paraId="03C73C0B" w14:textId="1C605864" w:rsidR="005A7E92" w:rsidRDefault="005A7E92" w:rsidP="005A7E92">
      <w:r>
        <w:rPr>
          <w:b/>
          <w:bCs/>
        </w:rPr>
        <w:t>Correct under failure, not just under demo</w:t>
      </w:r>
      <w:r>
        <w:rPr>
          <w:b/>
          <w:bCs/>
        </w:rPr>
        <w:br/>
      </w:r>
      <w:r>
        <w:t>Every distributed interaction assumes the other side can be slow, absent, or duplicated.  Idempotency, retries with backoff, compensation, and dead lettering are first-class elements, not afterthoughts.</w:t>
      </w:r>
    </w:p>
    <w:p w14:paraId="42CF8ED8" w14:textId="7CDB12AF" w:rsidR="005A7E92" w:rsidRDefault="005A7E92" w:rsidP="005A7E92">
      <w:r>
        <w:rPr>
          <w:b/>
          <w:bCs/>
        </w:rPr>
        <w:t>Local by default, backed by a real SDK</w:t>
      </w:r>
      <w:r>
        <w:rPr>
          <w:b/>
          <w:bCs/>
        </w:rPr>
        <w:br/>
      </w:r>
      <w:r>
        <w:t>The whole system runs on Aspire-orchestrated emulators with zero Azure spend, but it talks to real Azure SDKs.  Going live is a configuration and DevOps change, not a rewrite.  The demo is honest: no simulation shortcuts standing in for the real messaging or storage semantics.</w:t>
      </w:r>
    </w:p>
    <w:p w14:paraId="34327520" w14:textId="18A42412" w:rsidR="005A7E92" w:rsidRPr="005A7E92" w:rsidRDefault="005A7E92" w:rsidP="005A7E92">
      <w:r>
        <w:rPr>
          <w:b/>
          <w:bCs/>
        </w:rPr>
        <w:t>Observability is part of the deliverable</w:t>
      </w:r>
      <w:r>
        <w:rPr>
          <w:b/>
          <w:bCs/>
        </w:rPr>
        <w:br/>
      </w:r>
      <w:r>
        <w:t>If a behavior cannot be seen in a trace, it is not done.  The Aspire dashboard is treated as a demo surface, not just a development environment convenience.</w:t>
      </w:r>
    </w:p>
    <w:p w14:paraId="6BEC1D60" w14:textId="77777777" w:rsidR="005A7E92" w:rsidRPr="00DA1023" w:rsidRDefault="005A7E92" w:rsidP="005A7E92">
      <w:pPr>
        <w:pStyle w:val="Heading2"/>
      </w:pPr>
    </w:p>
    <w:p w14:paraId="6A167626" w14:textId="746DF5CB" w:rsidR="00C27F48" w:rsidRDefault="00C27F48" w:rsidP="00C27F48">
      <w:pPr>
        <w:pStyle w:val="Heading1"/>
      </w:pPr>
      <w:bookmarkStart w:id="2" w:name="_Toc234821144"/>
      <w:r>
        <w:t>Scope</w:t>
      </w:r>
      <w:bookmarkEnd w:id="2"/>
    </w:p>
    <w:p w14:paraId="4DDA75E3" w14:textId="3FBF5639" w:rsidR="00C27F48" w:rsidRDefault="00C27F48" w:rsidP="00C27F48">
      <w:pPr>
        <w:pStyle w:val="Heading2"/>
      </w:pPr>
      <w:bookmarkStart w:id="3" w:name="_Toc234821145"/>
      <w:r>
        <w:t>In Scope</w:t>
      </w:r>
      <w:bookmarkEnd w:id="3"/>
    </w:p>
    <w:p w14:paraId="4CA10906" w14:textId="2E9D0CD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 xml:space="preserve">Order placement with </w:t>
      </w:r>
      <w:proofErr w:type="gramStart"/>
      <w:r w:rsidR="00DB72DE" w:rsidRPr="00DB72DE">
        <w:rPr>
          <w:rFonts w:eastAsia="Calibri" w:cs="Calibri"/>
          <w:color w:val="222222"/>
        </w:rPr>
        <w:t xml:space="preserve">one or </w:t>
      </w:r>
      <w:r w:rsidR="00DB72DE">
        <w:rPr>
          <w:rFonts w:eastAsia="Calibri" w:cs="Calibri"/>
          <w:color w:val="222222"/>
        </w:rPr>
        <w:t>more line</w:t>
      </w:r>
      <w:proofErr w:type="gramEnd"/>
      <w:r w:rsidRPr="00DB72DE">
        <w:rPr>
          <w:rFonts w:eastAsia="Calibri" w:cs="Calibri"/>
          <w:color w:val="222222"/>
        </w:rPr>
        <w:t xml:space="preserve"> items.</w:t>
      </w:r>
    </w:p>
    <w:p w14:paraId="58E40325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Inventory reservation with correct concurrency behavior under contention.</w:t>
      </w:r>
    </w:p>
    <w:p w14:paraId="3E5985B9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Simulated payment with idempotent processing and duplicate-callback protection.</w:t>
      </w:r>
    </w:p>
    <w:p w14:paraId="0B6BD789" w14:textId="65956754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 xml:space="preserve">Fulfillment dispatch to a simulated warehouse/carrier, with </w:t>
      </w:r>
      <w:r w:rsidR="00DB72DE" w:rsidRPr="00DB72DE">
        <w:rPr>
          <w:rFonts w:eastAsia="Calibri" w:cs="Calibri"/>
          <w:color w:val="222222"/>
        </w:rPr>
        <w:t>transient failure</w:t>
      </w:r>
      <w:r w:rsidRPr="00DB72DE">
        <w:rPr>
          <w:rFonts w:eastAsia="Calibri" w:cs="Calibri"/>
          <w:color w:val="222222"/>
        </w:rPr>
        <w:t xml:space="preserve"> retry.</w:t>
      </w:r>
    </w:p>
    <w:p w14:paraId="433867A1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Best-effort customer notifications on state transitions.</w:t>
      </w:r>
    </w:p>
    <w:p w14:paraId="65EC628E" w14:textId="20A48695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 xml:space="preserve">A saga coordinating the above, with compensation </w:t>
      </w:r>
      <w:r w:rsidR="00DB72DE" w:rsidRPr="00DB72DE">
        <w:rPr>
          <w:rFonts w:eastAsia="Calibri" w:cs="Calibri"/>
          <w:color w:val="222222"/>
        </w:rPr>
        <w:t>for</w:t>
      </w:r>
      <w:r w:rsidRPr="00DB72DE">
        <w:rPr>
          <w:rFonts w:eastAsia="Calibri" w:cs="Calibri"/>
          <w:color w:val="222222"/>
        </w:rPr>
        <w:t xml:space="preserve"> failure.</w:t>
      </w:r>
    </w:p>
    <w:p w14:paraId="388DBDF9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An Angular operations/status view and a minimal customer order view.</w:t>
      </w:r>
    </w:p>
    <w:p w14:paraId="30BDD1E0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Live distributed tracing via the Aspire dashboard and OpenTelemetry.</w:t>
      </w:r>
    </w:p>
    <w:p w14:paraId="51B9B209" w14:textId="77777777" w:rsidR="005A7E92" w:rsidRPr="00DB72DE" w:rsidRDefault="005A7E92" w:rsidP="00C27F48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A small set of Architecture Decision Records (ADRs).</w:t>
      </w:r>
    </w:p>
    <w:p w14:paraId="1797709F" w14:textId="62BB97C1" w:rsidR="00C27F48" w:rsidRDefault="00C27F48" w:rsidP="005A7E92">
      <w:pPr>
        <w:pStyle w:val="Heading2"/>
      </w:pPr>
      <w:bookmarkStart w:id="4" w:name="_Toc234821146"/>
      <w:r>
        <w:t>Out of Scope</w:t>
      </w:r>
      <w:bookmarkEnd w:id="4"/>
    </w:p>
    <w:p w14:paraId="5CAD48B0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Real payment or carrier integrations — simulated providers only.</w:t>
      </w:r>
    </w:p>
    <w:p w14:paraId="7ECA6E83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A production storefront, catalog browsing, cart, or checkout UX polish.</w:t>
      </w:r>
    </w:p>
    <w:p w14:paraId="36FE8AFB" w14:textId="3C9B2620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 xml:space="preserve">Auth beyond a minimal </w:t>
      </w:r>
      <w:r w:rsidR="00DB72DE" w:rsidRPr="00DB72DE">
        <w:rPr>
          <w:rFonts w:eastAsia="Calibri" w:cs="Calibri"/>
          <w:color w:val="222222"/>
        </w:rPr>
        <w:t>stub</w:t>
      </w:r>
      <w:r w:rsidRPr="00DB72DE">
        <w:rPr>
          <w:rFonts w:eastAsia="Calibri" w:cs="Calibri"/>
          <w:color w:val="222222"/>
        </w:rPr>
        <w:t xml:space="preserve"> is not the auth-modernization demo.</w:t>
      </w:r>
    </w:p>
    <w:p w14:paraId="5E268E88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A dedicated warehouse-management subsystem (explicitly not decomposed — see ADR-004).</w:t>
      </w:r>
    </w:p>
    <w:p w14:paraId="0836DEF6" w14:textId="77777777" w:rsidR="005A7E92" w:rsidRPr="00DB72DE" w:rsidRDefault="005A7E92" w:rsidP="005A7E92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DB72DE">
        <w:rPr>
          <w:rFonts w:eastAsia="Calibri" w:cs="Calibri"/>
          <w:color w:val="222222"/>
        </w:rPr>
        <w:t>Multi-region, multi-tenant, or horizontal-scale concerns beyond what a trace can illustrate.</w:t>
      </w:r>
    </w:p>
    <w:p w14:paraId="512B08FA" w14:textId="22565AD0" w:rsidR="00C27F48" w:rsidRDefault="00C27F48" w:rsidP="00C27F48">
      <w:pPr>
        <w:pStyle w:val="Heading1"/>
      </w:pPr>
      <w:bookmarkStart w:id="5" w:name="_Toc234821147"/>
      <w:r>
        <w:t>System Overview</w:t>
      </w:r>
      <w:bookmarkEnd w:id="5"/>
    </w:p>
    <w:p w14:paraId="0B967A61" w14:textId="3DD029F4" w:rsidR="00DB72DE" w:rsidRDefault="00DB72DE" w:rsidP="00DB72DE">
      <w:r>
        <w:t>Order Flow is a small set of services coordinated by a saga over an asynchronous message bus.  The order service owns the workflow; Inventory, Payment, Fulfillment, and Notifications react to messages and report back.  State transitions are recorded to an append-only order event log; a read model serves fast status queries.</w:t>
      </w:r>
    </w:p>
    <w:p w14:paraId="209DA6AF" w14:textId="615CF90E" w:rsidR="00DB72DE" w:rsidRDefault="00DB72DE" w:rsidP="00DB72DE">
      <w:pPr>
        <w:pStyle w:val="Heading2"/>
      </w:pPr>
      <w:bookmarkStart w:id="6" w:name="_Toc234821148"/>
      <w:r>
        <w:t>Logical Flow</w:t>
      </w:r>
      <w:bookmarkEnd w:id="6"/>
    </w:p>
    <w:p w14:paraId="0652EA45" w14:textId="4BE56781" w:rsidR="00DB72DE" w:rsidRDefault="00DB72DE" w:rsidP="00DB72DE">
      <w:pPr>
        <w:pStyle w:val="ListParagraph"/>
        <w:numPr>
          <w:ilvl w:val="0"/>
          <w:numId w:val="3"/>
        </w:numPr>
      </w:pPr>
      <w:r>
        <w:t xml:space="preserve">Customer places an order </w:t>
      </w:r>
      <w:r>
        <w:sym w:font="Wingdings" w:char="F0E0"/>
      </w:r>
      <w:r>
        <w:t xml:space="preserve"> Order services </w:t>
      </w:r>
      <w:proofErr w:type="gramStart"/>
      <w:r>
        <w:t>records</w:t>
      </w:r>
      <w:proofErr w:type="gramEnd"/>
      <w:r>
        <w:t xml:space="preserve"> it as Placed and starts the saga</w:t>
      </w:r>
    </w:p>
    <w:p w14:paraId="692674A1" w14:textId="7E278074" w:rsidR="00DB72DE" w:rsidRDefault="00DB72DE" w:rsidP="00DB72DE">
      <w:pPr>
        <w:pStyle w:val="ListParagraph"/>
        <w:numPr>
          <w:ilvl w:val="0"/>
          <w:numId w:val="3"/>
        </w:numPr>
      </w:pPr>
      <w:r>
        <w:t xml:space="preserve">Inventory reserves stock for each line </w:t>
      </w:r>
      <w:r>
        <w:sym w:font="Wingdings" w:char="F0E0"/>
      </w:r>
      <w:r>
        <w:t xml:space="preserve"> replies Reserved or Rejected</w:t>
      </w:r>
    </w:p>
    <w:p w14:paraId="5467BE94" w14:textId="58BC53BD" w:rsidR="00DB72DE" w:rsidRDefault="00DB72DE" w:rsidP="00DB72DE">
      <w:pPr>
        <w:pStyle w:val="ListParagraph"/>
        <w:numPr>
          <w:ilvl w:val="0"/>
          <w:numId w:val="3"/>
        </w:numPr>
      </w:pPr>
      <w:r>
        <w:t xml:space="preserve">Payment charges the order total </w:t>
      </w:r>
      <w:r>
        <w:sym w:font="Wingdings" w:char="F0E0"/>
      </w:r>
      <w:r>
        <w:t xml:space="preserve"> replies Paid or Declined</w:t>
      </w:r>
    </w:p>
    <w:p w14:paraId="0B790D2F" w14:textId="505A6237" w:rsidR="00DB72DE" w:rsidRDefault="00DB72DE" w:rsidP="00DB72DE">
      <w:pPr>
        <w:pStyle w:val="ListParagraph"/>
        <w:numPr>
          <w:ilvl w:val="0"/>
          <w:numId w:val="3"/>
        </w:numPr>
      </w:pPr>
      <w:r>
        <w:t xml:space="preserve">Fulfillment dispatches to the warehouse </w:t>
      </w:r>
      <w:r>
        <w:sym w:font="Wingdings" w:char="F0E0"/>
      </w:r>
      <w:r>
        <w:t xml:space="preserve"> replies Dispatched</w:t>
      </w:r>
    </w:p>
    <w:p w14:paraId="064DCBE6" w14:textId="17ABD011" w:rsidR="00DB72DE" w:rsidRDefault="00DB72DE" w:rsidP="00DB72DE">
      <w:pPr>
        <w:pStyle w:val="ListParagraph"/>
        <w:numPr>
          <w:ilvl w:val="0"/>
          <w:numId w:val="3"/>
        </w:numPr>
      </w:pPr>
      <w:r>
        <w:t>Notification informs the customer at each meaningful transition</w:t>
      </w:r>
    </w:p>
    <w:p w14:paraId="205D4A07" w14:textId="26D866F2" w:rsidR="00DB72DE" w:rsidRDefault="00DB72DE" w:rsidP="00DB72DE">
      <w:pPr>
        <w:pStyle w:val="ListParagraph"/>
        <w:numPr>
          <w:ilvl w:val="0"/>
          <w:numId w:val="3"/>
        </w:numPr>
      </w:pPr>
      <w:r>
        <w:t>Order service marks the order as Confirmed and updates the read model</w:t>
      </w:r>
    </w:p>
    <w:p w14:paraId="29E768EB" w14:textId="6763F859" w:rsidR="00E10FF6" w:rsidRDefault="00E10FF6" w:rsidP="00E10FF6">
      <w:pPr>
        <w:pStyle w:val="NormalWeb"/>
      </w:pPr>
      <w:r>
        <w:rPr>
          <w:noProof/>
        </w:rPr>
        <w:lastRenderedPageBreak/>
        <w:drawing>
          <wp:inline distT="0" distB="0" distL="0" distR="0" wp14:anchorId="408ADA59" wp14:editId="2D19479B">
            <wp:extent cx="5943600" cy="6314440"/>
            <wp:effectExtent l="0" t="0" r="0" b="0"/>
            <wp:docPr id="214093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C0FF" w14:textId="5A6FB822" w:rsidR="00E10FF6" w:rsidRDefault="00E10FF6" w:rsidP="00E10FF6">
      <w:pPr>
        <w:pStyle w:val="Heading1"/>
        <w:rPr>
          <w:b/>
          <w:bCs/>
        </w:rPr>
      </w:pPr>
      <w:bookmarkStart w:id="7" w:name="_Toc234821149"/>
      <w:r w:rsidRPr="00E10FF6">
        <w:rPr>
          <w:b/>
          <w:bCs/>
        </w:rPr>
        <w:lastRenderedPageBreak/>
        <w:drawing>
          <wp:inline distT="0" distB="0" distL="0" distR="0" wp14:anchorId="0716D2F5" wp14:editId="7D6BD6B8">
            <wp:extent cx="5943600" cy="4754880"/>
            <wp:effectExtent l="0" t="0" r="0" b="7620"/>
            <wp:docPr id="40203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BA81" w14:textId="5FB6AC9A" w:rsidR="008918C1" w:rsidRPr="008918C1" w:rsidRDefault="008918C1" w:rsidP="008918C1">
      <w:r w:rsidRPr="008918C1">
        <w:lastRenderedPageBreak/>
        <w:drawing>
          <wp:inline distT="0" distB="0" distL="0" distR="0" wp14:anchorId="57CFA542" wp14:editId="6F910A9B">
            <wp:extent cx="5943600" cy="4259580"/>
            <wp:effectExtent l="0" t="0" r="0" b="7620"/>
            <wp:docPr id="1167250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BCD5" w14:textId="77777777" w:rsidR="008918C1" w:rsidRPr="008918C1" w:rsidRDefault="008918C1" w:rsidP="008918C1"/>
    <w:p w14:paraId="728D5B89" w14:textId="613BE606" w:rsidR="00C27F48" w:rsidRDefault="00C27F48" w:rsidP="00C27F48">
      <w:pPr>
        <w:pStyle w:val="Heading1"/>
      </w:pPr>
      <w:r>
        <w:t>Services and Responsibilities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72DE" w14:paraId="79713748" w14:textId="77777777" w:rsidTr="00DB72DE">
        <w:tc>
          <w:tcPr>
            <w:tcW w:w="3116" w:type="dxa"/>
          </w:tcPr>
          <w:p w14:paraId="5725587F" w14:textId="33AC7EFA" w:rsidR="00DB72DE" w:rsidRPr="00DB72DE" w:rsidRDefault="00DB72DE" w:rsidP="00DB72DE">
            <w:pPr>
              <w:jc w:val="center"/>
              <w:rPr>
                <w:b/>
                <w:bCs/>
              </w:rPr>
            </w:pPr>
            <w:r w:rsidRPr="00DB72DE">
              <w:rPr>
                <w:b/>
                <w:bCs/>
              </w:rPr>
              <w:t>Service</w:t>
            </w:r>
          </w:p>
        </w:tc>
        <w:tc>
          <w:tcPr>
            <w:tcW w:w="3117" w:type="dxa"/>
          </w:tcPr>
          <w:p w14:paraId="4EC0F1E1" w14:textId="03563603" w:rsidR="00DB72DE" w:rsidRPr="00DB72DE" w:rsidRDefault="00DB72DE" w:rsidP="00DB72DE">
            <w:pPr>
              <w:jc w:val="center"/>
              <w:rPr>
                <w:b/>
                <w:bCs/>
              </w:rPr>
            </w:pPr>
            <w:r w:rsidRPr="00DB72DE">
              <w:rPr>
                <w:b/>
                <w:bCs/>
              </w:rPr>
              <w:t>Owns</w:t>
            </w:r>
          </w:p>
        </w:tc>
        <w:tc>
          <w:tcPr>
            <w:tcW w:w="3117" w:type="dxa"/>
          </w:tcPr>
          <w:p w14:paraId="5B0C143C" w14:textId="760A9334" w:rsidR="00DB72DE" w:rsidRPr="00DB72DE" w:rsidRDefault="00DB72DE" w:rsidP="00DB72DE">
            <w:pPr>
              <w:jc w:val="center"/>
              <w:rPr>
                <w:b/>
                <w:bCs/>
              </w:rPr>
            </w:pPr>
            <w:r w:rsidRPr="00DB72DE">
              <w:rPr>
                <w:b/>
                <w:bCs/>
              </w:rPr>
              <w:t>Key behavior it proves</w:t>
            </w:r>
          </w:p>
        </w:tc>
      </w:tr>
      <w:tr w:rsidR="00DB72DE" w14:paraId="51C74CF9" w14:textId="77777777" w:rsidTr="00DB72DE">
        <w:tc>
          <w:tcPr>
            <w:tcW w:w="3116" w:type="dxa"/>
          </w:tcPr>
          <w:p w14:paraId="0762BE2B" w14:textId="2DD103E6" w:rsidR="00DB72DE" w:rsidRPr="00F97409" w:rsidRDefault="00DB72DE" w:rsidP="00DB72DE">
            <w:pPr>
              <w:rPr>
                <w:b/>
                <w:bCs/>
              </w:rPr>
            </w:pPr>
            <w:r w:rsidRPr="00F97409">
              <w:rPr>
                <w:b/>
                <w:bCs/>
              </w:rPr>
              <w:t>Order</w:t>
            </w:r>
          </w:p>
        </w:tc>
        <w:tc>
          <w:tcPr>
            <w:tcW w:w="3117" w:type="dxa"/>
          </w:tcPr>
          <w:p w14:paraId="72263895" w14:textId="609B18A0" w:rsidR="00DB72DE" w:rsidRDefault="00DB72DE" w:rsidP="00DB72DE">
            <w:r>
              <w:t>Order aggregate, workflow state, event log</w:t>
            </w:r>
          </w:p>
        </w:tc>
        <w:tc>
          <w:tcPr>
            <w:tcW w:w="3117" w:type="dxa"/>
          </w:tcPr>
          <w:p w14:paraId="3F55987A" w14:textId="43FBCEDA" w:rsidR="00DB72DE" w:rsidRDefault="00DB72DE" w:rsidP="00DB72DE">
            <w:r>
              <w:t>Orchestration, compensation, idempotent transitions</w:t>
            </w:r>
          </w:p>
        </w:tc>
      </w:tr>
      <w:tr w:rsidR="00DB72DE" w14:paraId="3C67583A" w14:textId="77777777" w:rsidTr="00DB72DE">
        <w:tc>
          <w:tcPr>
            <w:tcW w:w="3116" w:type="dxa"/>
          </w:tcPr>
          <w:p w14:paraId="65E0BF53" w14:textId="493F4DCC" w:rsidR="00DB72DE" w:rsidRPr="00F97409" w:rsidRDefault="00DB72DE" w:rsidP="00DB72DE">
            <w:pPr>
              <w:rPr>
                <w:b/>
                <w:bCs/>
              </w:rPr>
            </w:pPr>
            <w:r w:rsidRPr="00F97409">
              <w:rPr>
                <w:b/>
                <w:bCs/>
              </w:rPr>
              <w:t>Inventory</w:t>
            </w:r>
          </w:p>
        </w:tc>
        <w:tc>
          <w:tcPr>
            <w:tcW w:w="3117" w:type="dxa"/>
          </w:tcPr>
          <w:p w14:paraId="7A18CF4E" w14:textId="004498BE" w:rsidR="00DB72DE" w:rsidRDefault="00DB72DE" w:rsidP="00DB72DE">
            <w:r>
              <w:t xml:space="preserve">On hand </w:t>
            </w:r>
            <w:r w:rsidR="00F97409">
              <w:t>/ reserved</w:t>
            </w:r>
            <w:r>
              <w:t xml:space="preserve"> / available per SKU</w:t>
            </w:r>
          </w:p>
        </w:tc>
        <w:tc>
          <w:tcPr>
            <w:tcW w:w="3117" w:type="dxa"/>
          </w:tcPr>
          <w:p w14:paraId="24D5E2B7" w14:textId="4E7D668F" w:rsidR="00DB72DE" w:rsidRDefault="00DB72DE" w:rsidP="00DB72DE">
            <w:r>
              <w:t>Concurrency-correct reservation no oversell</w:t>
            </w:r>
          </w:p>
        </w:tc>
      </w:tr>
      <w:tr w:rsidR="00DB72DE" w14:paraId="1FE013CB" w14:textId="77777777" w:rsidTr="00DB72DE">
        <w:tc>
          <w:tcPr>
            <w:tcW w:w="3116" w:type="dxa"/>
          </w:tcPr>
          <w:p w14:paraId="63B0896D" w14:textId="5395D707" w:rsidR="00DB72DE" w:rsidRPr="00F97409" w:rsidRDefault="00DB72DE" w:rsidP="00DB72DE">
            <w:pPr>
              <w:rPr>
                <w:b/>
                <w:bCs/>
              </w:rPr>
            </w:pPr>
            <w:r w:rsidRPr="00F97409">
              <w:rPr>
                <w:b/>
                <w:bCs/>
              </w:rPr>
              <w:t>Payment</w:t>
            </w:r>
          </w:p>
        </w:tc>
        <w:tc>
          <w:tcPr>
            <w:tcW w:w="3117" w:type="dxa"/>
          </w:tcPr>
          <w:p w14:paraId="06950B12" w14:textId="08EDAF02" w:rsidR="00DB72DE" w:rsidRDefault="00F97409" w:rsidP="00DB72DE">
            <w:r>
              <w:t>Charging</w:t>
            </w:r>
            <w:r w:rsidR="00DB72DE">
              <w:t xml:space="preserve"> attempts and </w:t>
            </w:r>
            <w:r>
              <w:t>outcomes</w:t>
            </w:r>
          </w:p>
        </w:tc>
        <w:tc>
          <w:tcPr>
            <w:tcW w:w="3117" w:type="dxa"/>
          </w:tcPr>
          <w:p w14:paraId="1ED6574E" w14:textId="02FF3AAE" w:rsidR="00DB72DE" w:rsidRDefault="00F97409" w:rsidP="00DB72DE">
            <w:r>
              <w:t>Idempotency against duplicate callbacks; decline handling</w:t>
            </w:r>
          </w:p>
        </w:tc>
      </w:tr>
      <w:tr w:rsidR="00DB72DE" w14:paraId="47A775B3" w14:textId="77777777" w:rsidTr="00DB72DE">
        <w:tc>
          <w:tcPr>
            <w:tcW w:w="3116" w:type="dxa"/>
          </w:tcPr>
          <w:p w14:paraId="72641F05" w14:textId="5F45E34B" w:rsidR="00DB72DE" w:rsidRPr="00F97409" w:rsidRDefault="00F97409" w:rsidP="00DB72DE">
            <w:pPr>
              <w:rPr>
                <w:b/>
                <w:bCs/>
              </w:rPr>
            </w:pPr>
            <w:r w:rsidRPr="00F97409">
              <w:rPr>
                <w:b/>
                <w:bCs/>
              </w:rPr>
              <w:t>Fulfillment</w:t>
            </w:r>
          </w:p>
        </w:tc>
        <w:tc>
          <w:tcPr>
            <w:tcW w:w="3117" w:type="dxa"/>
          </w:tcPr>
          <w:p w14:paraId="0606FF93" w14:textId="3E48EC33" w:rsidR="00DB72DE" w:rsidRDefault="00F97409" w:rsidP="00DB72DE">
            <w:r>
              <w:t>Dispatch requests to the warehouse/carrier</w:t>
            </w:r>
          </w:p>
        </w:tc>
        <w:tc>
          <w:tcPr>
            <w:tcW w:w="3117" w:type="dxa"/>
          </w:tcPr>
          <w:p w14:paraId="55876E83" w14:textId="7C1D1267" w:rsidR="00DB72DE" w:rsidRDefault="00F97409" w:rsidP="00DB72DE">
            <w:r>
              <w:t>Retry with backoff; dead letter on hard failure</w:t>
            </w:r>
          </w:p>
        </w:tc>
      </w:tr>
      <w:tr w:rsidR="00DB72DE" w14:paraId="2D40DF47" w14:textId="77777777" w:rsidTr="00DB72DE">
        <w:tc>
          <w:tcPr>
            <w:tcW w:w="3116" w:type="dxa"/>
          </w:tcPr>
          <w:p w14:paraId="7E5B3342" w14:textId="2130B03A" w:rsidR="00DB72DE" w:rsidRPr="00F97409" w:rsidRDefault="00F97409" w:rsidP="00DB72DE">
            <w:pPr>
              <w:rPr>
                <w:b/>
                <w:bCs/>
              </w:rPr>
            </w:pPr>
            <w:r w:rsidRPr="00F97409">
              <w:rPr>
                <w:b/>
                <w:bCs/>
              </w:rPr>
              <w:t>Notification</w:t>
            </w:r>
          </w:p>
        </w:tc>
        <w:tc>
          <w:tcPr>
            <w:tcW w:w="3117" w:type="dxa"/>
          </w:tcPr>
          <w:p w14:paraId="0BCA6603" w14:textId="07C7F39D" w:rsidR="00DB72DE" w:rsidRDefault="00F97409" w:rsidP="00DB72DE">
            <w:r>
              <w:t>Customer messages on transitions</w:t>
            </w:r>
          </w:p>
        </w:tc>
        <w:tc>
          <w:tcPr>
            <w:tcW w:w="3117" w:type="dxa"/>
          </w:tcPr>
          <w:p w14:paraId="6EB83E74" w14:textId="22D7353E" w:rsidR="00DB72DE" w:rsidRDefault="00F97409" w:rsidP="00DB72DE">
            <w:r>
              <w:t>Best effort; never blocks or rolls back the order</w:t>
            </w:r>
          </w:p>
        </w:tc>
      </w:tr>
    </w:tbl>
    <w:p w14:paraId="28EB333E" w14:textId="2A430309" w:rsidR="00C27F48" w:rsidRDefault="00C27F48" w:rsidP="00C27F48">
      <w:pPr>
        <w:pStyle w:val="Heading1"/>
      </w:pPr>
      <w:bookmarkStart w:id="8" w:name="_Toc234821150"/>
      <w:r>
        <w:t>Saga &amp; Compensation</w:t>
      </w:r>
      <w:bookmarkEnd w:id="8"/>
    </w:p>
    <w:p w14:paraId="6A23226C" w14:textId="60EC7FFE" w:rsidR="00EF5184" w:rsidRDefault="00F97409" w:rsidP="00F97409">
      <w:r>
        <w:t>The order workflow is a saga: a sequence of local transactions where each step has a compensating action that undoes it.  There are no distributed transactions and no 2-phase commits – those are rejected deliberately in ADR-001.</w:t>
      </w:r>
    </w:p>
    <w:p w14:paraId="04EC0797" w14:textId="79A78A55" w:rsidR="00EF5184" w:rsidRDefault="00EF5184" w:rsidP="00EF5184">
      <w:pPr>
        <w:pStyle w:val="Heading2"/>
      </w:pPr>
      <w:bookmarkStart w:id="9" w:name="_Toc234821151"/>
      <w:r>
        <w:lastRenderedPageBreak/>
        <w:t>Forward Path</w:t>
      </w:r>
      <w:bookmarkEnd w:id="9"/>
    </w:p>
    <w:p w14:paraId="6DCB9E11" w14:textId="0830523B" w:rsidR="00EF5184" w:rsidRDefault="00EF5184" w:rsidP="00EF5184">
      <w:r>
        <w:t xml:space="preserve">Placed </w:t>
      </w:r>
      <w:r>
        <w:sym w:font="Wingdings" w:char="F0E0"/>
      </w:r>
      <w:r>
        <w:t xml:space="preserve"> Reserved </w:t>
      </w:r>
      <w:r>
        <w:sym w:font="Wingdings" w:char="F0E0"/>
      </w:r>
      <w:r>
        <w:t xml:space="preserve"> Paid </w:t>
      </w:r>
      <w:r>
        <w:sym w:font="Wingdings" w:char="F0E0"/>
      </w:r>
      <w:r>
        <w:t xml:space="preserve"> Dispatched </w:t>
      </w:r>
      <w:r>
        <w:sym w:font="Wingdings" w:char="F0E0"/>
      </w:r>
      <w:r>
        <w:t xml:space="preserve"> Confirmed</w:t>
      </w:r>
    </w:p>
    <w:p w14:paraId="6D15FF05" w14:textId="46963912" w:rsidR="00EF5184" w:rsidRDefault="00EF5184" w:rsidP="00EF5184">
      <w:pPr>
        <w:pStyle w:val="Heading2"/>
      </w:pPr>
      <w:bookmarkStart w:id="10" w:name="_Toc234821152"/>
      <w:r>
        <w:t>Compensation Path</w:t>
      </w:r>
      <w:bookmarkEnd w:id="10"/>
    </w:p>
    <w:p w14:paraId="18D06094" w14:textId="546F9C61" w:rsidR="00EF5184" w:rsidRDefault="00EF5184" w:rsidP="00EF5184">
      <w:pPr>
        <w:pStyle w:val="ListParagraph"/>
        <w:numPr>
          <w:ilvl w:val="0"/>
          <w:numId w:val="1"/>
        </w:numPr>
      </w:pPr>
      <w:r>
        <w:t xml:space="preserve">Payment declines after inventory </w:t>
      </w:r>
      <w:proofErr w:type="gramStart"/>
      <w:r>
        <w:t>is</w:t>
      </w:r>
      <w:proofErr w:type="gramEnd"/>
      <w:r>
        <w:t xml:space="preserve"> reserved </w:t>
      </w:r>
      <w:r>
        <w:sym w:font="Wingdings" w:char="F0E0"/>
      </w:r>
      <w:r>
        <w:t xml:space="preserve"> release the reservation, mark the order Failed with a customer-facing reason</w:t>
      </w:r>
    </w:p>
    <w:p w14:paraId="6299263C" w14:textId="217AB45D" w:rsidR="00EF5184" w:rsidRDefault="00EF5184" w:rsidP="00EF5184">
      <w:pPr>
        <w:pStyle w:val="ListParagraph"/>
        <w:numPr>
          <w:ilvl w:val="0"/>
          <w:numId w:val="1"/>
        </w:numPr>
      </w:pPr>
      <w:r>
        <w:t xml:space="preserve">Fulfillment fails permanently after payment </w:t>
      </w:r>
      <w:r>
        <w:sym w:font="Wingdings" w:char="F0E0"/>
      </w:r>
      <w:r>
        <w:t xml:space="preserve"> refund the charge, release the reservation, and mark as Failed</w:t>
      </w:r>
    </w:p>
    <w:p w14:paraId="4699866C" w14:textId="3020C2B4" w:rsidR="00EF5184" w:rsidRPr="00EF5184" w:rsidRDefault="00EF5184" w:rsidP="00EF5184">
      <w:pPr>
        <w:pStyle w:val="ListParagraph"/>
        <w:numPr>
          <w:ilvl w:val="0"/>
          <w:numId w:val="1"/>
        </w:numPr>
      </w:pPr>
      <w:r>
        <w:t xml:space="preserve">Inventory rejects up front </w:t>
      </w:r>
      <w:r>
        <w:sym w:font="Wingdings" w:char="F0E0"/>
      </w:r>
      <w:r>
        <w:t xml:space="preserve"> no compensation needed; mark as Failed immediately</w:t>
      </w:r>
    </w:p>
    <w:p w14:paraId="6C8C4947" w14:textId="638CD2DA" w:rsidR="00C27F48" w:rsidRDefault="00C27F48" w:rsidP="00C27F48">
      <w:pPr>
        <w:pStyle w:val="Heading1"/>
      </w:pPr>
      <w:bookmarkStart w:id="11" w:name="_Toc234821153"/>
      <w:r>
        <w:t>Failure Handling &amp; Resilience</w:t>
      </w:r>
      <w:bookmarkEnd w:id="11"/>
    </w:p>
    <w:p w14:paraId="15146D2D" w14:textId="3093D5E5" w:rsidR="00EF5184" w:rsidRDefault="00355E1A" w:rsidP="00EF5184">
      <w:r>
        <w:t xml:space="preserve">This is the section the whole </w:t>
      </w:r>
      <w:proofErr w:type="gramStart"/>
      <w:r>
        <w:t>build</w:t>
      </w:r>
      <w:proofErr w:type="gramEnd"/>
      <w:r>
        <w:t xml:space="preserve"> serves.  Each scenario below is </w:t>
      </w:r>
      <w:r w:rsidR="00900966">
        <w:t>meant to be demonstrated</w:t>
      </w:r>
      <w:r>
        <w:t xml:space="preserve"> live, ideally by killing a dependency mid-flow and narrating the recovery.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5699"/>
      </w:tblGrid>
      <w:tr w:rsidR="00355E1A" w14:paraId="6CFD262D" w14:textId="77777777" w:rsidTr="00355E1A">
        <w:tc>
          <w:tcPr>
            <w:tcW w:w="3116" w:type="dxa"/>
          </w:tcPr>
          <w:p w14:paraId="717C04E0" w14:textId="270261FC" w:rsidR="00355E1A" w:rsidRPr="00DB72DE" w:rsidRDefault="00355E1A" w:rsidP="001A6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5699" w:type="dxa"/>
          </w:tcPr>
          <w:p w14:paraId="3DD406B4" w14:textId="1D360E20" w:rsidR="00355E1A" w:rsidRPr="00DB72DE" w:rsidRDefault="00355E1A" w:rsidP="001A6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Behavior</w:t>
            </w:r>
          </w:p>
        </w:tc>
      </w:tr>
      <w:tr w:rsidR="00B045DC" w14:paraId="053E05B9" w14:textId="77777777" w:rsidTr="00355E1A">
        <w:tc>
          <w:tcPr>
            <w:tcW w:w="3116" w:type="dxa"/>
          </w:tcPr>
          <w:p w14:paraId="46AE7E50" w14:textId="61D187CF" w:rsidR="00B045DC" w:rsidRPr="00F97409" w:rsidRDefault="00B045DC" w:rsidP="00B045DC">
            <w:pPr>
              <w:rPr>
                <w:b/>
                <w:bCs/>
              </w:rPr>
            </w:pPr>
            <w:r>
              <w:rPr>
                <w:b/>
                <w:bCs/>
              </w:rPr>
              <w:t>Duplicate payment callback</w:t>
            </w:r>
          </w:p>
        </w:tc>
        <w:tc>
          <w:tcPr>
            <w:tcW w:w="5699" w:type="dxa"/>
          </w:tcPr>
          <w:p w14:paraId="2F30A78B" w14:textId="712042B5" w:rsidR="00B045DC" w:rsidRPr="00B045DC" w:rsidRDefault="00B045DC" w:rsidP="00B045DC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Second callback is a no-op; no double charge, no duplicate transition.</w:t>
            </w:r>
          </w:p>
        </w:tc>
      </w:tr>
      <w:tr w:rsidR="00B045DC" w14:paraId="27DFF0F1" w14:textId="77777777" w:rsidTr="00355E1A">
        <w:tc>
          <w:tcPr>
            <w:tcW w:w="3116" w:type="dxa"/>
          </w:tcPr>
          <w:p w14:paraId="376E40FB" w14:textId="3F162478" w:rsidR="00B045DC" w:rsidRPr="00F97409" w:rsidRDefault="00B045DC" w:rsidP="00B045DC">
            <w:pPr>
              <w:rPr>
                <w:b/>
                <w:bCs/>
              </w:rPr>
            </w:pPr>
            <w:r>
              <w:rPr>
                <w:b/>
                <w:bCs/>
              </w:rPr>
              <w:t>Concurrent purchase of the last unit</w:t>
            </w:r>
          </w:p>
        </w:tc>
        <w:tc>
          <w:tcPr>
            <w:tcW w:w="5699" w:type="dxa"/>
          </w:tcPr>
          <w:p w14:paraId="1BBFAE8F" w14:textId="4BF9F9F1" w:rsidR="00B045DC" w:rsidRPr="00B045DC" w:rsidRDefault="00B045DC" w:rsidP="00B045DC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Exactly one reservation wins; the other fails cleanly. No oversell.</w:t>
            </w:r>
          </w:p>
        </w:tc>
      </w:tr>
      <w:tr w:rsidR="00B045DC" w14:paraId="3035F674" w14:textId="77777777" w:rsidTr="00355E1A">
        <w:tc>
          <w:tcPr>
            <w:tcW w:w="3116" w:type="dxa"/>
          </w:tcPr>
          <w:p w14:paraId="552B17CE" w14:textId="08373867" w:rsidR="00B045DC" w:rsidRPr="00F97409" w:rsidRDefault="00B045DC" w:rsidP="00B045DC">
            <w:pPr>
              <w:rPr>
                <w:b/>
                <w:bCs/>
              </w:rPr>
            </w:pPr>
            <w:r>
              <w:rPr>
                <w:b/>
                <w:bCs/>
              </w:rPr>
              <w:t>Payment gateway down</w:t>
            </w:r>
          </w:p>
        </w:tc>
        <w:tc>
          <w:tcPr>
            <w:tcW w:w="5699" w:type="dxa"/>
          </w:tcPr>
          <w:p w14:paraId="713D13E6" w14:textId="3F0D22F2" w:rsidR="00B045DC" w:rsidRPr="00B045DC" w:rsidRDefault="00B045DC" w:rsidP="00B045DC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Retry with backoff via a circuit breaker; recover when it returns.</w:t>
            </w:r>
          </w:p>
        </w:tc>
      </w:tr>
      <w:tr w:rsidR="00B045DC" w14:paraId="67869BF8" w14:textId="77777777" w:rsidTr="00355E1A">
        <w:tc>
          <w:tcPr>
            <w:tcW w:w="3116" w:type="dxa"/>
          </w:tcPr>
          <w:p w14:paraId="213C9676" w14:textId="650225E9" w:rsidR="00B045DC" w:rsidRPr="00F97409" w:rsidRDefault="00B045DC" w:rsidP="00B045DC">
            <w:pPr>
              <w:rPr>
                <w:b/>
                <w:bCs/>
              </w:rPr>
            </w:pPr>
            <w:r>
              <w:rPr>
                <w:b/>
                <w:bCs/>
              </w:rPr>
              <w:t>Carrier calls fail permanently</w:t>
            </w:r>
          </w:p>
        </w:tc>
        <w:tc>
          <w:tcPr>
            <w:tcW w:w="5699" w:type="dxa"/>
          </w:tcPr>
          <w:p w14:paraId="2C64E9EF" w14:textId="551E16CA" w:rsidR="00B045DC" w:rsidRPr="00B045DC" w:rsidRDefault="00B045DC" w:rsidP="00B045DC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Message dead-lettered; order enters a visible stuck state with a reason.</w:t>
            </w:r>
          </w:p>
        </w:tc>
      </w:tr>
      <w:tr w:rsidR="00B045DC" w14:paraId="300C849C" w14:textId="77777777" w:rsidTr="00355E1A">
        <w:tc>
          <w:tcPr>
            <w:tcW w:w="3116" w:type="dxa"/>
          </w:tcPr>
          <w:p w14:paraId="321A7746" w14:textId="409CEAE3" w:rsidR="00B045DC" w:rsidRPr="00F97409" w:rsidRDefault="00B045DC" w:rsidP="00B045DC">
            <w:pPr>
              <w:rPr>
                <w:b/>
                <w:bCs/>
              </w:rPr>
            </w:pPr>
            <w:r>
              <w:rPr>
                <w:b/>
                <w:bCs/>
              </w:rPr>
              <w:t>Payment fails after reservation</w:t>
            </w:r>
          </w:p>
        </w:tc>
        <w:tc>
          <w:tcPr>
            <w:tcW w:w="5699" w:type="dxa"/>
          </w:tcPr>
          <w:p w14:paraId="3C5E8DC6" w14:textId="54B86B11" w:rsidR="00B045DC" w:rsidRPr="00B045DC" w:rsidRDefault="00B045DC" w:rsidP="00B045DC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Reservation released (compensation); order marked Failed.</w:t>
            </w:r>
          </w:p>
        </w:tc>
      </w:tr>
      <w:tr w:rsidR="00355E1A" w14:paraId="2C76E396" w14:textId="77777777" w:rsidTr="00355E1A">
        <w:tc>
          <w:tcPr>
            <w:tcW w:w="3116" w:type="dxa"/>
          </w:tcPr>
          <w:p w14:paraId="0BB5C72C" w14:textId="4CF7B90C" w:rsidR="00355E1A" w:rsidRDefault="00355E1A" w:rsidP="001A6DDB">
            <w:pPr>
              <w:rPr>
                <w:b/>
                <w:bCs/>
              </w:rPr>
            </w:pPr>
            <w:r>
              <w:rPr>
                <w:b/>
                <w:bCs/>
              </w:rPr>
              <w:t>Notification provider down</w:t>
            </w:r>
          </w:p>
        </w:tc>
        <w:tc>
          <w:tcPr>
            <w:tcW w:w="5699" w:type="dxa"/>
          </w:tcPr>
          <w:p w14:paraId="57A69389" w14:textId="2802E962" w:rsidR="00355E1A" w:rsidRPr="00B045DC" w:rsidRDefault="00B045DC" w:rsidP="001A6DDB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Order proceeds unaffected; notification retried best-effort, then dropped.</w:t>
            </w:r>
          </w:p>
        </w:tc>
      </w:tr>
      <w:tr w:rsidR="00355E1A" w14:paraId="3E8C7B10" w14:textId="77777777" w:rsidTr="00355E1A">
        <w:tc>
          <w:tcPr>
            <w:tcW w:w="3116" w:type="dxa"/>
          </w:tcPr>
          <w:p w14:paraId="15C746C7" w14:textId="1E8798DA" w:rsidR="00355E1A" w:rsidRDefault="00B045DC" w:rsidP="001A6DDB">
            <w:pPr>
              <w:rPr>
                <w:b/>
                <w:bCs/>
              </w:rPr>
            </w:pPr>
            <w:r>
              <w:rPr>
                <w:b/>
                <w:bCs/>
              </w:rPr>
              <w:t>Poison</w:t>
            </w:r>
            <w:r w:rsidR="00355E1A">
              <w:rPr>
                <w:b/>
                <w:bCs/>
              </w:rPr>
              <w:t xml:space="preserve"> message on the bus</w:t>
            </w:r>
          </w:p>
        </w:tc>
        <w:tc>
          <w:tcPr>
            <w:tcW w:w="5699" w:type="dxa"/>
          </w:tcPr>
          <w:p w14:paraId="18F30827" w14:textId="7C8E1315" w:rsidR="00355E1A" w:rsidRPr="00B045DC" w:rsidRDefault="00B045DC" w:rsidP="001A6DDB"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 xml:space="preserve">Dead-lettered after N attempts; visible to ops, </w:t>
            </w:r>
            <w:proofErr w:type="spellStart"/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replayable</w:t>
            </w:r>
            <w:proofErr w:type="spellEnd"/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.</w:t>
            </w:r>
          </w:p>
        </w:tc>
      </w:tr>
    </w:tbl>
    <w:p w14:paraId="76761FBA" w14:textId="298C5C6A" w:rsidR="00B045DC" w:rsidRDefault="00B045DC" w:rsidP="00B045DC">
      <w:pPr>
        <w:pStyle w:val="Heading2"/>
      </w:pPr>
      <w:r>
        <w:br/>
      </w:r>
      <w:bookmarkStart w:id="12" w:name="_Toc234821154"/>
      <w:r>
        <w:t>Mechanisms</w:t>
      </w:r>
      <w:bookmarkEnd w:id="12"/>
      <w:r w:rsidR="00466B57">
        <w:br/>
      </w:r>
    </w:p>
    <w:p w14:paraId="060A4410" w14:textId="185ECF80" w:rsidR="00B045DC" w:rsidRDefault="00B045DC" w:rsidP="00B045DC">
      <w:pPr>
        <w:pStyle w:val="ListParagraph"/>
        <w:numPr>
          <w:ilvl w:val="0"/>
          <w:numId w:val="1"/>
        </w:numPr>
      </w:pPr>
      <w:r>
        <w:rPr>
          <w:b/>
          <w:bCs/>
        </w:rPr>
        <w:t>Idempotency</w:t>
      </w:r>
      <w:r>
        <w:t xml:space="preserve"> – A durable idempotency key per external callback and per message consumer, so at least once delivery is safe</w:t>
      </w:r>
    </w:p>
    <w:p w14:paraId="09524AAD" w14:textId="4368DC94" w:rsidR="00B045DC" w:rsidRDefault="00B045DC" w:rsidP="00B045DC">
      <w:pPr>
        <w:pStyle w:val="ListParagraph"/>
        <w:numPr>
          <w:ilvl w:val="0"/>
          <w:numId w:val="1"/>
        </w:numPr>
      </w:pPr>
      <w:r>
        <w:rPr>
          <w:b/>
          <w:bCs/>
        </w:rPr>
        <w:t>Retries &amp; Circuit Breaking</w:t>
      </w:r>
      <w:r>
        <w:t xml:space="preserve"> – Polly policies on outbound gateway/carrier calls, tuned per dependency rather than one global default.</w:t>
      </w:r>
    </w:p>
    <w:p w14:paraId="6F5C0AB6" w14:textId="4874BF11" w:rsidR="00B045DC" w:rsidRDefault="00B045DC" w:rsidP="00B045DC">
      <w:pPr>
        <w:pStyle w:val="ListParagraph"/>
        <w:numPr>
          <w:ilvl w:val="0"/>
          <w:numId w:val="1"/>
        </w:numPr>
      </w:pPr>
      <w:r w:rsidRPr="00466B57">
        <w:rPr>
          <w:b/>
          <w:bCs/>
        </w:rPr>
        <w:t>Dead Lettering</w:t>
      </w:r>
      <w:r>
        <w:t xml:space="preserve"> – Poison and hard-fail messages land in a DLQ with enough context to diagnose and replay.</w:t>
      </w:r>
    </w:p>
    <w:p w14:paraId="03BA3B7F" w14:textId="36103C7F" w:rsidR="00B045DC" w:rsidRPr="00B045DC" w:rsidRDefault="00B045DC" w:rsidP="00B045DC">
      <w:pPr>
        <w:pStyle w:val="ListParagraph"/>
        <w:numPr>
          <w:ilvl w:val="0"/>
          <w:numId w:val="1"/>
        </w:numPr>
      </w:pPr>
      <w:r w:rsidRPr="00466B57">
        <w:rPr>
          <w:b/>
          <w:bCs/>
        </w:rPr>
        <w:t>Concurrency Control</w:t>
      </w:r>
      <w:r>
        <w:t xml:space="preserve"> – Optimistic concurrency on inventor</w:t>
      </w:r>
      <w:r w:rsidR="00F05855">
        <w:t>y</w:t>
      </w:r>
      <w:r>
        <w:t xml:space="preserve"> rows; the losing writer fails and is handled, never silently overwritten.</w:t>
      </w:r>
    </w:p>
    <w:p w14:paraId="0C0A1145" w14:textId="3DAC959C" w:rsidR="00C27F48" w:rsidRDefault="00C27F48" w:rsidP="00C27F48">
      <w:pPr>
        <w:pStyle w:val="Heading1"/>
      </w:pPr>
      <w:bookmarkStart w:id="13" w:name="_Toc234821155"/>
      <w:r>
        <w:t>Data &amp; Persistence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3023"/>
        <w:gridCol w:w="3855"/>
      </w:tblGrid>
      <w:tr w:rsidR="00F05855" w:rsidRPr="00DB72DE" w14:paraId="434E7030" w14:textId="721C64D2" w:rsidTr="00F05855">
        <w:tc>
          <w:tcPr>
            <w:tcW w:w="2027" w:type="dxa"/>
          </w:tcPr>
          <w:p w14:paraId="5CBBC437" w14:textId="29703A7F" w:rsidR="00F05855" w:rsidRPr="00DB72DE" w:rsidRDefault="00F05855" w:rsidP="001A6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</w:t>
            </w:r>
          </w:p>
        </w:tc>
        <w:tc>
          <w:tcPr>
            <w:tcW w:w="3023" w:type="dxa"/>
          </w:tcPr>
          <w:p w14:paraId="2A636CB7" w14:textId="3A81D556" w:rsidR="00F05855" w:rsidRPr="00DB72DE" w:rsidRDefault="00F05855" w:rsidP="001A6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855" w:type="dxa"/>
          </w:tcPr>
          <w:p w14:paraId="4654D183" w14:textId="5B484A68" w:rsidR="00F05855" w:rsidRPr="00F05855" w:rsidRDefault="00F05855" w:rsidP="001A6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F05855" w:rsidRPr="00B045DC" w14:paraId="1FF80622" w14:textId="0DD79839" w:rsidTr="00F05855">
        <w:tc>
          <w:tcPr>
            <w:tcW w:w="2027" w:type="dxa"/>
          </w:tcPr>
          <w:p w14:paraId="3332B4C2" w14:textId="00641F45" w:rsidR="00F05855" w:rsidRPr="00F97409" w:rsidRDefault="00F05855" w:rsidP="001A6DD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Cosmos DB</w:t>
            </w:r>
          </w:p>
        </w:tc>
        <w:tc>
          <w:tcPr>
            <w:tcW w:w="3023" w:type="dxa"/>
          </w:tcPr>
          <w:p w14:paraId="3B4D4FB7" w14:textId="4057E428" w:rsidR="00F05855" w:rsidRPr="00B045DC" w:rsidRDefault="00F05855" w:rsidP="001A6DDB">
            <w:r>
              <w:rPr>
                <w:rFonts w:eastAsia="Calibri" w:cs="Calibri"/>
                <w:color w:val="222222"/>
                <w:sz w:val="19"/>
                <w:szCs w:val="19"/>
              </w:rPr>
              <w:t>Append-only order event log</w:t>
            </w:r>
          </w:p>
        </w:tc>
        <w:tc>
          <w:tcPr>
            <w:tcW w:w="3855" w:type="dxa"/>
          </w:tcPr>
          <w:p w14:paraId="22F77B6E" w14:textId="05B08AB8" w:rsidR="00F05855" w:rsidRPr="00B045DC" w:rsidRDefault="00F05855" w:rsidP="001A6DDB">
            <w:pPr>
              <w:rPr>
                <w:rFonts w:eastAsia="Calibri" w:cs="Calibri"/>
                <w:color w:val="222222"/>
                <w:sz w:val="19"/>
                <w:szCs w:val="19"/>
              </w:rPr>
            </w:pPr>
            <w:r>
              <w:rPr>
                <w:rFonts w:eastAsia="Calibri" w:cs="Calibri"/>
                <w:color w:val="222222"/>
                <w:sz w:val="19"/>
                <w:szCs w:val="19"/>
              </w:rPr>
              <w:t>Natural fit for an immutable event stream; see ADR-002</w:t>
            </w:r>
          </w:p>
        </w:tc>
      </w:tr>
      <w:tr w:rsidR="00F05855" w:rsidRPr="00B045DC" w14:paraId="3B5CBCE0" w14:textId="3BB2FF20" w:rsidTr="00F05855">
        <w:tc>
          <w:tcPr>
            <w:tcW w:w="2027" w:type="dxa"/>
          </w:tcPr>
          <w:p w14:paraId="09101A5A" w14:textId="5092813B" w:rsidR="00F05855" w:rsidRPr="00F97409" w:rsidRDefault="00F05855" w:rsidP="001A6DDB">
            <w:pPr>
              <w:rPr>
                <w:b/>
                <w:bCs/>
              </w:rPr>
            </w:pPr>
            <w:r>
              <w:rPr>
                <w:b/>
                <w:bCs/>
              </w:rPr>
              <w:t>SQL DB</w:t>
            </w:r>
          </w:p>
        </w:tc>
        <w:tc>
          <w:tcPr>
            <w:tcW w:w="3023" w:type="dxa"/>
          </w:tcPr>
          <w:p w14:paraId="49CF938F" w14:textId="0DCF48AF" w:rsidR="00F05855" w:rsidRPr="00B045DC" w:rsidRDefault="00F05855" w:rsidP="001A6DDB">
            <w:r>
              <w:rPr>
                <w:rFonts w:eastAsia="Calibri" w:cs="Calibri"/>
                <w:color w:val="222222"/>
                <w:sz w:val="19"/>
                <w:szCs w:val="19"/>
              </w:rPr>
              <w:t>Inventory, payment records</w:t>
            </w:r>
            <w:r w:rsidRPr="00B045DC">
              <w:rPr>
                <w:rFonts w:eastAsia="Calibri" w:cs="Calibri"/>
                <w:color w:val="222222"/>
                <w:sz w:val="19"/>
                <w:szCs w:val="19"/>
              </w:rPr>
              <w:t>.</w:t>
            </w:r>
          </w:p>
        </w:tc>
        <w:tc>
          <w:tcPr>
            <w:tcW w:w="3855" w:type="dxa"/>
          </w:tcPr>
          <w:p w14:paraId="5CF230B6" w14:textId="4D5C9467" w:rsidR="00F05855" w:rsidRPr="00B045DC" w:rsidRDefault="00F05855" w:rsidP="001A6DDB">
            <w:pPr>
              <w:rPr>
                <w:rFonts w:eastAsia="Calibri" w:cs="Calibri"/>
                <w:color w:val="222222"/>
                <w:sz w:val="19"/>
                <w:szCs w:val="19"/>
              </w:rPr>
            </w:pPr>
            <w:r>
              <w:rPr>
                <w:rFonts w:eastAsia="Calibri" w:cs="Calibri"/>
                <w:color w:val="222222"/>
                <w:sz w:val="19"/>
                <w:szCs w:val="19"/>
              </w:rPr>
              <w:t>Strong consistency and row-level concurrency where it matters</w:t>
            </w:r>
          </w:p>
        </w:tc>
      </w:tr>
      <w:tr w:rsidR="00F05855" w:rsidRPr="00B045DC" w14:paraId="5C135BBD" w14:textId="06272DF9" w:rsidTr="00F05855">
        <w:tc>
          <w:tcPr>
            <w:tcW w:w="2027" w:type="dxa"/>
          </w:tcPr>
          <w:p w14:paraId="6FC6B4BD" w14:textId="51110AF3" w:rsidR="00F05855" w:rsidRPr="00F97409" w:rsidRDefault="00F05855" w:rsidP="001A6DDB">
            <w:pPr>
              <w:rPr>
                <w:b/>
                <w:bCs/>
              </w:rPr>
            </w:pPr>
            <w:r>
              <w:rPr>
                <w:b/>
                <w:bCs/>
              </w:rPr>
              <w:t>Redis</w:t>
            </w:r>
          </w:p>
        </w:tc>
        <w:tc>
          <w:tcPr>
            <w:tcW w:w="3023" w:type="dxa"/>
          </w:tcPr>
          <w:p w14:paraId="3510AEEC" w14:textId="6E33562F" w:rsidR="00F05855" w:rsidRPr="00B045DC" w:rsidRDefault="00F05855" w:rsidP="001A6DDB">
            <w:r>
              <w:rPr>
                <w:rFonts w:eastAsia="Calibri" w:cs="Calibri"/>
                <w:color w:val="222222"/>
                <w:sz w:val="19"/>
                <w:szCs w:val="19"/>
              </w:rPr>
              <w:t>Order status read model</w:t>
            </w:r>
          </w:p>
        </w:tc>
        <w:tc>
          <w:tcPr>
            <w:tcW w:w="3855" w:type="dxa"/>
          </w:tcPr>
          <w:p w14:paraId="281B4DA6" w14:textId="26051DF2" w:rsidR="00F05855" w:rsidRPr="00B045DC" w:rsidRDefault="00F05855" w:rsidP="001A6DDB">
            <w:pPr>
              <w:rPr>
                <w:rFonts w:eastAsia="Calibri" w:cs="Calibri"/>
                <w:color w:val="222222"/>
                <w:sz w:val="19"/>
                <w:szCs w:val="19"/>
              </w:rPr>
            </w:pPr>
            <w:r>
              <w:rPr>
                <w:rFonts w:eastAsia="Calibri" w:cs="Calibri"/>
                <w:color w:val="222222"/>
                <w:sz w:val="19"/>
                <w:szCs w:val="19"/>
              </w:rPr>
              <w:t>Fast status reads without hitting the event log every time</w:t>
            </w:r>
          </w:p>
        </w:tc>
      </w:tr>
    </w:tbl>
    <w:p w14:paraId="649B54C7" w14:textId="47C45F17" w:rsidR="00F05855" w:rsidRPr="00F05855" w:rsidRDefault="00C44BB4" w:rsidP="00F05855">
      <w:r>
        <w:br/>
        <w:t>This is a lightweight CQRS split</w:t>
      </w:r>
      <w:r w:rsidR="009F04CE">
        <w:t>: writes</w:t>
      </w:r>
      <w:r>
        <w:t xml:space="preserve"> go through the domain and the event log; reads are served from a projection.  It is intentionally not full event sourcing</w:t>
      </w:r>
      <w:r w:rsidR="009F04CE">
        <w:t xml:space="preserve"> – the read model is a convenience, not the system of record for every aggregate.  That boundary is deliberate and documented.</w:t>
      </w:r>
    </w:p>
    <w:p w14:paraId="56D81FBF" w14:textId="7A5FD28A" w:rsidR="00C27F48" w:rsidRDefault="00C27F48" w:rsidP="00C27F48">
      <w:pPr>
        <w:pStyle w:val="Heading1"/>
      </w:pPr>
      <w:bookmarkStart w:id="14" w:name="_Toc234821156"/>
      <w:r>
        <w:t>Messaging &amp; Contracts</w:t>
      </w:r>
      <w:bookmarkEnd w:id="14"/>
    </w:p>
    <w:p w14:paraId="53199026" w14:textId="77777777" w:rsidR="00501AD5" w:rsidRPr="00501AD5" w:rsidRDefault="00501AD5" w:rsidP="00501AD5">
      <w:pPr>
        <w:spacing w:after="140" w:line="276" w:lineRule="auto"/>
      </w:pPr>
      <w:r w:rsidRPr="00501AD5">
        <w:rPr>
          <w:rFonts w:eastAsia="Calibri" w:cs="Calibri"/>
          <w:color w:val="222222"/>
        </w:rPr>
        <w:t>Services communicate over Azure Service Bus (emulated locally). Commands are directed to a single handler; events are published for any interested subscriber. Every message carries a correlation id so a single order can be followed end-to-end in a trace.</w:t>
      </w:r>
    </w:p>
    <w:p w14:paraId="16BBD427" w14:textId="77777777" w:rsidR="00501AD5" w:rsidRPr="00501AD5" w:rsidRDefault="00501AD5" w:rsidP="00D416D5">
      <w:pPr>
        <w:pStyle w:val="Heading2"/>
      </w:pPr>
      <w:bookmarkStart w:id="15" w:name="_Toc234821157"/>
      <w:r w:rsidRPr="00501AD5">
        <w:rPr>
          <w:rFonts w:eastAsia="Calibri"/>
        </w:rPr>
        <w:t>Representative messages</w:t>
      </w:r>
      <w:bookmarkEnd w:id="15"/>
    </w:p>
    <w:p w14:paraId="3EC6A78C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color w:val="222222"/>
        </w:rPr>
        <w:t xml:space="preserve">Commands: </w:t>
      </w:r>
      <w:proofErr w:type="spellStart"/>
      <w:r w:rsidRPr="00501AD5">
        <w:rPr>
          <w:rFonts w:eastAsia="Calibri" w:cs="Calibri"/>
          <w:color w:val="222222"/>
        </w:rPr>
        <w:t>ReserveInventory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ChargePayment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DispatchFulfillment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ReleaseInventory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RefundPayment</w:t>
      </w:r>
      <w:proofErr w:type="spellEnd"/>
      <w:r w:rsidRPr="00501AD5">
        <w:rPr>
          <w:rFonts w:eastAsia="Calibri" w:cs="Calibri"/>
          <w:color w:val="222222"/>
        </w:rPr>
        <w:t>.</w:t>
      </w:r>
    </w:p>
    <w:p w14:paraId="6616755B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color w:val="222222"/>
        </w:rPr>
        <w:t xml:space="preserve">Events: </w:t>
      </w:r>
      <w:proofErr w:type="spellStart"/>
      <w:r w:rsidRPr="00501AD5">
        <w:rPr>
          <w:rFonts w:eastAsia="Calibri" w:cs="Calibri"/>
          <w:color w:val="222222"/>
        </w:rPr>
        <w:t>OrderPlaced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InventoryReserved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InventoryRejected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PaymentSucceeded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PaymentDeclined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FulfillmentDispatched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FulfillmentFailed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OrderConfirmed</w:t>
      </w:r>
      <w:proofErr w:type="spellEnd"/>
      <w:r w:rsidRPr="00501AD5">
        <w:rPr>
          <w:rFonts w:eastAsia="Calibri" w:cs="Calibri"/>
          <w:color w:val="222222"/>
        </w:rPr>
        <w:t xml:space="preserve">, </w:t>
      </w:r>
      <w:proofErr w:type="spellStart"/>
      <w:r w:rsidRPr="00501AD5">
        <w:rPr>
          <w:rFonts w:eastAsia="Calibri" w:cs="Calibri"/>
          <w:color w:val="222222"/>
        </w:rPr>
        <w:t>OrderFailed</w:t>
      </w:r>
      <w:proofErr w:type="spellEnd"/>
      <w:r w:rsidRPr="00501AD5">
        <w:rPr>
          <w:rFonts w:eastAsia="Calibri" w:cs="Calibri"/>
          <w:color w:val="222222"/>
        </w:rPr>
        <w:t>.</w:t>
      </w:r>
    </w:p>
    <w:p w14:paraId="73BE179C" w14:textId="2E6EA846" w:rsidR="00C27F48" w:rsidRDefault="00C27F48" w:rsidP="00C27F48">
      <w:pPr>
        <w:pStyle w:val="Heading1"/>
      </w:pPr>
      <w:bookmarkStart w:id="16" w:name="_Toc234821158"/>
      <w:r>
        <w:t>Front End</w:t>
      </w:r>
      <w:bookmarkEnd w:id="16"/>
    </w:p>
    <w:p w14:paraId="6050416C" w14:textId="7A897F3B" w:rsidR="00501AD5" w:rsidRPr="00501AD5" w:rsidRDefault="00501AD5" w:rsidP="00501AD5">
      <w:pPr>
        <w:spacing w:after="140" w:line="276" w:lineRule="auto"/>
      </w:pPr>
      <w:r w:rsidRPr="00501AD5">
        <w:rPr>
          <w:rFonts w:eastAsia="Calibri" w:cs="Calibri"/>
          <w:color w:val="222222"/>
        </w:rPr>
        <w:t>Angular 20, reusing the conventions established in AspireCafe</w:t>
      </w:r>
      <w:r w:rsidRPr="00501AD5">
        <w:rPr>
          <w:rFonts w:eastAsia="Calibri" w:cs="Calibri"/>
          <w:color w:val="222222"/>
        </w:rPr>
        <w:t>2026</w:t>
      </w:r>
      <w:r w:rsidRPr="00501AD5">
        <w:rPr>
          <w:rFonts w:eastAsia="Calibri" w:cs="Calibri"/>
          <w:color w:val="222222"/>
        </w:rPr>
        <w:t xml:space="preserve"> so the portfolio reads as one coherent stack rather than three unrelated demos. Two surfaces, both intentionally minimal:</w:t>
      </w:r>
    </w:p>
    <w:p w14:paraId="01EAAFAB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b/>
          <w:bCs/>
          <w:color w:val="1A1A1A"/>
        </w:rPr>
        <w:t xml:space="preserve">Customer order view — </w:t>
      </w:r>
      <w:r w:rsidRPr="00501AD5">
        <w:rPr>
          <w:rFonts w:eastAsia="Calibri" w:cs="Calibri"/>
          <w:color w:val="222222"/>
        </w:rPr>
        <w:t>place an order and watch its status advance in real time through the saga states.</w:t>
      </w:r>
    </w:p>
    <w:p w14:paraId="2361E806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b/>
          <w:bCs/>
          <w:color w:val="1A1A1A"/>
        </w:rPr>
        <w:t xml:space="preserve">Ops view — </w:t>
      </w:r>
      <w:r w:rsidRPr="00501AD5">
        <w:rPr>
          <w:rFonts w:eastAsia="Calibri" w:cs="Calibri"/>
          <w:color w:val="222222"/>
        </w:rPr>
        <w:t>inventory levels per SKU, payment attempt history, and a list of stuck / dead-lettered orders with their reasons.</w:t>
      </w:r>
    </w:p>
    <w:p w14:paraId="0C81ECAF" w14:textId="0BB132B1" w:rsidR="00C27F48" w:rsidRDefault="00C27F48" w:rsidP="00C27F48">
      <w:pPr>
        <w:pStyle w:val="Heading1"/>
      </w:pPr>
      <w:bookmarkStart w:id="17" w:name="_Toc234821159"/>
      <w:r>
        <w:t>Observability</w:t>
      </w:r>
      <w:bookmarkEnd w:id="17"/>
    </w:p>
    <w:p w14:paraId="5209A44F" w14:textId="77777777" w:rsidR="00501AD5" w:rsidRPr="00501AD5" w:rsidRDefault="00501AD5" w:rsidP="00501AD5">
      <w:pPr>
        <w:spacing w:after="140" w:line="276" w:lineRule="auto"/>
      </w:pPr>
      <w:r w:rsidRPr="00501AD5">
        <w:rPr>
          <w:rFonts w:eastAsia="Calibri" w:cs="Calibri"/>
          <w:color w:val="222222"/>
        </w:rPr>
        <w:t>OpenTelemetry traces, metrics, and logs flow into the Aspire dashboard. The demo-critical capability is following one order across every service as a single distributed trace — placement through reservation, payment, dispatch, and confirmation — including the retry and compensation paths when a failure is injected.</w:t>
      </w:r>
    </w:p>
    <w:p w14:paraId="56F15087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color w:val="222222"/>
        </w:rPr>
        <w:t>Every message and handler is on the same correlation id / trace.</w:t>
      </w:r>
    </w:p>
    <w:p w14:paraId="02AB1F1E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color w:val="222222"/>
        </w:rPr>
        <w:t>Dead-lettered messages are visible with their failure reason and attempt count.</w:t>
      </w:r>
    </w:p>
    <w:p w14:paraId="79D56DBA" w14:textId="77777777" w:rsidR="00501AD5" w:rsidRPr="00501AD5" w:rsidRDefault="00501AD5" w:rsidP="00501AD5">
      <w:pPr>
        <w:pStyle w:val="ListParagraph"/>
        <w:numPr>
          <w:ilvl w:val="0"/>
          <w:numId w:val="2"/>
        </w:numPr>
        <w:spacing w:after="70" w:line="264" w:lineRule="auto"/>
        <w:contextualSpacing w:val="0"/>
      </w:pPr>
      <w:r w:rsidRPr="00501AD5">
        <w:rPr>
          <w:rFonts w:eastAsia="Calibri" w:cs="Calibri"/>
          <w:color w:val="222222"/>
        </w:rPr>
        <w:t>Key business metrics (orders confirmed, failed, compensated) are emitted as counters.</w:t>
      </w:r>
    </w:p>
    <w:p w14:paraId="1BFB57A9" w14:textId="25FE09C8" w:rsidR="00C27F48" w:rsidRDefault="00C27F48" w:rsidP="00C27F48">
      <w:pPr>
        <w:pStyle w:val="Heading1"/>
      </w:pPr>
      <w:bookmarkStart w:id="18" w:name="_Toc234821160"/>
      <w:r>
        <w:lastRenderedPageBreak/>
        <w:t>Architecture Decision Records</w:t>
      </w:r>
      <w:bookmarkEnd w:id="18"/>
    </w:p>
    <w:p w14:paraId="649FBE6A" w14:textId="77777777" w:rsidR="00501AD5" w:rsidRPr="00501AD5" w:rsidRDefault="00501AD5" w:rsidP="00501AD5">
      <w:pPr>
        <w:spacing w:after="140" w:line="276" w:lineRule="auto"/>
      </w:pPr>
      <w:r w:rsidRPr="00501AD5">
        <w:rPr>
          <w:rFonts w:eastAsia="Calibri" w:cs="Calibri"/>
          <w:color w:val="222222"/>
        </w:rPr>
        <w:t xml:space="preserve">Each ADR is a short record of a decision, the alternatives considered, and why they were rejected. These are where "right-sizing is an architectural decision" stops being a slogan and becomes visible. </w:t>
      </w:r>
      <w:proofErr w:type="gramStart"/>
      <w:r w:rsidRPr="00501AD5">
        <w:rPr>
          <w:rFonts w:eastAsia="Calibri" w:cs="Calibri"/>
          <w:color w:val="222222"/>
        </w:rPr>
        <w:t>The full</w:t>
      </w:r>
      <w:proofErr w:type="gramEnd"/>
      <w:r w:rsidRPr="00501AD5">
        <w:rPr>
          <w:rFonts w:eastAsia="Calibri" w:cs="Calibri"/>
          <w:color w:val="222222"/>
        </w:rPr>
        <w:t xml:space="preserve"> ADRs live alongside the code; summaries follow.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1AD5" w14:paraId="514B00BF" w14:textId="77777777" w:rsidTr="00501AD5">
        <w:tc>
          <w:tcPr>
            <w:tcW w:w="3116" w:type="dxa"/>
          </w:tcPr>
          <w:p w14:paraId="27932394" w14:textId="724CF26A" w:rsidR="00501AD5" w:rsidRPr="00501AD5" w:rsidRDefault="00501AD5" w:rsidP="00501AD5">
            <w:pPr>
              <w:jc w:val="center"/>
              <w:rPr>
                <w:b/>
                <w:bCs/>
              </w:rPr>
            </w:pPr>
            <w:r w:rsidRPr="00501AD5">
              <w:rPr>
                <w:b/>
                <w:bCs/>
              </w:rPr>
              <w:t>ADR</w:t>
            </w:r>
          </w:p>
        </w:tc>
        <w:tc>
          <w:tcPr>
            <w:tcW w:w="3117" w:type="dxa"/>
          </w:tcPr>
          <w:p w14:paraId="52C8A521" w14:textId="52997852" w:rsidR="00501AD5" w:rsidRPr="00501AD5" w:rsidRDefault="00501AD5" w:rsidP="00501AD5">
            <w:pPr>
              <w:jc w:val="center"/>
              <w:rPr>
                <w:b/>
                <w:bCs/>
              </w:rPr>
            </w:pPr>
            <w:r w:rsidRPr="00501AD5">
              <w:rPr>
                <w:b/>
                <w:bCs/>
              </w:rPr>
              <w:t>Decision</w:t>
            </w:r>
          </w:p>
        </w:tc>
        <w:tc>
          <w:tcPr>
            <w:tcW w:w="3117" w:type="dxa"/>
          </w:tcPr>
          <w:p w14:paraId="7673BDF3" w14:textId="526579EB" w:rsidR="00501AD5" w:rsidRPr="00501AD5" w:rsidRDefault="00501AD5" w:rsidP="00501AD5">
            <w:pPr>
              <w:jc w:val="center"/>
              <w:rPr>
                <w:b/>
                <w:bCs/>
              </w:rPr>
            </w:pPr>
            <w:r w:rsidRPr="00501AD5">
              <w:rPr>
                <w:b/>
                <w:bCs/>
              </w:rPr>
              <w:t>Rejected Alternative</w:t>
            </w:r>
          </w:p>
        </w:tc>
      </w:tr>
      <w:tr w:rsidR="00501AD5" w14:paraId="728FB111" w14:textId="77777777" w:rsidTr="00501AD5">
        <w:tc>
          <w:tcPr>
            <w:tcW w:w="3116" w:type="dxa"/>
          </w:tcPr>
          <w:p w14:paraId="456887C3" w14:textId="183FCE25" w:rsidR="00501AD5" w:rsidRPr="00501AD5" w:rsidRDefault="00397E8B" w:rsidP="00501AD5">
            <w:hyperlink r:id="rId12" w:history="1"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ADR-001</w:t>
              </w:r>
            </w:hyperlink>
          </w:p>
        </w:tc>
        <w:tc>
          <w:tcPr>
            <w:tcW w:w="3117" w:type="dxa"/>
          </w:tcPr>
          <w:p w14:paraId="562D1EA7" w14:textId="103BFE36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Saga with compensation for the order workflow</w:t>
            </w:r>
          </w:p>
        </w:tc>
        <w:tc>
          <w:tcPr>
            <w:tcW w:w="3117" w:type="dxa"/>
          </w:tcPr>
          <w:p w14:paraId="1BFDCC34" w14:textId="68941D87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Two-phase commit / distributed transaction</w:t>
            </w:r>
          </w:p>
        </w:tc>
      </w:tr>
      <w:tr w:rsidR="00501AD5" w14:paraId="00127A24" w14:textId="77777777" w:rsidTr="00501AD5">
        <w:tc>
          <w:tcPr>
            <w:tcW w:w="3116" w:type="dxa"/>
          </w:tcPr>
          <w:p w14:paraId="0D88D2A3" w14:textId="521045F3" w:rsidR="00501AD5" w:rsidRPr="00501AD5" w:rsidRDefault="00397E8B" w:rsidP="00501AD5">
            <w:hyperlink r:id="rId13" w:history="1"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ADR-002</w:t>
              </w:r>
            </w:hyperlink>
          </w:p>
        </w:tc>
        <w:tc>
          <w:tcPr>
            <w:tcW w:w="3117" w:type="dxa"/>
          </w:tcPr>
          <w:p w14:paraId="55057BA0" w14:textId="7D455A90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Cosmos DB for the append-only order event log</w:t>
            </w:r>
          </w:p>
        </w:tc>
        <w:tc>
          <w:tcPr>
            <w:tcW w:w="3117" w:type="dxa"/>
          </w:tcPr>
          <w:p w14:paraId="4E647CBF" w14:textId="68B052BA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Single relational store for everything</w:t>
            </w:r>
          </w:p>
        </w:tc>
      </w:tr>
      <w:tr w:rsidR="00501AD5" w14:paraId="045C0EE8" w14:textId="77777777" w:rsidTr="00501AD5">
        <w:tc>
          <w:tcPr>
            <w:tcW w:w="3116" w:type="dxa"/>
          </w:tcPr>
          <w:p w14:paraId="5FE466E1" w14:textId="3DB4BA9B" w:rsidR="00501AD5" w:rsidRPr="00501AD5" w:rsidRDefault="00397E8B" w:rsidP="00501AD5">
            <w:hyperlink r:id="rId14" w:history="1"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ADR-003</w:t>
              </w:r>
            </w:hyperlink>
          </w:p>
        </w:tc>
        <w:tc>
          <w:tcPr>
            <w:tcW w:w="3117" w:type="dxa"/>
          </w:tcPr>
          <w:p w14:paraId="584BC198" w14:textId="13A28A70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Light CQRS (read model) for order status</w:t>
            </w:r>
          </w:p>
        </w:tc>
        <w:tc>
          <w:tcPr>
            <w:tcW w:w="3117" w:type="dxa"/>
          </w:tcPr>
          <w:p w14:paraId="6D4ED55C" w14:textId="5DA5A102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Full event sourcing of every aggregate</w:t>
            </w:r>
          </w:p>
        </w:tc>
      </w:tr>
      <w:tr w:rsidR="00501AD5" w14:paraId="578E84FF" w14:textId="77777777" w:rsidTr="00501AD5">
        <w:tc>
          <w:tcPr>
            <w:tcW w:w="3116" w:type="dxa"/>
          </w:tcPr>
          <w:p w14:paraId="5AB47DB9" w14:textId="30E6AFAD" w:rsidR="00501AD5" w:rsidRPr="00501AD5" w:rsidRDefault="00397E8B" w:rsidP="00501AD5">
            <w:hyperlink r:id="rId15" w:history="1"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ADR-004</w:t>
              </w:r>
            </w:hyperlink>
          </w:p>
        </w:tc>
        <w:tc>
          <w:tcPr>
            <w:tcW w:w="3117" w:type="dxa"/>
          </w:tcPr>
          <w:p w14:paraId="5947F8D3" w14:textId="546C75B2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No separate warehouse-management service</w:t>
            </w:r>
          </w:p>
        </w:tc>
        <w:tc>
          <w:tcPr>
            <w:tcW w:w="3117" w:type="dxa"/>
          </w:tcPr>
          <w:p w14:paraId="39218F98" w14:textId="5FEC0A20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Decomposing fulfillment into its own subsystem</w:t>
            </w:r>
          </w:p>
        </w:tc>
      </w:tr>
      <w:tr w:rsidR="00501AD5" w14:paraId="36641EC7" w14:textId="77777777" w:rsidTr="00501AD5">
        <w:tc>
          <w:tcPr>
            <w:tcW w:w="3116" w:type="dxa"/>
          </w:tcPr>
          <w:p w14:paraId="11910F1E" w14:textId="69E1AB2B" w:rsidR="00501AD5" w:rsidRPr="00501AD5" w:rsidRDefault="00397E8B" w:rsidP="00501AD5">
            <w:hyperlink r:id="rId16" w:history="1"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ADR-0</w:t>
              </w:r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0</w:t>
              </w:r>
              <w:r w:rsidR="00501AD5" w:rsidRPr="00397E8B">
                <w:rPr>
                  <w:rStyle w:val="Hyperlink"/>
                  <w:rFonts w:eastAsia="Calibri" w:cs="Calibri"/>
                  <w:sz w:val="19"/>
                  <w:szCs w:val="19"/>
                </w:rPr>
                <w:t>5</w:t>
              </w:r>
            </w:hyperlink>
          </w:p>
        </w:tc>
        <w:tc>
          <w:tcPr>
            <w:tcW w:w="3117" w:type="dxa"/>
          </w:tcPr>
          <w:p w14:paraId="04FDBBA2" w14:textId="19902856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Aspire-local emulation with real Azure SDKs</w:t>
            </w:r>
          </w:p>
        </w:tc>
        <w:tc>
          <w:tcPr>
            <w:tcW w:w="3117" w:type="dxa"/>
          </w:tcPr>
          <w:p w14:paraId="1513DF24" w14:textId="4A682037" w:rsidR="00501AD5" w:rsidRPr="00501AD5" w:rsidRDefault="00501AD5" w:rsidP="00501AD5">
            <w:r w:rsidRPr="00501AD5">
              <w:rPr>
                <w:rFonts w:eastAsia="Calibri" w:cs="Calibri"/>
                <w:color w:val="222222"/>
                <w:sz w:val="19"/>
                <w:szCs w:val="19"/>
              </w:rPr>
              <w:t>Provisioning live Azure for the demo</w:t>
            </w:r>
          </w:p>
        </w:tc>
      </w:tr>
    </w:tbl>
    <w:p w14:paraId="6C30BD9A" w14:textId="103C8BCA" w:rsidR="00C27F48" w:rsidRDefault="00C27F48" w:rsidP="00C27F48">
      <w:pPr>
        <w:pStyle w:val="Heading1"/>
      </w:pPr>
      <w:bookmarkStart w:id="19" w:name="_Toc234821161"/>
      <w:r>
        <w:t>Build Phases</w:t>
      </w:r>
      <w:bookmarkEnd w:id="19"/>
    </w:p>
    <w:p w14:paraId="3563DC31" w14:textId="0D785068" w:rsidR="00601131" w:rsidRDefault="00601131" w:rsidP="00601131">
      <w:r>
        <w:t xml:space="preserve">Rough sequencing.  Each phase should end with something </w:t>
      </w:r>
      <w:r w:rsidR="00336036">
        <w:t>demonstrable</w:t>
      </w:r>
      <w:r>
        <w:t>, in keeping with the “ship in slices” approach.</w:t>
      </w:r>
    </w:p>
    <w:p w14:paraId="4D9FEEB5" w14:textId="019C13AD" w:rsidR="00601131" w:rsidRDefault="00601131" w:rsidP="00601131">
      <w:pPr>
        <w:pStyle w:val="ListParagraph"/>
        <w:numPr>
          <w:ilvl w:val="0"/>
          <w:numId w:val="4"/>
        </w:numPr>
      </w:pPr>
      <w:r w:rsidRPr="00336036">
        <w:rPr>
          <w:b/>
          <w:bCs/>
        </w:rPr>
        <w:t>Skeleton</w:t>
      </w:r>
      <w:r>
        <w:t xml:space="preserve"> - Aspire </w:t>
      </w:r>
      <w:proofErr w:type="spellStart"/>
      <w:r>
        <w:t>AppHost</w:t>
      </w:r>
      <w:proofErr w:type="spellEnd"/>
      <w:r>
        <w:t xml:space="preserve">, service projects, </w:t>
      </w:r>
      <w:r w:rsidR="00336036">
        <w:t>contracts</w:t>
      </w:r>
      <w:r>
        <w:t xml:space="preserve"> library, dashboard wired up.  Happy path order placement end to end, no resilience yet</w:t>
      </w:r>
    </w:p>
    <w:p w14:paraId="2CC7D831" w14:textId="7AC4CDD4" w:rsidR="00601131" w:rsidRDefault="00336036" w:rsidP="00601131">
      <w:pPr>
        <w:pStyle w:val="ListParagraph"/>
        <w:numPr>
          <w:ilvl w:val="0"/>
          <w:numId w:val="4"/>
        </w:numPr>
      </w:pPr>
      <w:r w:rsidRPr="00336036">
        <w:rPr>
          <w:b/>
          <w:bCs/>
        </w:rPr>
        <w:t>Correctness</w:t>
      </w:r>
      <w:r w:rsidR="00601131">
        <w:t xml:space="preserve"> – Idempotency, concurrency-correct inventory, saga compensation on the payment-decline path</w:t>
      </w:r>
    </w:p>
    <w:p w14:paraId="4D040FEC" w14:textId="469DB600" w:rsidR="00601131" w:rsidRDefault="00601131" w:rsidP="00601131">
      <w:pPr>
        <w:pStyle w:val="ListParagraph"/>
        <w:numPr>
          <w:ilvl w:val="0"/>
          <w:numId w:val="4"/>
        </w:numPr>
      </w:pPr>
      <w:r w:rsidRPr="00336036">
        <w:rPr>
          <w:b/>
          <w:bCs/>
        </w:rPr>
        <w:t>Resilience</w:t>
      </w:r>
      <w:r>
        <w:t xml:space="preserve"> – Polly policies, </w:t>
      </w:r>
      <w:r w:rsidR="00336036">
        <w:t>dead-lettering</w:t>
      </w:r>
      <w:r>
        <w:t xml:space="preserve">, the full </w:t>
      </w:r>
      <w:r w:rsidR="00336036">
        <w:t>failure</w:t>
      </w:r>
      <w:r>
        <w:t xml:space="preserve"> matrix from Failure Handling &amp; Resilience</w:t>
      </w:r>
    </w:p>
    <w:p w14:paraId="4D52BD89" w14:textId="0DF4076C" w:rsidR="00336036" w:rsidRDefault="00336036" w:rsidP="00601131">
      <w:pPr>
        <w:pStyle w:val="ListParagraph"/>
        <w:numPr>
          <w:ilvl w:val="0"/>
          <w:numId w:val="4"/>
        </w:numPr>
      </w:pPr>
      <w:r w:rsidRPr="00336036">
        <w:rPr>
          <w:b/>
          <w:bCs/>
        </w:rPr>
        <w:t>Observability &amp; UI</w:t>
      </w:r>
      <w:r>
        <w:t xml:space="preserve"> – Traces polished for demo, </w:t>
      </w:r>
      <w:proofErr w:type="gramStart"/>
      <w:r>
        <w:t>ops</w:t>
      </w:r>
      <w:proofErr w:type="gramEnd"/>
      <w:r>
        <w:t xml:space="preserve"> view, stuck order visibility</w:t>
      </w:r>
    </w:p>
    <w:p w14:paraId="16E23AAD" w14:textId="104B955C" w:rsidR="00336036" w:rsidRPr="00601131" w:rsidRDefault="00336036" w:rsidP="00601131">
      <w:pPr>
        <w:pStyle w:val="ListParagraph"/>
        <w:numPr>
          <w:ilvl w:val="0"/>
          <w:numId w:val="4"/>
        </w:numPr>
      </w:pPr>
      <w:r w:rsidRPr="00336036">
        <w:rPr>
          <w:b/>
          <w:bCs/>
        </w:rPr>
        <w:t>Documentation</w:t>
      </w:r>
      <w:r>
        <w:t xml:space="preserve"> – ADRs finalized, Readme.md and the case study post drafted from this document.</w:t>
      </w:r>
    </w:p>
    <w:p w14:paraId="01A26605" w14:textId="187652F2" w:rsidR="00C27F48" w:rsidRDefault="00C27F48" w:rsidP="00C27F48">
      <w:pPr>
        <w:pStyle w:val="Heading1"/>
      </w:pPr>
      <w:bookmarkStart w:id="20" w:name="_Toc234821162"/>
      <w:r>
        <w:t>Open Questions</w:t>
      </w:r>
      <w:bookmarkEnd w:id="20"/>
    </w:p>
    <w:p w14:paraId="256C4F5E" w14:textId="6111FB7B" w:rsidR="00D416D5" w:rsidRDefault="00D416D5" w:rsidP="00D416D5">
      <w:pPr>
        <w:pStyle w:val="ListParagraph"/>
        <w:numPr>
          <w:ilvl w:val="0"/>
          <w:numId w:val="5"/>
        </w:numPr>
      </w:pPr>
      <w:r>
        <w:t>Confirm the canonical name – Order Flow is a placeholder</w:t>
      </w:r>
    </w:p>
    <w:p w14:paraId="61F5F383" w14:textId="085AEFEC" w:rsidR="00D416D5" w:rsidRDefault="00D416D5" w:rsidP="00D416D5">
      <w:pPr>
        <w:pStyle w:val="ListParagraph"/>
        <w:numPr>
          <w:ilvl w:val="0"/>
          <w:numId w:val="5"/>
        </w:numPr>
      </w:pPr>
      <w:r>
        <w:t xml:space="preserve">Is Notification worth a full service, or does it collapse into Order? </w:t>
      </w:r>
    </w:p>
    <w:p w14:paraId="2356A15B" w14:textId="1613CD5E" w:rsidR="00D416D5" w:rsidRDefault="00D416D5" w:rsidP="00D416D5">
      <w:pPr>
        <w:pStyle w:val="ListParagraph"/>
        <w:numPr>
          <w:ilvl w:val="0"/>
          <w:numId w:val="5"/>
        </w:numPr>
      </w:pPr>
      <w:r>
        <w:t>How much of the auth stub is worth building vs deferring entirely to the auth-modernization demo?</w:t>
      </w:r>
    </w:p>
    <w:p w14:paraId="148BE891" w14:textId="003323AD" w:rsidR="00C27F48" w:rsidRPr="00C27F48" w:rsidRDefault="00D416D5" w:rsidP="00C27F48">
      <w:pPr>
        <w:pStyle w:val="ListParagraph"/>
        <w:numPr>
          <w:ilvl w:val="0"/>
          <w:numId w:val="5"/>
        </w:numPr>
      </w:pPr>
      <w:r>
        <w:t>Do we want a scripted “chaos” toggle in the UI to trigger failures live, or drive failures from a test harness?</w:t>
      </w:r>
    </w:p>
    <w:sectPr w:rsidR="00C27F48" w:rsidRPr="00C27F48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5637" w14:textId="77777777" w:rsidR="00D90739" w:rsidRDefault="00D90739" w:rsidP="00C27F48">
      <w:pPr>
        <w:spacing w:after="0" w:line="240" w:lineRule="auto"/>
      </w:pPr>
      <w:r>
        <w:separator/>
      </w:r>
    </w:p>
  </w:endnote>
  <w:endnote w:type="continuationSeparator" w:id="0">
    <w:p w14:paraId="70EA78AB" w14:textId="77777777" w:rsidR="00D90739" w:rsidRDefault="00D90739" w:rsidP="00C27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651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3EE6F" w14:textId="7CBEB3E0" w:rsidR="00C27F48" w:rsidRDefault="00C27F48" w:rsidP="00C27F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CC4EE7" w14:textId="77777777" w:rsidR="00C27F48" w:rsidRDefault="00C27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374B" w14:textId="77777777" w:rsidR="00D90739" w:rsidRDefault="00D90739" w:rsidP="00C27F48">
      <w:pPr>
        <w:spacing w:after="0" w:line="240" w:lineRule="auto"/>
      </w:pPr>
      <w:r>
        <w:separator/>
      </w:r>
    </w:p>
  </w:footnote>
  <w:footnote w:type="continuationSeparator" w:id="0">
    <w:p w14:paraId="2F2C71C1" w14:textId="77777777" w:rsidR="00D90739" w:rsidRDefault="00D90739" w:rsidP="00C27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A9A7" w14:textId="5D326657" w:rsidR="00C27F48" w:rsidRDefault="00C27F4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18CED2C" wp14:editId="46739B7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D07A481" w14:textId="2F024B8B" w:rsidR="00C27F48" w:rsidRDefault="00DA102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Order Flow</w:t>
                              </w:r>
                              <w:r w:rsidR="00C27F48"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High-Level</w:t>
                              </w:r>
                              <w:r w:rsidR="00C27F48">
                                <w:rPr>
                                  <w:caps/>
                                  <w:color w:val="FFFFFF" w:themeColor="background1"/>
                                </w:rPr>
                                <w:t xml:space="preserve"> Design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18CED2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e67c8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D07A481" w14:textId="2F024B8B" w:rsidR="00C27F48" w:rsidRDefault="00DA102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Order Flow</w:t>
                        </w:r>
                        <w:r w:rsidR="00C27F48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High-Level</w:t>
                        </w:r>
                        <w:r w:rsidR="00C27F48">
                          <w:rPr>
                            <w:caps/>
                            <w:color w:val="FFFFFF" w:themeColor="background1"/>
                          </w:rPr>
                          <w:t xml:space="preserve"> Design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2C9C"/>
    <w:multiLevelType w:val="hybridMultilevel"/>
    <w:tmpl w:val="B0A88E80"/>
    <w:lvl w:ilvl="0" w:tplc="1E40EB3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46C7A"/>
    <w:multiLevelType w:val="hybridMultilevel"/>
    <w:tmpl w:val="4F4A4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4650D"/>
    <w:multiLevelType w:val="hybridMultilevel"/>
    <w:tmpl w:val="6258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7643D"/>
    <w:multiLevelType w:val="hybridMultilevel"/>
    <w:tmpl w:val="7C7E499C"/>
    <w:lvl w:ilvl="0" w:tplc="6676195A">
      <w:start w:val="1"/>
      <w:numFmt w:val="bullet"/>
      <w:lvlText w:val="•"/>
      <w:lvlJc w:val="left"/>
      <w:pPr>
        <w:ind w:left="460" w:hanging="260"/>
      </w:pPr>
      <w:rPr>
        <w:color w:val="C2410C"/>
      </w:rPr>
    </w:lvl>
    <w:lvl w:ilvl="1" w:tplc="ECEE2986">
      <w:start w:val="1"/>
      <w:numFmt w:val="bullet"/>
      <w:lvlText w:val="–"/>
      <w:lvlJc w:val="left"/>
      <w:pPr>
        <w:ind w:left="920" w:hanging="260"/>
      </w:pPr>
    </w:lvl>
    <w:lvl w:ilvl="2" w:tplc="6C16F77E">
      <w:numFmt w:val="decimal"/>
      <w:lvlText w:val=""/>
      <w:lvlJc w:val="left"/>
    </w:lvl>
    <w:lvl w:ilvl="3" w:tplc="61DA4EEE">
      <w:numFmt w:val="decimal"/>
      <w:lvlText w:val=""/>
      <w:lvlJc w:val="left"/>
    </w:lvl>
    <w:lvl w:ilvl="4" w:tplc="4FCA52E2">
      <w:numFmt w:val="decimal"/>
      <w:lvlText w:val=""/>
      <w:lvlJc w:val="left"/>
    </w:lvl>
    <w:lvl w:ilvl="5" w:tplc="258E42BC">
      <w:numFmt w:val="decimal"/>
      <w:lvlText w:val=""/>
      <w:lvlJc w:val="left"/>
    </w:lvl>
    <w:lvl w:ilvl="6" w:tplc="75DCFE38">
      <w:numFmt w:val="decimal"/>
      <w:lvlText w:val=""/>
      <w:lvlJc w:val="left"/>
    </w:lvl>
    <w:lvl w:ilvl="7" w:tplc="61E64D52">
      <w:numFmt w:val="decimal"/>
      <w:lvlText w:val=""/>
      <w:lvlJc w:val="left"/>
    </w:lvl>
    <w:lvl w:ilvl="8" w:tplc="DAD0F88C">
      <w:numFmt w:val="decimal"/>
      <w:lvlText w:val=""/>
      <w:lvlJc w:val="left"/>
    </w:lvl>
  </w:abstractNum>
  <w:abstractNum w:abstractNumId="4" w15:restartNumberingAfterBreak="0">
    <w:nsid w:val="7CAA4999"/>
    <w:multiLevelType w:val="hybridMultilevel"/>
    <w:tmpl w:val="56CAE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670858">
    <w:abstractNumId w:val="0"/>
  </w:num>
  <w:num w:numId="2" w16cid:durableId="135686224">
    <w:abstractNumId w:val="3"/>
    <w:lvlOverride w:ilvl="0">
      <w:startOverride w:val="1"/>
    </w:lvlOverride>
  </w:num>
  <w:num w:numId="3" w16cid:durableId="1588805273">
    <w:abstractNumId w:val="1"/>
  </w:num>
  <w:num w:numId="4" w16cid:durableId="1264613558">
    <w:abstractNumId w:val="4"/>
  </w:num>
  <w:num w:numId="5" w16cid:durableId="1659771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48"/>
    <w:rsid w:val="0032398C"/>
    <w:rsid w:val="00336036"/>
    <w:rsid w:val="00355E1A"/>
    <w:rsid w:val="00397E8B"/>
    <w:rsid w:val="00466B57"/>
    <w:rsid w:val="00501AD5"/>
    <w:rsid w:val="005A7E92"/>
    <w:rsid w:val="00601131"/>
    <w:rsid w:val="006B4D37"/>
    <w:rsid w:val="006C673F"/>
    <w:rsid w:val="008918C1"/>
    <w:rsid w:val="00900966"/>
    <w:rsid w:val="009E3DAE"/>
    <w:rsid w:val="009F04CE"/>
    <w:rsid w:val="00B045DC"/>
    <w:rsid w:val="00C13561"/>
    <w:rsid w:val="00C27F48"/>
    <w:rsid w:val="00C308E2"/>
    <w:rsid w:val="00C44BB4"/>
    <w:rsid w:val="00D416D5"/>
    <w:rsid w:val="00D90739"/>
    <w:rsid w:val="00DA1023"/>
    <w:rsid w:val="00DB72DE"/>
    <w:rsid w:val="00DF12AB"/>
    <w:rsid w:val="00E10FF6"/>
    <w:rsid w:val="00EC3B90"/>
    <w:rsid w:val="00EF5184"/>
    <w:rsid w:val="00F05855"/>
    <w:rsid w:val="00F97409"/>
    <w:rsid w:val="00FB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5CDB9"/>
  <w15:chartTrackingRefBased/>
  <w15:docId w15:val="{2A9CD6FE-168D-4CA6-9EC0-46A1AE6F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F48"/>
  </w:style>
  <w:style w:type="paragraph" w:styleId="Heading1">
    <w:name w:val="heading 1"/>
    <w:basedOn w:val="Normal"/>
    <w:next w:val="Normal"/>
    <w:link w:val="Heading1Char"/>
    <w:uiPriority w:val="9"/>
    <w:qFormat/>
    <w:rsid w:val="00C27F4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C2260C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F4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C2260C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4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2260C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4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14124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14124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14124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14124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14124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14124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48"/>
    <w:rPr>
      <w:rFonts w:asciiTheme="majorHAnsi" w:eastAsiaTheme="majorEastAsia" w:hAnsiTheme="majorHAnsi" w:cstheme="majorBidi"/>
      <w:color w:val="C2260C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F48"/>
    <w:rPr>
      <w:rFonts w:asciiTheme="majorHAnsi" w:eastAsiaTheme="majorEastAsia" w:hAnsiTheme="majorHAnsi" w:cstheme="majorBidi"/>
      <w:color w:val="C2260C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48"/>
    <w:rPr>
      <w:rFonts w:asciiTheme="majorHAnsi" w:eastAsiaTheme="majorEastAsia" w:hAnsiTheme="majorHAnsi" w:cstheme="majorBidi"/>
      <w:color w:val="C2260C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48"/>
    <w:rPr>
      <w:rFonts w:asciiTheme="majorHAnsi" w:eastAsiaTheme="majorEastAsia" w:hAnsiTheme="majorHAnsi" w:cstheme="majorBidi"/>
      <w:color w:val="F14124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48"/>
    <w:rPr>
      <w:rFonts w:asciiTheme="majorHAnsi" w:eastAsiaTheme="majorEastAsia" w:hAnsiTheme="majorHAnsi" w:cstheme="majorBidi"/>
      <w:i/>
      <w:iCs/>
      <w:color w:val="F14124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48"/>
    <w:rPr>
      <w:rFonts w:asciiTheme="majorHAnsi" w:eastAsiaTheme="majorEastAsia" w:hAnsiTheme="majorHAnsi" w:cstheme="majorBidi"/>
      <w:color w:val="F14124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48"/>
    <w:rPr>
      <w:rFonts w:asciiTheme="majorHAnsi" w:eastAsiaTheme="majorEastAsia" w:hAnsiTheme="majorHAnsi" w:cstheme="majorBidi"/>
      <w:b/>
      <w:bCs/>
      <w:color w:val="F14124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48"/>
    <w:rPr>
      <w:rFonts w:asciiTheme="majorHAnsi" w:eastAsiaTheme="majorEastAsia" w:hAnsiTheme="majorHAnsi" w:cstheme="majorBidi"/>
      <w:b/>
      <w:bCs/>
      <w:i/>
      <w:iCs/>
      <w:color w:val="F14124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48"/>
    <w:rPr>
      <w:rFonts w:asciiTheme="majorHAnsi" w:eastAsiaTheme="majorEastAsia" w:hAnsiTheme="majorHAnsi" w:cstheme="majorBidi"/>
      <w:i/>
      <w:iCs/>
      <w:color w:val="F14124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7F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7F4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4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27F48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27F4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27F48"/>
    <w:rPr>
      <w:i/>
      <w:iCs/>
      <w:color w:val="262626" w:themeColor="text1" w:themeTint="D9"/>
    </w:rPr>
  </w:style>
  <w:style w:type="paragraph" w:styleId="ListParagraph">
    <w:name w:val="List Paragraph"/>
    <w:basedOn w:val="Normal"/>
    <w:qFormat/>
    <w:rsid w:val="00C2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4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4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14124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48"/>
    <w:rPr>
      <w:rFonts w:asciiTheme="majorHAnsi" w:eastAsiaTheme="majorEastAsia" w:hAnsiTheme="majorHAnsi" w:cstheme="majorBidi"/>
      <w:i/>
      <w:iCs/>
      <w:color w:val="F14124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27F48"/>
    <w:rPr>
      <w:b/>
      <w:bCs/>
      <w:smallCaps/>
      <w:color w:val="F14124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F48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27F48"/>
    <w:rPr>
      <w:b/>
      <w:bCs/>
    </w:rPr>
  </w:style>
  <w:style w:type="character" w:styleId="Emphasis">
    <w:name w:val="Emphasis"/>
    <w:basedOn w:val="DefaultParagraphFont"/>
    <w:uiPriority w:val="20"/>
    <w:qFormat/>
    <w:rsid w:val="00C27F48"/>
    <w:rPr>
      <w:i/>
      <w:iCs/>
      <w:color w:val="F14124" w:themeColor="accent6"/>
    </w:rPr>
  </w:style>
  <w:style w:type="paragraph" w:styleId="NoSpacing">
    <w:name w:val="No Spacing"/>
    <w:uiPriority w:val="1"/>
    <w:qFormat/>
    <w:rsid w:val="00C27F4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7F4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27F48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27F4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27F4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27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F48"/>
  </w:style>
  <w:style w:type="paragraph" w:styleId="Footer">
    <w:name w:val="footer"/>
    <w:basedOn w:val="Normal"/>
    <w:link w:val="FooterChar"/>
    <w:uiPriority w:val="99"/>
    <w:unhideWhenUsed/>
    <w:rsid w:val="00C27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F48"/>
  </w:style>
  <w:style w:type="paragraph" w:styleId="TOC1">
    <w:name w:val="toc 1"/>
    <w:basedOn w:val="Normal"/>
    <w:next w:val="Normal"/>
    <w:autoRedefine/>
    <w:uiPriority w:val="39"/>
    <w:unhideWhenUsed/>
    <w:rsid w:val="00C27F4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27F48"/>
    <w:rPr>
      <w:color w:val="56C7AA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27F48"/>
    <w:pPr>
      <w:spacing w:after="100"/>
      <w:ind w:left="210"/>
    </w:pPr>
  </w:style>
  <w:style w:type="table" w:styleId="TableGrid">
    <w:name w:val="Table Grid"/>
    <w:basedOn w:val="TableNormal"/>
    <w:uiPriority w:val="39"/>
    <w:rsid w:val="00DB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416D5"/>
    <w:pPr>
      <w:spacing w:after="100"/>
      <w:ind w:left="420"/>
    </w:pPr>
  </w:style>
  <w:style w:type="paragraph" w:styleId="NormalWeb">
    <w:name w:val="Normal (Web)"/>
    <w:basedOn w:val="Normal"/>
    <w:uiPriority w:val="99"/>
    <w:semiHidden/>
    <w:unhideWhenUsed/>
    <w:rsid w:val="00E10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97E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356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rchitect4Hire/OrderFlow2026/blob/main/docs/architecture%20decision%20records/2.md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chitect4Hire/OrderFlow2026/blob/main/docs/architecture%20decision%20records/1.md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rchitect4Hire/OrderFlow2026/blob/main/docs/architecture%20decision%20records/5.m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rchitect4Hire/OrderFlow2026/blob/main/docs/architecture%20decision%20records/4.md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rchitect4Hire/OrderFlow2026/blob/main/docs/architecture%20decision%20records/3.md" TargetMode="Externa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53472-21D3-4B74-8DCD-B1B919F09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10</Pages>
  <Words>2008</Words>
  <Characters>11371</Characters>
  <Application>Microsoft Office Word</Application>
  <DocSecurity>0</DocSecurity>
  <Lines>258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 Flow High-Level Design</vt:lpstr>
    </vt:vector>
  </TitlesOfParts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Flow High-Level Design</dc:title>
  <dc:subject/>
  <dc:creator>Robert Felkins</dc:creator>
  <cp:keywords/>
  <dc:description/>
  <cp:lastModifiedBy>Robert Felkins</cp:lastModifiedBy>
  <cp:revision>17</cp:revision>
  <dcterms:created xsi:type="dcterms:W3CDTF">2026-07-13T11:24:00Z</dcterms:created>
  <dcterms:modified xsi:type="dcterms:W3CDTF">2026-07-13T14:53:00Z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703449e1-1eec-482c-a3a6-4f9564b94a77</vt:lpwstr>
  </property>
</Properties>
</file>