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120" w:before="400" w:lineRule="auto"/>
        <w:jc w:val="both"/>
        <w:rPr/>
      </w:pPr>
      <w:bookmarkStart w:colFirst="0" w:colLast="0" w:name="_dguht61a2ztt" w:id="0"/>
      <w:bookmarkEnd w:id="0"/>
      <w:r w:rsidDel="00000000" w:rsidR="00000000" w:rsidRPr="00000000">
        <w:rPr>
          <w:rtl w:val="0"/>
        </w:rPr>
        <w:t xml:space="preserve">Synthetic Emotional Affect: Visual Language Models as Emotional Evaluators for Physical Environments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00" w:lineRule="auto"/>
        <w:jc w:val="both"/>
        <w:rPr/>
      </w:pPr>
      <w:bookmarkStart w:colFirst="0" w:colLast="0" w:name="_cu5potnjm1k3" w:id="1"/>
      <w:bookmarkEnd w:id="1"/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First VR-based evaluation of VLMs as proxies for spatial emotional experience.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VLMs achieve high agreement with human emotional evaluation.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Human and VLM affective spaces show substantial representational similarity.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Calibration errors mainly reflect compression of negative affect intensity.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VLMs enable scalable affective assessment for architecture and urban design.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pgSz w:h="15840" w:w="12240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