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jc w:val="both"/>
        <w:rPr/>
      </w:pPr>
      <w:bookmarkStart w:colFirst="0" w:colLast="0" w:name="_dguht61a2ztt" w:id="0"/>
      <w:bookmarkEnd w:id="0"/>
      <w:r w:rsidDel="00000000" w:rsidR="00000000" w:rsidRPr="00000000">
        <w:rPr>
          <w:rtl w:val="0"/>
        </w:rPr>
        <w:t xml:space="preserve">Supplementary Table S1. Characteristics of the VR environments used in the study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5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4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1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422400"/>
                  <wp:effectExtent b="0" l="0" r="0" t="0"/>
                  <wp:docPr id="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S1.</w:t>
            </w:r>
            <w:r w:rsidDel="00000000" w:rsidR="00000000" w:rsidRPr="00000000">
              <w:rPr>
                <w:rtl w:val="0"/>
              </w:rPr>
              <w:t xml:space="preserve"> (A-J) The ten panoramic environments used in the VR experiment.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image" Target="media/image9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7.jpg"/><Relationship Id="rId14" Type="http://schemas.openxmlformats.org/officeDocument/2006/relationships/image" Target="media/image8.jp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18" Type="http://schemas.openxmlformats.org/officeDocument/2006/relationships/header" Target="header1.xml"/><Relationship Id="rId7" Type="http://schemas.openxmlformats.org/officeDocument/2006/relationships/image" Target="media/image1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