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CE1" w:rsidRDefault="00E53CE1" w:rsidP="00E53CE1">
      <w:pPr>
        <w:pStyle w:val="berschrift1"/>
        <w:rPr>
          <w:lang w:val="de-CH"/>
        </w:rPr>
      </w:pPr>
      <w:r w:rsidRPr="00E53CE1">
        <w:rPr>
          <w:lang w:val="de-CH"/>
        </w:rPr>
        <w:t>Use Cases</w:t>
      </w:r>
    </w:p>
    <w:p w:rsidR="00E53CE1" w:rsidRDefault="00E53CE1" w:rsidP="00E53CE1">
      <w:pPr>
        <w:rPr>
          <w:lang w:val="de-CH"/>
        </w:rPr>
      </w:pPr>
    </w:p>
    <w:p w:rsidR="00E53CE1" w:rsidRDefault="00E53CE1" w:rsidP="00E53CE1">
      <w:pPr>
        <w:pStyle w:val="berschrift2"/>
        <w:rPr>
          <w:lang w:val="de-CH"/>
        </w:rPr>
      </w:pPr>
      <w:r>
        <w:rPr>
          <w:lang w:val="de-CH"/>
        </w:rPr>
        <w:t>Anwendungsfall 1: FC/FB/XFB Mergen</w:t>
      </w:r>
    </w:p>
    <w:p w:rsidR="00E53CE1" w:rsidRDefault="00E53CE1" w:rsidP="00E53CE1">
      <w:pPr>
        <w:rPr>
          <w:lang w:val="de-CH"/>
        </w:rPr>
      </w:pPr>
      <w:r>
        <w:rPr>
          <w:lang w:val="de-CH"/>
        </w:rPr>
        <w:t>Der User hat die Applikation Midas gestartet und befindet sich nun im Reiter „FC/FB/XFB“. Der User kann dort zwischen zwei Funktionen wählen. Zudem kann er noch Optional vier weitere Funktionen hinzu schalten.</w:t>
      </w:r>
    </w:p>
    <w:p w:rsidR="00E53CE1" w:rsidRPr="00E53CE1" w:rsidRDefault="00E53CE1" w:rsidP="00E53CE1">
      <w:pPr>
        <w:rPr>
          <w:lang w:val="de-CH"/>
        </w:rPr>
      </w:pPr>
      <w:r>
        <w:rPr>
          <w:lang w:val="de-CH"/>
        </w:rPr>
        <w:t>Als Resultat wird im Code Ordner die Neuen gemergeten Dateien erwartet, welche die neuen Header informationen beinhalten.</w:t>
      </w:r>
    </w:p>
    <w:p w:rsidR="00E53CE1" w:rsidRDefault="00E53CE1" w:rsidP="00E53CE1">
      <w:pPr>
        <w:rPr>
          <w:b/>
        </w:rPr>
      </w:pPr>
      <w:r w:rsidRPr="00C85BE5">
        <w:rPr>
          <w:b/>
        </w:rPr>
        <w:t xml:space="preserve">Use Case Diagramm: </w:t>
      </w:r>
    </w:p>
    <w:p w:rsidR="00E53CE1" w:rsidRDefault="007F6CC8" w:rsidP="00E62EE5">
      <w:pPr>
        <w:jc w:val="center"/>
        <w:rPr>
          <w:lang w:val="de-CH"/>
        </w:rPr>
      </w:pPr>
      <w:r>
        <w:rPr>
          <w:noProof/>
        </w:rPr>
        <w:drawing>
          <wp:inline distT="0" distB="0" distL="0" distR="0">
            <wp:extent cx="5503545" cy="4873625"/>
            <wp:effectExtent l="19050" t="0" r="1905" b="0"/>
            <wp:docPr id="3" name="Bild 3" descr="\\ch021012\sim_Mod\IPA Max von Gellhorn\IPA - Midas DryRun\04_Technische Dokumentation\Use Case-Diagramm\Use Case X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h021012\sim_Mod\IPA Max von Gellhorn\IPA - Midas DryRun\04_Technische Dokumentation\Use Case-Diagramm\Use Case XF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EE5" w:rsidRDefault="00E62EE5">
      <w:pPr>
        <w:rPr>
          <w:lang w:val="de-CH"/>
        </w:rPr>
      </w:pPr>
      <w:r>
        <w:rPr>
          <w:lang w:val="de-CH"/>
        </w:rPr>
        <w:br w:type="page"/>
      </w:r>
    </w:p>
    <w:p w:rsidR="00E62EE5" w:rsidRDefault="00E62EE5" w:rsidP="00E62EE5">
      <w:pPr>
        <w:jc w:val="center"/>
        <w:rPr>
          <w:lang w:val="de-CH"/>
        </w:rPr>
      </w:pPr>
    </w:p>
    <w:p w:rsidR="00E62EE5" w:rsidRDefault="00E62EE5" w:rsidP="00E62EE5">
      <w:pPr>
        <w:rPr>
          <w:b/>
        </w:rPr>
      </w:pPr>
      <w:r>
        <w:rPr>
          <w:b/>
        </w:rPr>
        <w:t xml:space="preserve">UseCase 1: Aufruf </w:t>
      </w:r>
      <w:r w:rsidR="00DD41CD" w:rsidRPr="00DD41CD">
        <w:rPr>
          <w:b/>
        </w:rPr>
        <w:t>Log nicht übernehmen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89"/>
        <w:gridCol w:w="6064"/>
      </w:tblGrid>
      <w:tr w:rsidR="00E62EE5" w:rsidRPr="00BE532E" w:rsidTr="00E62EE5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Hauptakteur:</w:t>
            </w:r>
          </w:p>
        </w:tc>
        <w:tc>
          <w:tcPr>
            <w:tcW w:w="6064" w:type="dxa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E62EE5" w:rsidRPr="00BE532E" w:rsidTr="00E62EE5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389" w:type="dxa"/>
            <w:shd w:val="clear" w:color="auto" w:fill="D9D9D9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Zweck, Beschreibung:</w:t>
            </w:r>
          </w:p>
        </w:tc>
        <w:tc>
          <w:tcPr>
            <w:tcW w:w="6064" w:type="dxa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Log nicht übernehmen</w:t>
            </w:r>
          </w:p>
        </w:tc>
      </w:tr>
      <w:tr w:rsidR="00E62EE5" w:rsidRPr="00BE532E" w:rsidTr="00E62EE5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2389" w:type="dxa"/>
            <w:tcBorders>
              <w:bottom w:val="single" w:sz="4" w:space="0" w:color="auto"/>
            </w:tcBorders>
            <w:shd w:val="clear" w:color="auto" w:fill="D9D9D9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Niveau</w:t>
            </w:r>
          </w:p>
        </w:tc>
        <w:tc>
          <w:tcPr>
            <w:tcW w:w="6064" w:type="dxa"/>
            <w:tcBorders>
              <w:bottom w:val="single" w:sz="4" w:space="0" w:color="auto"/>
            </w:tcBorders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Benutzerziel</w:t>
            </w:r>
          </w:p>
        </w:tc>
      </w:tr>
      <w:tr w:rsidR="00E62EE5" w:rsidRPr="00BE532E" w:rsidTr="00E62EE5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Beteiligte und Interessen:</w:t>
            </w:r>
          </w:p>
        </w:tc>
        <w:tc>
          <w:tcPr>
            <w:tcW w:w="6064" w:type="dxa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User: Will Code Dateien mit den Aktuellen Header Dateien erzeugen.</w:t>
            </w:r>
          </w:p>
        </w:tc>
      </w:tr>
      <w:tr w:rsidR="00E62EE5" w:rsidRPr="00BE532E" w:rsidTr="00E62EE5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Voraussetzungen:</w:t>
            </w:r>
          </w:p>
        </w:tc>
        <w:tc>
          <w:tcPr>
            <w:tcW w:w="6064" w:type="dxa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Der User hat das Midas Tool gestartet und befindet sich im Reiter “FC/FB”XFB”. </w:t>
            </w:r>
            <w:r w:rsidR="00543F91" w:rsidRPr="001E3DFE">
              <w:rPr>
                <w:rFonts w:ascii="Arial" w:hAnsi="Arial" w:cs="Arial"/>
                <w:sz w:val="20"/>
                <w:szCs w:val="20"/>
              </w:rPr>
              <w:t>Der Radio Button “Log nicht übernehmen” ist aktiviert.</w:t>
            </w:r>
          </w:p>
        </w:tc>
      </w:tr>
      <w:tr w:rsidR="00E62EE5" w:rsidRPr="00BE532E" w:rsidTr="00E62EE5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Ablauf:</w:t>
            </w:r>
          </w:p>
        </w:tc>
        <w:tc>
          <w:tcPr>
            <w:tcW w:w="6064" w:type="dxa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Der User wählt den Code Ordner im “Code-Verzeichnis” aus und den Header Ordner im “Header-Verzeichnis” aus. Und drückt danach auf “Start”</w:t>
            </w:r>
          </w:p>
        </w:tc>
      </w:tr>
      <w:tr w:rsidR="00E62EE5" w:rsidRPr="00BE532E" w:rsidTr="00E62EE5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62EE5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Haupt-Ablauf</w:t>
            </w:r>
            <w:r w:rsidR="00E62EE5" w:rsidRPr="001E3DF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064" w:type="dxa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Im Code Ordner sind </w:t>
            </w:r>
            <w:proofErr w:type="gramStart"/>
            <w:r w:rsidRPr="001E3DFE">
              <w:rPr>
                <w:rFonts w:ascii="Arial" w:hAnsi="Arial" w:cs="Arial"/>
                <w:sz w:val="20"/>
                <w:szCs w:val="20"/>
              </w:rPr>
              <w:t>die</w:t>
            </w:r>
            <w:proofErr w:type="gramEnd"/>
            <w:r w:rsidRPr="001E3DFE">
              <w:rPr>
                <w:rFonts w:ascii="Arial" w:hAnsi="Arial" w:cs="Arial"/>
                <w:sz w:val="20"/>
                <w:szCs w:val="20"/>
              </w:rPr>
              <w:t xml:space="preserve"> neu erstellten Code Dateien</w:t>
            </w:r>
            <w:r w:rsidR="00543F91" w:rsidRPr="001E3DFE">
              <w:rPr>
                <w:rFonts w:ascii="Arial" w:hAnsi="Arial" w:cs="Arial"/>
                <w:sz w:val="20"/>
                <w:szCs w:val="20"/>
              </w:rPr>
              <w:t xml:space="preserve"> mit der inkrementierten Versionsnummer</w:t>
            </w:r>
            <w:r w:rsidRPr="001E3DFE">
              <w:rPr>
                <w:rFonts w:ascii="Arial" w:hAnsi="Arial" w:cs="Arial"/>
                <w:sz w:val="20"/>
                <w:szCs w:val="20"/>
              </w:rPr>
              <w:t>. Im Code Ordner wurde ein Ordner “Original” erzeugt, welcher die Originalen Code Dateien beinhaltet.</w:t>
            </w:r>
            <w:r w:rsidR="00543F91" w:rsidRPr="001E3DFE">
              <w:rPr>
                <w:rFonts w:ascii="Arial" w:hAnsi="Arial" w:cs="Arial"/>
                <w:sz w:val="20"/>
                <w:szCs w:val="20"/>
              </w:rPr>
              <w:t xml:space="preserve"> Die Header Versions Hystorie wurde nicht mit übernommen</w:t>
            </w:r>
          </w:p>
        </w:tc>
      </w:tr>
      <w:tr w:rsidR="00E62EE5" w:rsidRPr="00BE532E" w:rsidTr="00E62EE5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Abbruchkriterien:</w:t>
            </w:r>
          </w:p>
        </w:tc>
        <w:tc>
          <w:tcPr>
            <w:tcW w:w="6064" w:type="dxa"/>
          </w:tcPr>
          <w:p w:rsidR="00E62EE5" w:rsidRPr="001E3DFE" w:rsidRDefault="00E62EE5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Keine</w:t>
            </w:r>
          </w:p>
        </w:tc>
      </w:tr>
      <w:tr w:rsidR="00E62EE5" w:rsidRPr="00BE532E" w:rsidTr="00E62EE5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62EE5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Alternative Abläufe:</w:t>
            </w:r>
          </w:p>
        </w:tc>
        <w:tc>
          <w:tcPr>
            <w:tcW w:w="6064" w:type="dxa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Die Code und Header Dateien werden gemergt.</w:t>
            </w:r>
          </w:p>
          <w:p w:rsidR="00E62EE5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Fall1:  Zu einer Code Datei Fehlt die Header Datei. Es wird eine Fehlermeldung ausgegeben, welche Datei davon betroffe ist.</w:t>
            </w:r>
          </w:p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Fall2: Die Code Datei weisst eine Fehlerhafte Syntax auf. Es wird eine Fehlermeldung ausgegeben und der User wird benachritigt, dsa er dieses Manuel kontrollieren muss.</w:t>
            </w:r>
          </w:p>
        </w:tc>
      </w:tr>
    </w:tbl>
    <w:p w:rsidR="001E3DFE" w:rsidRDefault="001E3DFE" w:rsidP="00543F91">
      <w:pPr>
        <w:rPr>
          <w:b/>
        </w:rPr>
      </w:pPr>
    </w:p>
    <w:p w:rsidR="00543F91" w:rsidRDefault="00543F91" w:rsidP="00543F91">
      <w:pPr>
        <w:rPr>
          <w:b/>
        </w:rPr>
      </w:pPr>
      <w:r>
        <w:rPr>
          <w:b/>
        </w:rPr>
        <w:t xml:space="preserve">UseCase </w:t>
      </w:r>
      <w:r w:rsidR="0044550D">
        <w:rPr>
          <w:b/>
        </w:rPr>
        <w:t>2</w:t>
      </w:r>
      <w:r>
        <w:rPr>
          <w:b/>
        </w:rPr>
        <w:t xml:space="preserve">: Aufruf </w:t>
      </w:r>
      <w:r w:rsidR="00DD41CD" w:rsidRPr="00DD41CD">
        <w:rPr>
          <w:b/>
        </w:rPr>
        <w:t>Log übernehmen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89"/>
        <w:gridCol w:w="6064"/>
      </w:tblGrid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Hauptakteur:</w:t>
            </w:r>
          </w:p>
        </w:tc>
        <w:tc>
          <w:tcPr>
            <w:tcW w:w="6064" w:type="dxa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Zweck, Beschreibung:</w:t>
            </w:r>
          </w:p>
        </w:tc>
        <w:tc>
          <w:tcPr>
            <w:tcW w:w="6064" w:type="dxa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Log übernehmen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2389" w:type="dxa"/>
            <w:tcBorders>
              <w:bottom w:val="single" w:sz="4" w:space="0" w:color="auto"/>
            </w:tcBorders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Niveau</w:t>
            </w:r>
          </w:p>
        </w:tc>
        <w:tc>
          <w:tcPr>
            <w:tcW w:w="6064" w:type="dxa"/>
            <w:tcBorders>
              <w:bottom w:val="single" w:sz="4" w:space="0" w:color="auto"/>
            </w:tcBorders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Benutzerziel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Beteiligte und Interessen:</w:t>
            </w:r>
          </w:p>
        </w:tc>
        <w:tc>
          <w:tcPr>
            <w:tcW w:w="6064" w:type="dxa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User: Will Code Dateien mit den Aktuellen Header Dateien erzeugen.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Voraussetzungen:</w:t>
            </w:r>
          </w:p>
        </w:tc>
        <w:tc>
          <w:tcPr>
            <w:tcW w:w="6064" w:type="dxa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Der User hat das Midas Tool gestartet und befindet sich im Reiter “FC/FB”XFB”. Der Radio Button “Log übernehmen” ist aktiviert. 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Ablauf:</w:t>
            </w:r>
          </w:p>
        </w:tc>
        <w:tc>
          <w:tcPr>
            <w:tcW w:w="6064" w:type="dxa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Der User wählt den Code Ordner im “Code-Verzeichnis” aus und den Header Ordner im “Header-Verzeichnis” aus. Und drückt danach auf “Start”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Haupt-Ablauf:</w:t>
            </w:r>
          </w:p>
        </w:tc>
        <w:tc>
          <w:tcPr>
            <w:tcW w:w="6064" w:type="dxa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Im Code Ordner sind </w:t>
            </w:r>
            <w:proofErr w:type="gramStart"/>
            <w:r w:rsidRPr="001E3DFE">
              <w:rPr>
                <w:rFonts w:ascii="Arial" w:hAnsi="Arial" w:cs="Arial"/>
                <w:sz w:val="20"/>
                <w:szCs w:val="20"/>
              </w:rPr>
              <w:t>die</w:t>
            </w:r>
            <w:proofErr w:type="gramEnd"/>
            <w:r w:rsidRPr="001E3DFE">
              <w:rPr>
                <w:rFonts w:ascii="Arial" w:hAnsi="Arial" w:cs="Arial"/>
                <w:sz w:val="20"/>
                <w:szCs w:val="20"/>
              </w:rPr>
              <w:t xml:space="preserve"> neu erstellten Code Dateien mit der inkrementierten Versionsnummer. Im Code Ordner wurde ein Ordner “Original” erzeugt, welcher die Originalen Code Dateien beinhaltet. Die Header Versions Hystorie wurde mit übernommen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Abbruchkriterien:</w:t>
            </w:r>
          </w:p>
        </w:tc>
        <w:tc>
          <w:tcPr>
            <w:tcW w:w="6064" w:type="dxa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Keine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Alternative Abläufe:</w:t>
            </w:r>
          </w:p>
        </w:tc>
        <w:tc>
          <w:tcPr>
            <w:tcW w:w="6064" w:type="dxa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Die Code und Header Dateien werden gemergt.</w:t>
            </w:r>
          </w:p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Fall1:  Zu einer Code Datei Fehlt die Header Datei. Es wird eine Fehlermeldung ausgegeben, welche Datei davon betroffe ist.</w:t>
            </w:r>
          </w:p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Fall2: Die Code Datei weisst eine Fehlerhafte Syntax auf. Es wird eine Fehlermeldung ausgegeben und der User wird benachritigt, dsa er dieses Manuel kontrollieren muss.</w:t>
            </w:r>
          </w:p>
        </w:tc>
      </w:tr>
    </w:tbl>
    <w:p w:rsidR="001E3DFE" w:rsidRDefault="001E3DFE" w:rsidP="00543F91">
      <w:pPr>
        <w:rPr>
          <w:b/>
        </w:rPr>
      </w:pPr>
    </w:p>
    <w:p w:rsidR="00543F91" w:rsidRDefault="00543F91" w:rsidP="00543F91">
      <w:pPr>
        <w:rPr>
          <w:b/>
        </w:rPr>
      </w:pPr>
      <w:r>
        <w:rPr>
          <w:b/>
        </w:rPr>
        <w:t xml:space="preserve">UseCase </w:t>
      </w:r>
      <w:r w:rsidR="0044550D">
        <w:rPr>
          <w:b/>
        </w:rPr>
        <w:t>3</w:t>
      </w:r>
      <w:r>
        <w:rPr>
          <w:b/>
        </w:rPr>
        <w:t xml:space="preserve">: Aufruf </w:t>
      </w:r>
      <w:r w:rsidR="00A40DEB" w:rsidRPr="00A40DEB">
        <w:rPr>
          <w:b/>
        </w:rPr>
        <w:t>S7_m_c zu VAR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89"/>
        <w:gridCol w:w="6064"/>
      </w:tblGrid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Hauptakteur:</w:t>
            </w:r>
          </w:p>
        </w:tc>
        <w:tc>
          <w:tcPr>
            <w:tcW w:w="6064" w:type="dxa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Zweck, Beschreibung:</w:t>
            </w:r>
          </w:p>
        </w:tc>
        <w:tc>
          <w:tcPr>
            <w:tcW w:w="6064" w:type="dxa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S7_m_c zu VAR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2389" w:type="dxa"/>
            <w:tcBorders>
              <w:bottom w:val="single" w:sz="4" w:space="0" w:color="auto"/>
            </w:tcBorders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Niveau</w:t>
            </w:r>
          </w:p>
        </w:tc>
        <w:tc>
          <w:tcPr>
            <w:tcW w:w="6064" w:type="dxa"/>
            <w:tcBorders>
              <w:bottom w:val="single" w:sz="4" w:space="0" w:color="auto"/>
            </w:tcBorders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Benutzerziel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Beteiligte und Interessen:</w:t>
            </w:r>
          </w:p>
        </w:tc>
        <w:tc>
          <w:tcPr>
            <w:tcW w:w="6064" w:type="dxa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User: </w:t>
            </w:r>
            <w:r w:rsidR="00A40DEB" w:rsidRPr="001E3DFE">
              <w:rPr>
                <w:rFonts w:ascii="Arial" w:hAnsi="Arial" w:cs="Arial"/>
                <w:sz w:val="20"/>
                <w:szCs w:val="20"/>
              </w:rPr>
              <w:t>In der erzeugten Code Datei wird im Block “VAR” “{ S7_m_c :_ ‘false’ }” eingefügt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Voraussetzungen:</w:t>
            </w:r>
          </w:p>
        </w:tc>
        <w:tc>
          <w:tcPr>
            <w:tcW w:w="6064" w:type="dxa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Der User hat das Midas Tool gestartet und befindet sich im Reiter “FC/FB”XFB”. Der Radio Button “Log übernehmen”</w:t>
            </w:r>
            <w:r w:rsidR="00A40DEB" w:rsidRPr="001E3DFE">
              <w:rPr>
                <w:rFonts w:ascii="Arial" w:hAnsi="Arial" w:cs="Arial"/>
                <w:sz w:val="20"/>
                <w:szCs w:val="20"/>
              </w:rPr>
              <w:t xml:space="preserve"> oder “Log nicht übernehmen”</w:t>
            </w:r>
            <w:r w:rsidRPr="001E3DFE">
              <w:rPr>
                <w:rFonts w:ascii="Arial" w:hAnsi="Arial" w:cs="Arial"/>
                <w:sz w:val="20"/>
                <w:szCs w:val="20"/>
              </w:rPr>
              <w:t xml:space="preserve"> ist aktiviert</w:t>
            </w:r>
            <w:r w:rsidR="00A40DEB" w:rsidRPr="001E3DFE">
              <w:rPr>
                <w:rFonts w:ascii="Arial" w:hAnsi="Arial" w:cs="Arial"/>
                <w:sz w:val="20"/>
                <w:szCs w:val="20"/>
              </w:rPr>
              <w:t xml:space="preserve"> und er hat die Cheack Box “S7_m_c =&gt; VAR” aktiviert</w:t>
            </w:r>
            <w:r w:rsidRPr="001E3DF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Ablauf:</w:t>
            </w:r>
          </w:p>
        </w:tc>
        <w:tc>
          <w:tcPr>
            <w:tcW w:w="6064" w:type="dxa"/>
          </w:tcPr>
          <w:p w:rsidR="00543F91" w:rsidRPr="001E3DFE" w:rsidRDefault="00A40DEB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Wenn Use Case 1 oder Use Case 2 augeführt wird, wird der Use Case führ jede zu Migrirende Datei aufgerufen. 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Haupt-Ablauf:</w:t>
            </w:r>
          </w:p>
        </w:tc>
        <w:tc>
          <w:tcPr>
            <w:tcW w:w="6064" w:type="dxa"/>
          </w:tcPr>
          <w:p w:rsidR="00543F91" w:rsidRPr="001E3DFE" w:rsidRDefault="00A40DEB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In der Code Datei wird im VAR Block eine zusätliche Variable eingeführt.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Abbruchkriterien:</w:t>
            </w:r>
          </w:p>
        </w:tc>
        <w:tc>
          <w:tcPr>
            <w:tcW w:w="6064" w:type="dxa"/>
          </w:tcPr>
          <w:p w:rsidR="00543F91" w:rsidRPr="001E3DFE" w:rsidRDefault="00A40DEB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Wird Abgebrochen, wenn die Code Datei keinen VAR Block aufweisst</w:t>
            </w:r>
          </w:p>
        </w:tc>
      </w:tr>
      <w:tr w:rsidR="00543F91" w:rsidRPr="00BE532E" w:rsidTr="00543F91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543F91" w:rsidRPr="001E3DFE" w:rsidRDefault="00543F91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Alternative Abläufe:</w:t>
            </w:r>
          </w:p>
        </w:tc>
        <w:tc>
          <w:tcPr>
            <w:tcW w:w="6064" w:type="dxa"/>
          </w:tcPr>
          <w:p w:rsidR="00543F91" w:rsidRPr="001E3DFE" w:rsidRDefault="00A40DEB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Funktion wird abgebrochen und der User1 wird benachrichtigt, das in der Code Datei der Block VAR fehlt und er das kontrollieren oder beheben soll.</w:t>
            </w:r>
          </w:p>
        </w:tc>
      </w:tr>
    </w:tbl>
    <w:p w:rsidR="001E3DFE" w:rsidRDefault="001E3DFE" w:rsidP="0044550D">
      <w:pPr>
        <w:rPr>
          <w:b/>
        </w:rPr>
      </w:pPr>
    </w:p>
    <w:p w:rsidR="0044550D" w:rsidRDefault="0044550D" w:rsidP="0044550D">
      <w:pPr>
        <w:rPr>
          <w:b/>
        </w:rPr>
      </w:pPr>
      <w:r>
        <w:rPr>
          <w:b/>
        </w:rPr>
        <w:t xml:space="preserve">UseCase </w:t>
      </w:r>
      <w:r w:rsidR="001E3DFE">
        <w:rPr>
          <w:b/>
        </w:rPr>
        <w:t>4</w:t>
      </w:r>
      <w:r>
        <w:rPr>
          <w:b/>
        </w:rPr>
        <w:t xml:space="preserve">: Aufruf </w:t>
      </w:r>
      <w:r w:rsidR="001E3DFE" w:rsidRPr="001E3DFE">
        <w:rPr>
          <w:b/>
        </w:rPr>
        <w:t>body start löschen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89"/>
        <w:gridCol w:w="6064"/>
      </w:tblGrid>
      <w:tr w:rsidR="0044550D" w:rsidRPr="00BE532E" w:rsidTr="0044550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Hauptakteur:</w:t>
            </w:r>
          </w:p>
        </w:tc>
        <w:tc>
          <w:tcPr>
            <w:tcW w:w="6064" w:type="dxa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44550D" w:rsidRPr="00BE532E" w:rsidTr="0044550D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389" w:type="dxa"/>
            <w:shd w:val="clear" w:color="auto" w:fill="D9D9D9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Zweck, Beschreibung:</w:t>
            </w:r>
          </w:p>
        </w:tc>
        <w:tc>
          <w:tcPr>
            <w:tcW w:w="6064" w:type="dxa"/>
          </w:tcPr>
          <w:p w:rsidR="0044550D" w:rsidRPr="001E3DFE" w:rsidRDefault="001E3DFE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 start löschen</w:t>
            </w:r>
          </w:p>
        </w:tc>
      </w:tr>
      <w:tr w:rsidR="0044550D" w:rsidRPr="00BE532E" w:rsidTr="0044550D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2389" w:type="dxa"/>
            <w:tcBorders>
              <w:bottom w:val="single" w:sz="4" w:space="0" w:color="auto"/>
            </w:tcBorders>
            <w:shd w:val="clear" w:color="auto" w:fill="D9D9D9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Niveau</w:t>
            </w:r>
          </w:p>
        </w:tc>
        <w:tc>
          <w:tcPr>
            <w:tcW w:w="6064" w:type="dxa"/>
            <w:tcBorders>
              <w:bottom w:val="single" w:sz="4" w:space="0" w:color="auto"/>
            </w:tcBorders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Benutzerziel</w:t>
            </w:r>
          </w:p>
        </w:tc>
      </w:tr>
      <w:tr w:rsidR="0044550D" w:rsidRPr="00BE532E" w:rsidTr="0044550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Beteiligte und Interessen:</w:t>
            </w:r>
          </w:p>
        </w:tc>
        <w:tc>
          <w:tcPr>
            <w:tcW w:w="6064" w:type="dxa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User</w:t>
            </w:r>
            <w:r w:rsidR="001E3DFE">
              <w:rPr>
                <w:rFonts w:ascii="Arial" w:hAnsi="Arial" w:cs="Arial"/>
                <w:sz w:val="20"/>
                <w:szCs w:val="20"/>
              </w:rPr>
              <w:t>: Möchte in der Code Datei die Zeile “//Body Start” löschen</w:t>
            </w:r>
          </w:p>
        </w:tc>
      </w:tr>
      <w:tr w:rsidR="0044550D" w:rsidRPr="00BE532E" w:rsidTr="0044550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Voraussetzungen:</w:t>
            </w:r>
          </w:p>
        </w:tc>
        <w:tc>
          <w:tcPr>
            <w:tcW w:w="6064" w:type="dxa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Der User hat das Midas Tool gestartet und befindet sich im Reiter “FC/FB”XFB”. Der Radio Button “Log übernehmen” oder “Log nicht übernehmen” ist aktiviert und er hat </w:t>
            </w:r>
            <w:proofErr w:type="gramStart"/>
            <w:r w:rsidRPr="001E3DFE">
              <w:rPr>
                <w:rFonts w:ascii="Arial" w:hAnsi="Arial" w:cs="Arial"/>
                <w:sz w:val="20"/>
                <w:szCs w:val="20"/>
              </w:rPr>
              <w:t>die</w:t>
            </w:r>
            <w:proofErr w:type="gramEnd"/>
            <w:r w:rsidRPr="001E3DFE">
              <w:rPr>
                <w:rFonts w:ascii="Arial" w:hAnsi="Arial" w:cs="Arial"/>
                <w:sz w:val="20"/>
                <w:szCs w:val="20"/>
              </w:rPr>
              <w:t xml:space="preserve"> Cheack Box “</w:t>
            </w:r>
            <w:r w:rsidR="001E3DFE">
              <w:rPr>
                <w:rFonts w:ascii="Arial" w:hAnsi="Arial" w:cs="Arial"/>
                <w:sz w:val="20"/>
                <w:szCs w:val="20"/>
              </w:rPr>
              <w:t>“//Body: Star löschent</w:t>
            </w:r>
            <w:r w:rsidRPr="001E3DFE">
              <w:rPr>
                <w:rFonts w:ascii="Arial" w:hAnsi="Arial" w:cs="Arial"/>
                <w:sz w:val="20"/>
                <w:szCs w:val="20"/>
              </w:rPr>
              <w:t xml:space="preserve">” aktiviert. </w:t>
            </w:r>
          </w:p>
        </w:tc>
      </w:tr>
      <w:tr w:rsidR="0044550D" w:rsidRPr="00BE532E" w:rsidTr="0044550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Ablauf:</w:t>
            </w:r>
          </w:p>
        </w:tc>
        <w:tc>
          <w:tcPr>
            <w:tcW w:w="6064" w:type="dxa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Wenn Use Case 1 oder Use Case 2 augeführt wird, wird der Use Case führ jede zu Migrirende Datei aufgerufen. </w:t>
            </w:r>
          </w:p>
        </w:tc>
      </w:tr>
      <w:tr w:rsidR="0044550D" w:rsidRPr="00BE532E" w:rsidTr="0044550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Haupt-Ablauf:</w:t>
            </w:r>
          </w:p>
        </w:tc>
        <w:tc>
          <w:tcPr>
            <w:tcW w:w="6064" w:type="dxa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In der Code Datei wird </w:t>
            </w:r>
            <w:r w:rsidR="001E3DFE">
              <w:rPr>
                <w:rFonts w:ascii="Arial" w:hAnsi="Arial" w:cs="Arial"/>
                <w:sz w:val="20"/>
                <w:szCs w:val="20"/>
              </w:rPr>
              <w:t>die Zeile “// body sart” gelöscht</w:t>
            </w:r>
            <w:r w:rsidRPr="001E3DF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4550D" w:rsidRPr="00BE532E" w:rsidTr="0044550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Abbruchkriterien:</w:t>
            </w:r>
          </w:p>
        </w:tc>
        <w:tc>
          <w:tcPr>
            <w:tcW w:w="6064" w:type="dxa"/>
          </w:tcPr>
          <w:p w:rsidR="0044550D" w:rsidRPr="001E3DFE" w:rsidRDefault="001E3DFE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Keine</w:t>
            </w:r>
          </w:p>
        </w:tc>
      </w:tr>
      <w:tr w:rsidR="0044550D" w:rsidRPr="00BE532E" w:rsidTr="0044550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44550D" w:rsidRPr="001E3DFE" w:rsidRDefault="0044550D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Alternative Abläufe:</w:t>
            </w:r>
          </w:p>
        </w:tc>
        <w:tc>
          <w:tcPr>
            <w:tcW w:w="6064" w:type="dxa"/>
          </w:tcPr>
          <w:p w:rsidR="0044550D" w:rsidRPr="001E3DFE" w:rsidRDefault="001E3DFE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wird nicht ausgeführt wenn kein “//body Start” vorhanden ist.</w:t>
            </w:r>
          </w:p>
        </w:tc>
      </w:tr>
    </w:tbl>
    <w:p w:rsidR="00E53CE1" w:rsidRDefault="00E53CE1" w:rsidP="00E53CE1">
      <w:pPr>
        <w:rPr>
          <w:b/>
          <w:lang w:val="de-CH"/>
        </w:rPr>
      </w:pPr>
    </w:p>
    <w:p w:rsidR="001E3DFE" w:rsidRDefault="001E3DFE" w:rsidP="001E3DFE">
      <w:pPr>
        <w:rPr>
          <w:b/>
        </w:rPr>
      </w:pPr>
      <w:r>
        <w:rPr>
          <w:b/>
        </w:rPr>
        <w:t xml:space="preserve">UseCase 5: Aufruf </w:t>
      </w:r>
      <w:r w:rsidRPr="001E3DFE">
        <w:rPr>
          <w:b/>
        </w:rPr>
        <w:t>Version Update per FB Library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89"/>
        <w:gridCol w:w="6064"/>
      </w:tblGrid>
      <w:tr w:rsidR="001E3DFE" w:rsidRPr="00BE532E" w:rsidTr="001E3DFE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Hauptakteur:</w:t>
            </w:r>
          </w:p>
        </w:tc>
        <w:tc>
          <w:tcPr>
            <w:tcW w:w="6064" w:type="dxa"/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1E3DFE" w:rsidRPr="00BE532E" w:rsidTr="001E3DFE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389" w:type="dxa"/>
            <w:shd w:val="clear" w:color="auto" w:fill="D9D9D9"/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Zweck, Beschreibung:</w:t>
            </w:r>
          </w:p>
        </w:tc>
        <w:tc>
          <w:tcPr>
            <w:tcW w:w="6064" w:type="dxa"/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Version Update per FB Library</w:t>
            </w:r>
          </w:p>
        </w:tc>
      </w:tr>
      <w:tr w:rsidR="001E3DFE" w:rsidRPr="00BE532E" w:rsidTr="001E3DFE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2389" w:type="dxa"/>
            <w:tcBorders>
              <w:bottom w:val="single" w:sz="4" w:space="0" w:color="auto"/>
            </w:tcBorders>
            <w:shd w:val="clear" w:color="auto" w:fill="D9D9D9"/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Niveau</w:t>
            </w:r>
          </w:p>
        </w:tc>
        <w:tc>
          <w:tcPr>
            <w:tcW w:w="6064" w:type="dxa"/>
            <w:tcBorders>
              <w:bottom w:val="single" w:sz="4" w:space="0" w:color="auto"/>
            </w:tcBorders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Benutzerziel</w:t>
            </w:r>
          </w:p>
        </w:tc>
      </w:tr>
      <w:tr w:rsidR="001E3DFE" w:rsidRPr="00BE532E" w:rsidTr="001E3DFE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Beteiligte und Interessen:</w:t>
            </w:r>
          </w:p>
        </w:tc>
        <w:tc>
          <w:tcPr>
            <w:tcW w:w="6064" w:type="dxa"/>
          </w:tcPr>
          <w:p w:rsidR="001E3DFE" w:rsidRPr="001E3DFE" w:rsidRDefault="001E3DFE" w:rsidP="00E475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User</w:t>
            </w:r>
            <w:r>
              <w:rPr>
                <w:rFonts w:ascii="Arial" w:hAnsi="Arial" w:cs="Arial"/>
                <w:sz w:val="20"/>
                <w:szCs w:val="20"/>
              </w:rPr>
              <w:t>: Möchte die eine</w:t>
            </w:r>
            <w:r w:rsidR="00E475ED">
              <w:rPr>
                <w:rFonts w:ascii="Arial" w:hAnsi="Arial" w:cs="Arial"/>
                <w:sz w:val="20"/>
                <w:szCs w:val="20"/>
              </w:rPr>
              <w:t>n Individuellen</w:t>
            </w:r>
            <w:r>
              <w:rPr>
                <w:rFonts w:ascii="Arial" w:hAnsi="Arial" w:cs="Arial"/>
                <w:sz w:val="20"/>
                <w:szCs w:val="20"/>
              </w:rPr>
              <w:t xml:space="preserve"> Sprung in der Versionsnummer erzwingen. </w:t>
            </w:r>
            <w:r w:rsidR="00E475ED">
              <w:rPr>
                <w:rFonts w:ascii="Arial" w:hAnsi="Arial" w:cs="Arial"/>
                <w:sz w:val="20"/>
                <w:szCs w:val="20"/>
              </w:rPr>
              <w:t>Diese kann er für jede Code Datei in der “</w:t>
            </w:r>
            <w:r w:rsidR="00E475ED" w:rsidRPr="00E475ED">
              <w:rPr>
                <w:rFonts w:ascii="Arial" w:hAnsi="Arial" w:cs="Arial"/>
                <w:sz w:val="20"/>
                <w:szCs w:val="20"/>
              </w:rPr>
              <w:t>103425-P-6102_EN_Management_FB_Library</w:t>
            </w:r>
            <w:r w:rsidR="00E475ED">
              <w:rPr>
                <w:rFonts w:ascii="Arial" w:hAnsi="Arial" w:cs="Arial"/>
                <w:sz w:val="20"/>
                <w:szCs w:val="20"/>
              </w:rPr>
              <w:t>” Liste eingeben.</w:t>
            </w:r>
          </w:p>
        </w:tc>
      </w:tr>
      <w:tr w:rsidR="001E3DFE" w:rsidRPr="00BE532E" w:rsidTr="001E3DFE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Voraussetzungen:</w:t>
            </w:r>
          </w:p>
        </w:tc>
        <w:tc>
          <w:tcPr>
            <w:tcW w:w="6064" w:type="dxa"/>
          </w:tcPr>
          <w:p w:rsidR="001E3DFE" w:rsidRPr="001E3DFE" w:rsidRDefault="001E3DFE" w:rsidP="00E475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Der User hat das Midas Tool gestartet und befindet sich im Reiter “FC/FB”XFB”. Der Radio Button “Log übernehmen” oder “Log nicht übernehmen” ist aktiviert und er hat die Cheack Box</w:t>
            </w:r>
            <w:r w:rsidR="00E475ED">
              <w:rPr>
                <w:rFonts w:ascii="Arial" w:hAnsi="Arial" w:cs="Arial"/>
                <w:sz w:val="20"/>
                <w:szCs w:val="20"/>
              </w:rPr>
              <w:t xml:space="preserve"> “Update Version by FB Library</w:t>
            </w:r>
            <w:r w:rsidRPr="001E3DFE">
              <w:rPr>
                <w:rFonts w:ascii="Arial" w:hAnsi="Arial" w:cs="Arial"/>
                <w:sz w:val="20"/>
                <w:szCs w:val="20"/>
              </w:rPr>
              <w:t xml:space="preserve">” aktiviert. </w:t>
            </w:r>
          </w:p>
        </w:tc>
      </w:tr>
      <w:tr w:rsidR="001E3DFE" w:rsidRPr="00BE532E" w:rsidTr="001E3DFE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Ablauf:</w:t>
            </w:r>
          </w:p>
        </w:tc>
        <w:tc>
          <w:tcPr>
            <w:tcW w:w="6064" w:type="dxa"/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Wenn Use Case 1 oder Use Case 2 augeführt wird, wird der Use Case führ jede zu Migrirende Datei aufgerufen. </w:t>
            </w:r>
          </w:p>
        </w:tc>
      </w:tr>
      <w:tr w:rsidR="001E3DFE" w:rsidRPr="00BE532E" w:rsidTr="001E3DFE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Haupt-Ablauf:</w:t>
            </w:r>
          </w:p>
        </w:tc>
        <w:tc>
          <w:tcPr>
            <w:tcW w:w="6064" w:type="dxa"/>
          </w:tcPr>
          <w:p w:rsidR="001E3DFE" w:rsidRPr="001E3DFE" w:rsidRDefault="00E475ED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der neu erzeugten Code Datei wird die Versionsnummer aus der “</w:t>
            </w:r>
            <w:r w:rsidRPr="00E475ED">
              <w:rPr>
                <w:rFonts w:ascii="Arial" w:hAnsi="Arial" w:cs="Arial"/>
                <w:sz w:val="20"/>
                <w:szCs w:val="20"/>
              </w:rPr>
              <w:t>103425-P-6102_EN_Management_FB_Library</w:t>
            </w:r>
            <w:r>
              <w:rPr>
                <w:rFonts w:ascii="Arial" w:hAnsi="Arial" w:cs="Arial"/>
                <w:sz w:val="20"/>
                <w:szCs w:val="20"/>
              </w:rPr>
              <w:t>” Liste übernommen</w:t>
            </w:r>
          </w:p>
        </w:tc>
      </w:tr>
      <w:tr w:rsidR="001E3DFE" w:rsidRPr="00BE532E" w:rsidTr="001E3DFE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Abbruchkriterien:</w:t>
            </w:r>
          </w:p>
        </w:tc>
        <w:tc>
          <w:tcPr>
            <w:tcW w:w="6064" w:type="dxa"/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Keine</w:t>
            </w:r>
          </w:p>
        </w:tc>
      </w:tr>
      <w:tr w:rsidR="001E3DFE" w:rsidRPr="00BE532E" w:rsidTr="001E3DFE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1E3DFE" w:rsidRPr="001E3DFE" w:rsidRDefault="001E3DFE" w:rsidP="001E3DF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Alternative Abläufe:</w:t>
            </w:r>
          </w:p>
        </w:tc>
        <w:tc>
          <w:tcPr>
            <w:tcW w:w="6064" w:type="dxa"/>
          </w:tcPr>
          <w:p w:rsidR="001E3DFE" w:rsidRPr="001E3DFE" w:rsidRDefault="001E3DFE" w:rsidP="00E475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 wird nicht ausgeführt </w:t>
            </w:r>
            <w:r w:rsidR="00E475ED">
              <w:rPr>
                <w:rFonts w:ascii="Arial" w:hAnsi="Arial" w:cs="Arial"/>
                <w:sz w:val="20"/>
                <w:szCs w:val="20"/>
              </w:rPr>
              <w:t xml:space="preserve">und Fehlermeldung erscheint, </w:t>
            </w:r>
            <w:r>
              <w:rPr>
                <w:rFonts w:ascii="Arial" w:hAnsi="Arial" w:cs="Arial"/>
                <w:sz w:val="20"/>
                <w:szCs w:val="20"/>
              </w:rPr>
              <w:t xml:space="preserve">wenn </w:t>
            </w:r>
            <w:r w:rsidR="00E475ED">
              <w:rPr>
                <w:rFonts w:ascii="Arial" w:hAnsi="Arial" w:cs="Arial"/>
                <w:sz w:val="20"/>
                <w:szCs w:val="20"/>
              </w:rPr>
              <w:t>die der Name der Code Datei nicht in der Excel Liste enthalten ist.</w:t>
            </w:r>
          </w:p>
        </w:tc>
      </w:tr>
    </w:tbl>
    <w:p w:rsidR="001E3DFE" w:rsidRDefault="001E3DFE" w:rsidP="00E53CE1">
      <w:pPr>
        <w:rPr>
          <w:b/>
          <w:lang w:val="de-CH"/>
        </w:rPr>
      </w:pPr>
    </w:p>
    <w:p w:rsidR="00E475ED" w:rsidRDefault="00E475ED" w:rsidP="00E475ED">
      <w:pPr>
        <w:rPr>
          <w:b/>
        </w:rPr>
      </w:pPr>
      <w:r>
        <w:rPr>
          <w:b/>
        </w:rPr>
        <w:t xml:space="preserve">UseCase 6: Aufruf </w:t>
      </w:r>
      <w:r w:rsidRPr="00E475ED">
        <w:rPr>
          <w:b/>
        </w:rPr>
        <w:t>Var_Input erweitern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89"/>
        <w:gridCol w:w="6064"/>
      </w:tblGrid>
      <w:tr w:rsidR="00E475ED" w:rsidRPr="00BE532E" w:rsidTr="00E475E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Hauptakteur:</w:t>
            </w:r>
          </w:p>
        </w:tc>
        <w:tc>
          <w:tcPr>
            <w:tcW w:w="6064" w:type="dxa"/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E475ED" w:rsidRPr="00BE532E" w:rsidTr="00E475ED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389" w:type="dxa"/>
            <w:shd w:val="clear" w:color="auto" w:fill="D9D9D9"/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Zweck, Beschreibung:</w:t>
            </w:r>
          </w:p>
        </w:tc>
        <w:tc>
          <w:tcPr>
            <w:tcW w:w="6064" w:type="dxa"/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475ED">
              <w:rPr>
                <w:rFonts w:ascii="Arial" w:hAnsi="Arial" w:cs="Arial"/>
                <w:sz w:val="20"/>
                <w:szCs w:val="20"/>
              </w:rPr>
              <w:t>Var_Input erweitern</w:t>
            </w:r>
          </w:p>
        </w:tc>
      </w:tr>
      <w:tr w:rsidR="00E475ED" w:rsidRPr="00BE532E" w:rsidTr="00E475ED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2389" w:type="dxa"/>
            <w:tcBorders>
              <w:bottom w:val="single" w:sz="4" w:space="0" w:color="auto"/>
            </w:tcBorders>
            <w:shd w:val="clear" w:color="auto" w:fill="D9D9D9"/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Niveau</w:t>
            </w:r>
          </w:p>
        </w:tc>
        <w:tc>
          <w:tcPr>
            <w:tcW w:w="6064" w:type="dxa"/>
            <w:tcBorders>
              <w:bottom w:val="single" w:sz="4" w:space="0" w:color="auto"/>
            </w:tcBorders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Benutzerziel</w:t>
            </w:r>
          </w:p>
        </w:tc>
      </w:tr>
      <w:tr w:rsidR="00E475ED" w:rsidRPr="00BE532E" w:rsidTr="00E475E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Beteiligte und Interessen:</w:t>
            </w:r>
          </w:p>
        </w:tc>
        <w:tc>
          <w:tcPr>
            <w:tcW w:w="6064" w:type="dxa"/>
          </w:tcPr>
          <w:p w:rsidR="00E475ED" w:rsidRPr="001E3DFE" w:rsidRDefault="00E475ED" w:rsidP="00A520E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User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520E9">
              <w:rPr>
                <w:rFonts w:ascii="Arial" w:hAnsi="Arial" w:cs="Arial"/>
                <w:sz w:val="20"/>
                <w:szCs w:val="20"/>
              </w:rPr>
              <w:t>Möchte mit einer Externen Datei bei allen Code Dateien den “VAR_INPUT” erweitern</w:t>
            </w:r>
          </w:p>
        </w:tc>
      </w:tr>
      <w:tr w:rsidR="00E475ED" w:rsidRPr="00BE532E" w:rsidTr="00E475E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Voraussetzungen:</w:t>
            </w:r>
          </w:p>
        </w:tc>
        <w:tc>
          <w:tcPr>
            <w:tcW w:w="6064" w:type="dxa"/>
          </w:tcPr>
          <w:p w:rsidR="00E475ED" w:rsidRPr="001E3DFE" w:rsidRDefault="00E475ED" w:rsidP="00A520E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Der User hat das Midas Tool gestartet und befindet sich im Reiter “FC/FB”XFB”. Der Radio Button “Log übernehmen” oder “Log nicht übernehmen” ist aktiviert und er hat die Cheack Box</w:t>
            </w:r>
            <w:r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A520E9">
              <w:rPr>
                <w:rFonts w:ascii="Arial" w:hAnsi="Arial" w:cs="Arial"/>
                <w:sz w:val="20"/>
                <w:szCs w:val="20"/>
              </w:rPr>
              <w:t>VAR_INPUT erweitern</w:t>
            </w:r>
            <w:r w:rsidRPr="001E3DFE">
              <w:rPr>
                <w:rFonts w:ascii="Arial" w:hAnsi="Arial" w:cs="Arial"/>
                <w:sz w:val="20"/>
                <w:szCs w:val="20"/>
              </w:rPr>
              <w:t>” aktiviert</w:t>
            </w:r>
            <w:r w:rsidR="00A520E9">
              <w:rPr>
                <w:rFonts w:ascii="Arial" w:hAnsi="Arial" w:cs="Arial"/>
                <w:sz w:val="20"/>
                <w:szCs w:val="20"/>
              </w:rPr>
              <w:t xml:space="preserve"> und die Entsprechende Datei ausgewählt.</w:t>
            </w:r>
          </w:p>
        </w:tc>
      </w:tr>
      <w:tr w:rsidR="00E475ED" w:rsidRPr="00BE532E" w:rsidTr="00E475E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Ablauf:</w:t>
            </w:r>
          </w:p>
        </w:tc>
        <w:tc>
          <w:tcPr>
            <w:tcW w:w="6064" w:type="dxa"/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Wenn Use Case 1 oder Use Case 2 augeführt wird, wird der Use Case führ jede zu Migrirende Datei aufgerufen. </w:t>
            </w:r>
          </w:p>
        </w:tc>
      </w:tr>
      <w:tr w:rsidR="00E475ED" w:rsidRPr="00BE532E" w:rsidTr="00E475E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Haupt-Ablauf:</w:t>
            </w:r>
          </w:p>
        </w:tc>
        <w:tc>
          <w:tcPr>
            <w:tcW w:w="6064" w:type="dxa"/>
          </w:tcPr>
          <w:p w:rsidR="00E475ED" w:rsidRPr="001E3DFE" w:rsidRDefault="00A520E9" w:rsidP="00E475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der neu erzeugeten Code Datei wird in dem Block “VAR_INPUT” der Code entsprechend der augewählten Datei erweitert.</w:t>
            </w:r>
          </w:p>
        </w:tc>
      </w:tr>
      <w:tr w:rsidR="00E475ED" w:rsidRPr="00BE532E" w:rsidTr="00E475E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Abbruchkriterien:</w:t>
            </w:r>
          </w:p>
        </w:tc>
        <w:tc>
          <w:tcPr>
            <w:tcW w:w="6064" w:type="dxa"/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Keine</w:t>
            </w:r>
          </w:p>
        </w:tc>
      </w:tr>
      <w:tr w:rsidR="00E475ED" w:rsidRPr="00BE532E" w:rsidTr="00E475ED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E475ED" w:rsidRPr="001E3DFE" w:rsidRDefault="00E475ED" w:rsidP="00E475E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Alternative Abläufe:</w:t>
            </w:r>
          </w:p>
        </w:tc>
        <w:tc>
          <w:tcPr>
            <w:tcW w:w="6064" w:type="dxa"/>
          </w:tcPr>
          <w:p w:rsidR="00E475ED" w:rsidRPr="001E3DFE" w:rsidRDefault="00A520E9" w:rsidP="00E475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Fehlermedlung über fehlen ders “VAR_INPUT” Blocks.</w:t>
            </w:r>
          </w:p>
        </w:tc>
      </w:tr>
    </w:tbl>
    <w:p w:rsidR="00F423BC" w:rsidRDefault="00F423BC" w:rsidP="00F423BC">
      <w:pPr>
        <w:pStyle w:val="berschrift2"/>
        <w:rPr>
          <w:lang w:val="de-CH"/>
        </w:rPr>
      </w:pPr>
      <w:r>
        <w:rPr>
          <w:lang w:val="de-CH"/>
        </w:rPr>
        <w:t>Anwendungsfall 1: FC/FB/XFB Mergen</w:t>
      </w:r>
    </w:p>
    <w:p w:rsidR="00F423BC" w:rsidRPr="00E53CE1" w:rsidRDefault="00F423BC" w:rsidP="00F423BC">
      <w:pPr>
        <w:rPr>
          <w:lang w:val="de-CH"/>
        </w:rPr>
      </w:pPr>
      <w:r>
        <w:rPr>
          <w:lang w:val="de-CH"/>
        </w:rPr>
        <w:t>Der User hat die Applikation Midas gestartet und befindet sich nun im Reiter „XFB</w:t>
      </w:r>
      <w:r w:rsidR="007D1591">
        <w:rPr>
          <w:lang w:val="de-CH"/>
        </w:rPr>
        <w:t xml:space="preserve"> CNF</w:t>
      </w:r>
      <w:r>
        <w:rPr>
          <w:lang w:val="de-CH"/>
        </w:rPr>
        <w:t>“. Der User kann dort zwischen zwei Funktionen wählen</w:t>
      </w:r>
      <w:r w:rsidR="007D1591">
        <w:rPr>
          <w:lang w:val="de-CH"/>
        </w:rPr>
        <w:t>,</w:t>
      </w:r>
      <w:r w:rsidR="007D1591" w:rsidRPr="007D1591">
        <w:t xml:space="preserve"> </w:t>
      </w:r>
      <w:r w:rsidR="007D1591">
        <w:t>wovon immer eine Aktiviert ist</w:t>
      </w:r>
      <w:r>
        <w:rPr>
          <w:lang w:val="de-CH"/>
        </w:rPr>
        <w:t xml:space="preserve">. </w:t>
      </w:r>
      <w:r w:rsidR="007D1591">
        <w:t xml:space="preserve">Er kann über zwei Explorer ansichten die Ordner mit der Generischen Code und den Header Dateien auswählen. </w:t>
      </w:r>
      <w:r>
        <w:rPr>
          <w:lang w:val="de-CH"/>
        </w:rPr>
        <w:t>Als Resultat wird im Code Ordner die Neuen gemergeten Dateien erwartet, welche die neuen Header informationen beinhalten.</w:t>
      </w:r>
    </w:p>
    <w:p w:rsidR="00F423BC" w:rsidRDefault="00F423BC" w:rsidP="00F423BC">
      <w:pPr>
        <w:rPr>
          <w:b/>
        </w:rPr>
      </w:pPr>
      <w:r w:rsidRPr="00C85BE5">
        <w:rPr>
          <w:b/>
        </w:rPr>
        <w:t xml:space="preserve">Use Case Diagramm: </w:t>
      </w:r>
    </w:p>
    <w:p w:rsidR="00E475ED" w:rsidRDefault="00F423BC" w:rsidP="00E53CE1">
      <w:pPr>
        <w:rPr>
          <w:b/>
          <w:lang w:val="de-CH"/>
        </w:rPr>
      </w:pPr>
      <w:r>
        <w:rPr>
          <w:b/>
          <w:noProof/>
        </w:rPr>
        <w:drawing>
          <wp:inline distT="0" distB="0" distL="0" distR="0">
            <wp:extent cx="3950970" cy="3027680"/>
            <wp:effectExtent l="19050" t="0" r="0" b="0"/>
            <wp:docPr id="2" name="Bild 2" descr="\\ch021012\sim_Mod\IPA Max von Gellhorn\IPA - Midas DryRun\04_Technische Dokumentation\Use Case-Diagramm\Use Case XFB C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h021012\sim_Mod\IPA Max von Gellhorn\IPA - Midas DryRun\04_Technische Dokumentation\Use Case-Diagramm\Use Case XFB CN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3BC" w:rsidRDefault="00F423BC" w:rsidP="00F423BC">
      <w:pPr>
        <w:rPr>
          <w:b/>
        </w:rPr>
      </w:pPr>
      <w:r>
        <w:rPr>
          <w:b/>
        </w:rPr>
        <w:t xml:space="preserve">UseCase 1: Aufruf </w:t>
      </w:r>
      <w:r w:rsidRPr="00DD41CD">
        <w:rPr>
          <w:b/>
        </w:rPr>
        <w:t>Log nicht übernehmen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89"/>
        <w:gridCol w:w="6064"/>
      </w:tblGrid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Hauptakteur:</w:t>
            </w:r>
          </w:p>
        </w:tc>
        <w:tc>
          <w:tcPr>
            <w:tcW w:w="6064" w:type="dxa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Zweck, Beschreibung:</w:t>
            </w:r>
          </w:p>
        </w:tc>
        <w:tc>
          <w:tcPr>
            <w:tcW w:w="6064" w:type="dxa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Log nicht übernehmen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2389" w:type="dxa"/>
            <w:tcBorders>
              <w:bottom w:val="single" w:sz="4" w:space="0" w:color="auto"/>
            </w:tcBorders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Niveau</w:t>
            </w:r>
          </w:p>
        </w:tc>
        <w:tc>
          <w:tcPr>
            <w:tcW w:w="6064" w:type="dxa"/>
            <w:tcBorders>
              <w:bottom w:val="single" w:sz="4" w:space="0" w:color="auto"/>
            </w:tcBorders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Benutzerziel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Beteiligte und Interessen:</w:t>
            </w:r>
          </w:p>
        </w:tc>
        <w:tc>
          <w:tcPr>
            <w:tcW w:w="6064" w:type="dxa"/>
          </w:tcPr>
          <w:p w:rsidR="00F423BC" w:rsidRPr="001E3DFE" w:rsidRDefault="00027B23" w:rsidP="00027B2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User: Generische Code Dateien mit verschiedenen Header und Code fragemente der Header Datei mergen. Versions History wird nicht übernommen.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Voraussetzungen:</w:t>
            </w:r>
          </w:p>
        </w:tc>
        <w:tc>
          <w:tcPr>
            <w:tcW w:w="6064" w:type="dxa"/>
          </w:tcPr>
          <w:p w:rsidR="00F423BC" w:rsidRPr="001E3DFE" w:rsidRDefault="00F423BC" w:rsidP="00027B2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Der User hat das Midas Tool gestartet und befindet sich im Reiter “</w:t>
            </w:r>
            <w:r w:rsidR="00027B23">
              <w:rPr>
                <w:rFonts w:ascii="Arial" w:hAnsi="Arial" w:cs="Arial"/>
                <w:sz w:val="20"/>
                <w:szCs w:val="20"/>
              </w:rPr>
              <w:t>XFB CNF</w:t>
            </w:r>
            <w:r w:rsidRPr="001E3DFE">
              <w:rPr>
                <w:rFonts w:ascii="Arial" w:hAnsi="Arial" w:cs="Arial"/>
                <w:sz w:val="20"/>
                <w:szCs w:val="20"/>
              </w:rPr>
              <w:t>”. Der Radio Button “Log nicht übernehmen” ist aktiviert.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Ablauf:</w:t>
            </w:r>
          </w:p>
        </w:tc>
        <w:tc>
          <w:tcPr>
            <w:tcW w:w="6064" w:type="dxa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Der User wählt den Code Ordner im “Code-Verzeichnis” aus und den Header Ordner im “Header-Verzeichnis” aus. Und drückt danach auf “Start”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Haupt-Ablauf:</w:t>
            </w:r>
          </w:p>
        </w:tc>
        <w:tc>
          <w:tcPr>
            <w:tcW w:w="6064" w:type="dxa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Im Code Ordner sind </w:t>
            </w:r>
            <w:proofErr w:type="gramStart"/>
            <w:r w:rsidRPr="001E3DFE">
              <w:rPr>
                <w:rFonts w:ascii="Arial" w:hAnsi="Arial" w:cs="Arial"/>
                <w:sz w:val="20"/>
                <w:szCs w:val="20"/>
              </w:rPr>
              <w:t>die</w:t>
            </w:r>
            <w:proofErr w:type="gramEnd"/>
            <w:r w:rsidRPr="001E3DFE">
              <w:rPr>
                <w:rFonts w:ascii="Arial" w:hAnsi="Arial" w:cs="Arial"/>
                <w:sz w:val="20"/>
                <w:szCs w:val="20"/>
              </w:rPr>
              <w:t xml:space="preserve"> neu erstellten Code Dateien mit der inkrementierten Versionsnummer. Im Code Ordner wurde ein Ordner “Original” erzeugt, welcher die Originalen Code Dateien beinhaltet. Die Header Versions Hystorie wurde nicht mit übernommen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Abbruchkriterien:</w:t>
            </w:r>
          </w:p>
        </w:tc>
        <w:tc>
          <w:tcPr>
            <w:tcW w:w="6064" w:type="dxa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Keine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Alternative Abläufe:</w:t>
            </w:r>
          </w:p>
        </w:tc>
        <w:tc>
          <w:tcPr>
            <w:tcW w:w="6064" w:type="dxa"/>
          </w:tcPr>
          <w:p w:rsidR="00F423BC" w:rsidRPr="001E3DFE" w:rsidRDefault="00027B23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F423BC" w:rsidRDefault="00F423BC" w:rsidP="00F423BC">
      <w:pPr>
        <w:rPr>
          <w:b/>
        </w:rPr>
      </w:pPr>
    </w:p>
    <w:p w:rsidR="00F423BC" w:rsidRDefault="00F423BC" w:rsidP="00F423BC">
      <w:pPr>
        <w:rPr>
          <w:b/>
        </w:rPr>
      </w:pPr>
      <w:r>
        <w:rPr>
          <w:b/>
        </w:rPr>
        <w:t xml:space="preserve">UseCase 2: Aufruf </w:t>
      </w:r>
      <w:r w:rsidRPr="00DD41CD">
        <w:rPr>
          <w:b/>
        </w:rPr>
        <w:t>Log übernehmen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89"/>
        <w:gridCol w:w="6064"/>
      </w:tblGrid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Hauptakteur:</w:t>
            </w:r>
          </w:p>
        </w:tc>
        <w:tc>
          <w:tcPr>
            <w:tcW w:w="6064" w:type="dxa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Zweck, Beschreibung:</w:t>
            </w:r>
          </w:p>
        </w:tc>
        <w:tc>
          <w:tcPr>
            <w:tcW w:w="6064" w:type="dxa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Log übernehmen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2389" w:type="dxa"/>
            <w:tcBorders>
              <w:bottom w:val="single" w:sz="4" w:space="0" w:color="auto"/>
            </w:tcBorders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Niveau</w:t>
            </w:r>
          </w:p>
        </w:tc>
        <w:tc>
          <w:tcPr>
            <w:tcW w:w="6064" w:type="dxa"/>
            <w:tcBorders>
              <w:bottom w:val="single" w:sz="4" w:space="0" w:color="auto"/>
            </w:tcBorders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Benutzerziel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Beteiligte und Interessen:</w:t>
            </w:r>
          </w:p>
        </w:tc>
        <w:tc>
          <w:tcPr>
            <w:tcW w:w="6064" w:type="dxa"/>
          </w:tcPr>
          <w:p w:rsidR="00F423BC" w:rsidRPr="001E3DFE" w:rsidRDefault="00027B23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User: Generische Code Dateien mit verschiedenen Header und Code fragemente der Header Datei mergen. Versions History wird übernommen.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Voraussetzungen:</w:t>
            </w:r>
          </w:p>
        </w:tc>
        <w:tc>
          <w:tcPr>
            <w:tcW w:w="6064" w:type="dxa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Der User hat das Midas Tool gestartet und befindet sich im Reiter “FC/FB”XFB”. Der Radio Button “Log übernehmen” ist aktiviert. 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Ablauf:</w:t>
            </w:r>
          </w:p>
        </w:tc>
        <w:tc>
          <w:tcPr>
            <w:tcW w:w="6064" w:type="dxa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Der User wählt den Code Ordner im “Code-Verzeichnis” aus und den Header Ordner im “Header-Verzeichnis” aus. Und drückt danach auf “Start”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Haupt-Ablauf:</w:t>
            </w:r>
          </w:p>
        </w:tc>
        <w:tc>
          <w:tcPr>
            <w:tcW w:w="6064" w:type="dxa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 xml:space="preserve">Im Code Ordner sind </w:t>
            </w:r>
            <w:proofErr w:type="gramStart"/>
            <w:r w:rsidRPr="001E3DFE">
              <w:rPr>
                <w:rFonts w:ascii="Arial" w:hAnsi="Arial" w:cs="Arial"/>
                <w:sz w:val="20"/>
                <w:szCs w:val="20"/>
              </w:rPr>
              <w:t>die</w:t>
            </w:r>
            <w:proofErr w:type="gramEnd"/>
            <w:r w:rsidRPr="001E3DFE">
              <w:rPr>
                <w:rFonts w:ascii="Arial" w:hAnsi="Arial" w:cs="Arial"/>
                <w:sz w:val="20"/>
                <w:szCs w:val="20"/>
              </w:rPr>
              <w:t xml:space="preserve"> neu erstellten Code Dateien mit der inkrementierten Versionsnummer. Im Code Ordner wurde ein Ordner “Original” erzeugt, welcher die Originalen Code Dateien beinhaltet. Die Header Versions Hystorie wurde mit übernommen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Abbruchkriterien:</w:t>
            </w:r>
          </w:p>
        </w:tc>
        <w:tc>
          <w:tcPr>
            <w:tcW w:w="6064" w:type="dxa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3DFE">
              <w:rPr>
                <w:rFonts w:ascii="Arial" w:hAnsi="Arial" w:cs="Arial"/>
                <w:sz w:val="20"/>
                <w:szCs w:val="20"/>
              </w:rPr>
              <w:t>Keine</w:t>
            </w:r>
          </w:p>
        </w:tc>
      </w:tr>
      <w:tr w:rsidR="00F423BC" w:rsidRPr="00BE532E" w:rsidTr="00F423BC">
        <w:tblPrEx>
          <w:tblCellMar>
            <w:top w:w="0" w:type="dxa"/>
            <w:bottom w:w="0" w:type="dxa"/>
          </w:tblCellMar>
        </w:tblPrEx>
        <w:tc>
          <w:tcPr>
            <w:tcW w:w="2389" w:type="dxa"/>
            <w:shd w:val="clear" w:color="auto" w:fill="D9D9D9"/>
          </w:tcPr>
          <w:p w:rsidR="00F423BC" w:rsidRPr="001E3DFE" w:rsidRDefault="00F423BC" w:rsidP="00F423B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E3DFE">
              <w:rPr>
                <w:rFonts w:ascii="Arial" w:hAnsi="Arial" w:cs="Arial"/>
                <w:b/>
                <w:sz w:val="20"/>
                <w:szCs w:val="20"/>
              </w:rPr>
              <w:t>Alternative Abläufe:</w:t>
            </w:r>
          </w:p>
        </w:tc>
        <w:tc>
          <w:tcPr>
            <w:tcW w:w="6064" w:type="dxa"/>
          </w:tcPr>
          <w:p w:rsidR="00F423BC" w:rsidRPr="001E3DFE" w:rsidRDefault="00027B23" w:rsidP="00F423B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F423BC" w:rsidRDefault="00F423BC" w:rsidP="00F423BC">
      <w:pPr>
        <w:rPr>
          <w:b/>
        </w:rPr>
      </w:pPr>
    </w:p>
    <w:p w:rsidR="00F423BC" w:rsidRDefault="00F423BC" w:rsidP="00E53CE1">
      <w:pPr>
        <w:rPr>
          <w:b/>
          <w:lang w:val="de-CH"/>
        </w:rPr>
      </w:pPr>
    </w:p>
    <w:sectPr w:rsidR="00F423BC" w:rsidSect="00CB0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CC8" w:rsidRDefault="007F6CC8" w:rsidP="00E53CE1">
      <w:pPr>
        <w:spacing w:after="0" w:line="240" w:lineRule="auto"/>
      </w:pPr>
      <w:r>
        <w:separator/>
      </w:r>
    </w:p>
  </w:endnote>
  <w:endnote w:type="continuationSeparator" w:id="0">
    <w:p w:rsidR="007F6CC8" w:rsidRDefault="007F6CC8" w:rsidP="00E5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CC8" w:rsidRDefault="007F6CC8" w:rsidP="00E53CE1">
      <w:pPr>
        <w:spacing w:after="0" w:line="240" w:lineRule="auto"/>
      </w:pPr>
      <w:r>
        <w:separator/>
      </w:r>
    </w:p>
  </w:footnote>
  <w:footnote w:type="continuationSeparator" w:id="0">
    <w:p w:rsidR="007F6CC8" w:rsidRDefault="007F6CC8" w:rsidP="00E53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F0347"/>
    <w:multiLevelType w:val="multilevel"/>
    <w:tmpl w:val="B22498D4"/>
    <w:name w:val="WKB_OUTLINE"/>
    <w:lvl w:ilvl="0">
      <w:start w:val="1"/>
      <w:numFmt w:val="decimal"/>
      <w:pStyle w:val="berschrift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7"/>
        </w:tabs>
        <w:ind w:left="1417" w:hanging="1417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17"/>
        </w:tabs>
        <w:ind w:left="1417" w:hanging="1417"/>
      </w:pPr>
    </w:lvl>
    <w:lvl w:ilvl="6">
      <w:start w:val="1"/>
      <w:numFmt w:val="upperLetter"/>
      <w:pStyle w:val="berschrift7"/>
      <w:lvlText w:val="Appendix %7: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berschrift8"/>
      <w:lvlText w:val="%7.%8"/>
      <w:lvlJc w:val="left"/>
      <w:pPr>
        <w:tabs>
          <w:tab w:val="num" w:pos="850"/>
        </w:tabs>
        <w:ind w:left="850" w:hanging="850"/>
      </w:pPr>
    </w:lvl>
    <w:lvl w:ilvl="8">
      <w:start w:val="1"/>
      <w:numFmt w:val="decimal"/>
      <w:pStyle w:val="berschrift9"/>
      <w:lvlText w:val="%7.%8.%9"/>
      <w:lvlJc w:val="left"/>
      <w:pPr>
        <w:tabs>
          <w:tab w:val="num" w:pos="850"/>
        </w:tabs>
        <w:ind w:left="850" w:hanging="85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otCompatibility" w:val="15019"/>
    <w:docVar w:name="DotOrigin" w:val="NORMAL.DOTM"/>
    <w:docVar w:name="DotRevision" w:val="15000"/>
  </w:docVars>
  <w:rsids>
    <w:rsidRoot w:val="00E53CE1"/>
    <w:rsid w:val="00027B23"/>
    <w:rsid w:val="001E3DFE"/>
    <w:rsid w:val="00265A45"/>
    <w:rsid w:val="0044550D"/>
    <w:rsid w:val="00543F91"/>
    <w:rsid w:val="007D1591"/>
    <w:rsid w:val="007F6CC8"/>
    <w:rsid w:val="00A40DEB"/>
    <w:rsid w:val="00A520E9"/>
    <w:rsid w:val="00AE5F4F"/>
    <w:rsid w:val="00CB07A8"/>
    <w:rsid w:val="00DD41CD"/>
    <w:rsid w:val="00E475ED"/>
    <w:rsid w:val="00E53CE1"/>
    <w:rsid w:val="00E62EE5"/>
    <w:rsid w:val="00F41D66"/>
    <w:rsid w:val="00F4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07A8"/>
  </w:style>
  <w:style w:type="paragraph" w:styleId="berschrift1">
    <w:name w:val="heading 1"/>
    <w:basedOn w:val="Standard"/>
    <w:next w:val="Standard"/>
    <w:link w:val="berschrift1Zchn"/>
    <w:uiPriority w:val="9"/>
    <w:qFormat/>
    <w:rsid w:val="00E53C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CE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3C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3C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3C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3C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3C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3C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3C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E53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53CE1"/>
  </w:style>
  <w:style w:type="paragraph" w:styleId="Fuzeile">
    <w:name w:val="footer"/>
    <w:basedOn w:val="Standard"/>
    <w:link w:val="FuzeileZchn"/>
    <w:uiPriority w:val="99"/>
    <w:semiHidden/>
    <w:unhideWhenUsed/>
    <w:rsid w:val="00E53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53CE1"/>
  </w:style>
  <w:style w:type="paragraph" w:styleId="Verzeichnis1">
    <w:name w:val="toc 1"/>
    <w:basedOn w:val="Standard"/>
    <w:next w:val="Standard"/>
    <w:semiHidden/>
    <w:rsid w:val="00E53CE1"/>
    <w:pPr>
      <w:tabs>
        <w:tab w:val="right" w:leader="dot" w:pos="9356"/>
      </w:tabs>
      <w:spacing w:before="120" w:after="0" w:line="240" w:lineRule="auto"/>
      <w:ind w:right="572"/>
    </w:pPr>
    <w:rPr>
      <w:rFonts w:ascii="Arial" w:eastAsia="Times New Roman" w:hAnsi="Arial" w:cs="Times New Roman"/>
      <w:b/>
      <w:noProof/>
      <w:szCs w:val="20"/>
    </w:rPr>
  </w:style>
  <w:style w:type="paragraph" w:styleId="Verzeichnis2">
    <w:name w:val="toc 2"/>
    <w:basedOn w:val="Standard"/>
    <w:next w:val="Standard"/>
    <w:semiHidden/>
    <w:rsid w:val="00E53CE1"/>
    <w:pPr>
      <w:tabs>
        <w:tab w:val="right" w:leader="dot" w:pos="9356"/>
      </w:tabs>
      <w:spacing w:after="0" w:line="240" w:lineRule="auto"/>
      <w:ind w:left="426" w:right="572"/>
    </w:pPr>
    <w:rPr>
      <w:rFonts w:ascii="Arial" w:eastAsia="Times New Roman" w:hAnsi="Arial" w:cs="Times New Roman"/>
      <w:noProof/>
      <w:sz w:val="20"/>
      <w:szCs w:val="20"/>
    </w:rPr>
  </w:style>
  <w:style w:type="paragraph" w:styleId="Verzeichnis3">
    <w:name w:val="toc 3"/>
    <w:basedOn w:val="Standard"/>
    <w:next w:val="Standard"/>
    <w:semiHidden/>
    <w:rsid w:val="00E53CE1"/>
    <w:pPr>
      <w:tabs>
        <w:tab w:val="right" w:leader="dot" w:pos="9356"/>
      </w:tabs>
      <w:spacing w:after="0" w:line="240" w:lineRule="auto"/>
      <w:ind w:left="851" w:right="572"/>
    </w:pPr>
    <w:rPr>
      <w:rFonts w:ascii="Arial" w:eastAsia="Times New Roman" w:hAnsi="Arial" w:cs="Times New Roman"/>
      <w:noProof/>
      <w:sz w:val="20"/>
      <w:szCs w:val="20"/>
    </w:rPr>
  </w:style>
  <w:style w:type="paragraph" w:styleId="Verzeichnis4">
    <w:name w:val="toc 4"/>
    <w:basedOn w:val="Standard"/>
    <w:next w:val="Standard"/>
    <w:semiHidden/>
    <w:rsid w:val="00E53CE1"/>
    <w:pPr>
      <w:tabs>
        <w:tab w:val="right" w:leader="dot" w:pos="9356"/>
      </w:tabs>
      <w:spacing w:after="0" w:line="240" w:lineRule="auto"/>
      <w:ind w:left="1276" w:right="572"/>
    </w:pPr>
    <w:rPr>
      <w:rFonts w:ascii="Arial" w:eastAsia="Times New Roman" w:hAnsi="Arial" w:cs="Times New Roman"/>
      <w:noProof/>
      <w:sz w:val="20"/>
      <w:szCs w:val="20"/>
    </w:rPr>
  </w:style>
  <w:style w:type="paragraph" w:styleId="Verzeichnis5">
    <w:name w:val="toc 5"/>
    <w:basedOn w:val="Verzeichnis4"/>
    <w:next w:val="Standard"/>
    <w:semiHidden/>
    <w:rsid w:val="00E53CE1"/>
  </w:style>
  <w:style w:type="paragraph" w:styleId="Verzeichnis6">
    <w:name w:val="toc 6"/>
    <w:basedOn w:val="Verzeichnis4"/>
    <w:next w:val="Standard"/>
    <w:semiHidden/>
    <w:rsid w:val="00E53CE1"/>
  </w:style>
  <w:style w:type="paragraph" w:styleId="Verzeichnis7">
    <w:name w:val="toc 7"/>
    <w:basedOn w:val="Verzeichnis4"/>
    <w:next w:val="Standard"/>
    <w:semiHidden/>
    <w:rsid w:val="00E53CE1"/>
  </w:style>
  <w:style w:type="paragraph" w:styleId="Verzeichnis8">
    <w:name w:val="toc 8"/>
    <w:basedOn w:val="Verzeichnis4"/>
    <w:next w:val="Standard"/>
    <w:semiHidden/>
    <w:rsid w:val="00E53CE1"/>
  </w:style>
  <w:style w:type="paragraph" w:styleId="Verzeichnis9">
    <w:name w:val="toc 9"/>
    <w:basedOn w:val="Verzeichnis4"/>
    <w:next w:val="Standard"/>
    <w:semiHidden/>
    <w:rsid w:val="00E53CE1"/>
  </w:style>
  <w:style w:type="character" w:customStyle="1" w:styleId="berschrift1Zchn">
    <w:name w:val="Überschrift 1 Zchn"/>
    <w:basedOn w:val="Absatz-Standardschriftart"/>
    <w:link w:val="berschrift1"/>
    <w:uiPriority w:val="9"/>
    <w:rsid w:val="00E53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3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3C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3C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3C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3C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3C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3C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3C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2EE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52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1068</Words>
  <Characters>7407</Characters>
  <Application>Microsoft Office Word</Application>
  <DocSecurity>4</DocSecurity>
  <Lines>462</Lines>
  <Paragraphs>325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Schweiz AG, Infrastructure &amp; Cities Sector, Building Technologies Division</Company>
  <LinksUpToDate>false</LinksUpToDate>
  <CharactersWithSpaces>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von Gellhorn</dc:creator>
  <cp:lastModifiedBy>von Gellhorn, Maximilian</cp:lastModifiedBy>
  <cp:revision>2</cp:revision>
  <dcterms:created xsi:type="dcterms:W3CDTF">2013-02-20T08:56:00Z</dcterms:created>
  <dcterms:modified xsi:type="dcterms:W3CDTF">2013-02-20T08:56:00Z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maximilian.von_gellhorn@siemens.com</vt:lpwstr>
  </property>
  <property fmtid="{D5CDD505-2E9C-101B-9397-08002B2CF9AE}" pid="3" name="Status">
    <vt:lpwstr>Draft</vt:lpwstr>
  </property>
  <property fmtid="{D5CDD505-2E9C-101B-9397-08002B2CF9AE}" pid="4" name="Product">
    <vt:lpwstr/>
  </property>
  <property fmtid="{D5CDD505-2E9C-101B-9397-08002B2CF9AE}" pid="5" name="Project">
    <vt:lpwstr/>
  </property>
  <property fmtid="{D5CDD505-2E9C-101B-9397-08002B2CF9AE}" pid="6" name="wbPID">
    <vt:lpwstr/>
  </property>
  <property fmtid="{D5CDD505-2E9C-101B-9397-08002B2CF9AE}" pid="7" name="wbDocCategory">
    <vt:lpwstr>ProjectRecord</vt:lpwstr>
  </property>
  <property fmtid="{D5CDD505-2E9C-101B-9397-08002B2CF9AE}" pid="8" name="wbDocType">
    <vt:lpwstr/>
  </property>
  <property fmtid="{D5CDD505-2E9C-101B-9397-08002B2CF9AE}" pid="9" name="wbDocGroup">
    <vt:lpwstr/>
  </property>
  <property fmtid="{D5CDD505-2E9C-101B-9397-08002B2CF9AE}" pid="10" name="wbDocCode">
    <vt:lpwstr/>
  </property>
  <property fmtid="{D5CDD505-2E9C-101B-9397-08002B2CF9AE}" pid="11" name="wbLanguage">
    <vt:lpwstr>EN</vt:lpwstr>
  </property>
  <property fmtid="{D5CDD505-2E9C-101B-9397-08002B2CF9AE}" pid="12" name="wbRevision">
    <vt:lpwstr>0.1</vt:lpwstr>
  </property>
  <property fmtid="{D5CDD505-2E9C-101B-9397-08002B2CF9AE}" pid="13" name="wbRevisionDate">
    <vt:lpwstr>2013-02-18</vt:lpwstr>
  </property>
  <property fmtid="{D5CDD505-2E9C-101B-9397-08002B2CF9AE}" pid="14" name="wbEffectiveDate">
    <vt:lpwstr>2013-02-18</vt:lpwstr>
  </property>
  <property fmtid="{D5CDD505-2E9C-101B-9397-08002B2CF9AE}" pid="15" name="wbExpirationDate">
    <vt:lpwstr/>
  </property>
  <property fmtid="{D5CDD505-2E9C-101B-9397-08002B2CF9AE}" pid="16" name="wbRevBy">
    <vt:lpwstr>Maximilian von Gellhorn</vt:lpwstr>
  </property>
  <property fmtid="{D5CDD505-2E9C-101B-9397-08002B2CF9AE}" pid="17" name="wbRevText">
    <vt:lpwstr>Initial Creation</vt:lpwstr>
  </property>
  <property fmtid="{D5CDD505-2E9C-101B-9397-08002B2CF9AE}" pid="18" name="wbBaseline">
    <vt:lpwstr/>
  </property>
  <property fmtid="{D5CDD505-2E9C-101B-9397-08002B2CF9AE}" pid="19" name="wbStatusID">
    <vt:lpwstr>Working</vt:lpwstr>
  </property>
  <property fmtid="{D5CDD505-2E9C-101B-9397-08002B2CF9AE}" pid="20" name="wbStatus">
    <vt:lpwstr>Working</vt:lpwstr>
  </property>
  <property fmtid="{D5CDD505-2E9C-101B-9397-08002B2CF9AE}" pid="21" name="wbClassID">
    <vt:lpwstr>Internal</vt:lpwstr>
  </property>
  <property fmtid="{D5CDD505-2E9C-101B-9397-08002B2CF9AE}" pid="22" name="wbClass">
    <vt:lpwstr>Restricted</vt:lpwstr>
  </property>
  <property fmtid="{D5CDD505-2E9C-101B-9397-08002B2CF9AE}" pid="23" name="wbAuthor">
    <vt:lpwstr>Maximilian von Gellhorn</vt:lpwstr>
  </property>
  <property fmtid="{D5CDD505-2E9C-101B-9397-08002B2CF9AE}" pid="24" name="wbDepartment">
    <vt:lpwstr>R&amp;D ZG CS SAP</vt:lpwstr>
  </property>
  <property fmtid="{D5CDD505-2E9C-101B-9397-08002B2CF9AE}" pid="25" name="wbCoAuthor">
    <vt:lpwstr/>
  </property>
  <property fmtid="{D5CDD505-2E9C-101B-9397-08002B2CF9AE}" pid="26" name="wbResponsible">
    <vt:lpwstr>maximilian.von_gellhorn@siemens.com</vt:lpwstr>
  </property>
  <property fmtid="{D5CDD505-2E9C-101B-9397-08002B2CF9AE}" pid="27" name="wbDMS">
    <vt:lpwstr>Local</vt:lpwstr>
  </property>
  <property fmtid="{D5CDD505-2E9C-101B-9397-08002B2CF9AE}" pid="28" name="wbRevDMS">
    <vt:lpwstr/>
  </property>
  <property fmtid="{D5CDD505-2E9C-101B-9397-08002B2CF9AE}" pid="29" name="wbCompany">
    <vt:lpwstr>Siemens Schweiz AG, Infrastructure &amp; Cities Sector, Building Technologies Division</vt:lpwstr>
  </property>
  <property fmtid="{D5CDD505-2E9C-101B-9397-08002B2CF9AE}" pid="30" name="wbOrgUnit">
    <vt:lpwstr>Control Products and Systems</vt:lpwstr>
  </property>
  <property fmtid="{D5CDD505-2E9C-101B-9397-08002B2CF9AE}" pid="31" name="wbCopyright">
    <vt:lpwstr>Siemens Schweiz AG</vt:lpwstr>
  </property>
  <property fmtid="{D5CDD505-2E9C-101B-9397-08002B2CF9AE}" pid="32" name="wbValidOrg">
    <vt:lpwstr/>
  </property>
  <property fmtid="{D5CDD505-2E9C-101B-9397-08002B2CF9AE}" pid="33" name="wbValidLocation">
    <vt:lpwstr/>
  </property>
  <property fmtid="{D5CDD505-2E9C-101B-9397-08002B2CF9AE}" pid="34" name="wbLabel1">
    <vt:lpwstr/>
  </property>
  <property fmtid="{D5CDD505-2E9C-101B-9397-08002B2CF9AE}" pid="35" name="wbCustom1">
    <vt:lpwstr/>
  </property>
  <property fmtid="{D5CDD505-2E9C-101B-9397-08002B2CF9AE}" pid="36" name="wbLabel2">
    <vt:lpwstr/>
  </property>
  <property fmtid="{D5CDD505-2E9C-101B-9397-08002B2CF9AE}" pid="37" name="wbCustom2">
    <vt:lpwstr/>
  </property>
  <property fmtid="{D5CDD505-2E9C-101B-9397-08002B2CF9AE}" pid="38" name="wbLabel3">
    <vt:lpwstr/>
  </property>
  <property fmtid="{D5CDD505-2E9C-101B-9397-08002B2CF9AE}" pid="39" name="wbCustom3">
    <vt:lpwstr/>
  </property>
  <property fmtid="{D5CDD505-2E9C-101B-9397-08002B2CF9AE}" pid="40" name="wbLabel4">
    <vt:lpwstr/>
  </property>
  <property fmtid="{D5CDD505-2E9C-101B-9397-08002B2CF9AE}" pid="41" name="wbCustom4">
    <vt:lpwstr/>
  </property>
  <property fmtid="{D5CDD505-2E9C-101B-9397-08002B2CF9AE}" pid="42" name="wbLabel5">
    <vt:lpwstr/>
  </property>
  <property fmtid="{D5CDD505-2E9C-101B-9397-08002B2CF9AE}" pid="43" name="wbCustom5">
    <vt:lpwstr/>
  </property>
  <property fmtid="{D5CDD505-2E9C-101B-9397-08002B2CF9AE}" pid="44" name="wbLabel6">
    <vt:lpwstr/>
  </property>
  <property fmtid="{D5CDD505-2E9C-101B-9397-08002B2CF9AE}" pid="45" name="wbCustom6">
    <vt:lpwstr/>
  </property>
  <property fmtid="{D5CDD505-2E9C-101B-9397-08002B2CF9AE}" pid="46" name="wbLabel7">
    <vt:lpwstr/>
  </property>
  <property fmtid="{D5CDD505-2E9C-101B-9397-08002B2CF9AE}" pid="47" name="wbCustom7">
    <vt:lpwstr/>
  </property>
  <property fmtid="{D5CDD505-2E9C-101B-9397-08002B2CF9AE}" pid="48" name="wbLabel8">
    <vt:lpwstr/>
  </property>
  <property fmtid="{D5CDD505-2E9C-101B-9397-08002B2CF9AE}" pid="49" name="wbCustom8">
    <vt:lpwstr/>
  </property>
  <property fmtid="{D5CDD505-2E9C-101B-9397-08002B2CF9AE}" pid="50" name="wbTemplate">
    <vt:lpwstr/>
  </property>
  <property fmtid="{D5CDD505-2E9C-101B-9397-08002B2CF9AE}" pid="51" name="wbShowInfo">
    <vt:lpwstr>-PRJ;+PRD;+DMS;+TYP;+DNR;+REV;+RDAT;-EDAT;+STAT;+AUT;+COAU;+RESP;+COMP;-COPY;+CLASS;-V1;-V2;-V3;-V4;-V5;-V6;-V7;-V8;+TPL</vt:lpwstr>
  </property>
  <property fmtid="{D5CDD505-2E9C-101B-9397-08002B2CF9AE}" pid="52" name="wbInit">
    <vt:lpwstr/>
  </property>
  <property fmtid="{D5CDD505-2E9C-101B-9397-08002B2CF9AE}" pid="53" name="wbDocAttr">
    <vt:lpwstr/>
  </property>
  <property fmtid="{D5CDD505-2E9C-101B-9397-08002B2CF9AE}" pid="54" name="wbStyle">
    <vt:lpwstr/>
  </property>
  <property fmtid="{D5CDD505-2E9C-101B-9397-08002B2CF9AE}" pid="55" name="wbSchema">
    <vt:lpwstr>.</vt:lpwstr>
  </property>
  <property fmtid="{D5CDD505-2E9C-101B-9397-08002B2CF9AE}" pid="56" name="wbApplInfo">
    <vt:lpwstr>Microsoft Word, 12.0, 1031</vt:lpwstr>
  </property>
  <property fmtid="{D5CDD505-2E9C-101B-9397-08002B2CF9AE}" pid="57" name="wbDocUpdate">
    <vt:lpwstr>1;Updated</vt:lpwstr>
  </property>
</Properties>
</file>