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┌─ &lt;file&gt; tasks/007_style_quality_precommit.md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# 007 — Style &amp; Quality Rig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##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Код стайл разнится, ruff/black не в CI, нет pre-commit.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## Goals / Acceptance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- `pyproject.toml` включает `[tool.ruff]`, `[tool.black]`.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- Pre-commit hook: ruff check + ruff format + black.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- CI fails при lint-ошибке.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## LAM prompt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«Отслеживай метрику ‘code churn vs. lint errors’, предлагай авто-фиксы».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## Codex prompt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1. Добавь `.pre-commit-config.yaml` с ruff/black/isort.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2. В README раздел «Dev Setup».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3. Правь существующие файлы (`ruff --fix`).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## Operator prompt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- `pre-commit install &amp;&amp; pre-commit run --all-files`.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- Push → CI должен быть зелёным.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∴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└─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_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