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B981"/>
          <w:sz w:val="18"/>
        </w:rPr>
        <w:t>DIGITAL BUSINESS TRANSFORMATION STRATEGIES (DBTS) — PILOT SPECIFICATION</w:t>
        <w:br/>
      </w:r>
      <w:r>
        <w:rPr>
          <w:b/>
          <w:color w:val="0B1914"/>
          <w:sz w:val="48"/>
        </w:rPr>
        <w:t>The Complete Guide to the Agri-Carbon Platform</w:t>
        <w:br/>
      </w:r>
      <w:r>
        <w:rPr>
          <w:i/>
          <w:color w:val="64748B"/>
          <w:sz w:val="24"/>
        </w:rPr>
        <w:t>A Plain-English Master Architecture &amp; Operations Guide for Kharif 2025</w:t>
      </w:r>
    </w:p>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Pr>
          <w:p>
            <w:r>
              <w:rPr>
                <w:b/>
                <w:color w:val="047857"/>
                <w:sz w:val="22"/>
              </w:rPr>
              <w:t>Executive Overview:</w:t>
              <w:br/>
            </w:r>
            <w:r>
              <w:rPr>
                <w:sz w:val="21"/>
              </w:rPr>
              <w:t>The Agri-Carbon Platform solves the North Indian paddy stubble burning crisis by mobilizing smallholder farmers, converting 3,125 tonnes of crop residue into 875 tonnes of high-durability Biochar using 25 mobile pyrolytic kilns, generating 2,188 certified Puro.earth carbon credits (CORCs), and disbursing ₹1.138 Crore directly to 500 farmers (₹9,100/acre) while achieving a profitable 33.5% platform operating margin.</w:t>
            </w:r>
          </w:p>
        </w:tc>
      </w:tr>
    </w:tbl>
    <w:p/>
    <w:p>
      <w:pPr>
        <w:pStyle w:val="Heading1"/>
      </w:pPr>
      <w:r>
        <w:t>1. The Problem &amp; The Solution</w:t>
      </w:r>
    </w:p>
    <w:p>
      <w:pPr>
        <w:pStyle w:val="Heading2"/>
      </w:pPr>
      <w:r>
        <w:t>The Stubble Burning Crisis</w:t>
      </w:r>
    </w:p>
    <w:p>
      <w:r>
        <w:t>Every year in October and November across Punjab and Haryana, farmers harvest their paddy (rice) crops. Because there is an extremely tight 15-day window before sowing wheat, farmers traditionally set fire to the leftover rice straw in open fields. This practice releases severe air pollution (smog that chokes Delhi and North India), emits millions of tonnes of greenhouse gases, and severely degrades agricultural soil fertility.</w:t>
      </w:r>
    </w:p>
    <w:p>
      <w:pPr>
        <w:pStyle w:val="Heading2"/>
      </w:pPr>
      <w:r>
        <w:t>The Green Alternative: Mobile Pyrolysis to Biochar</w:t>
      </w:r>
    </w:p>
    <w:p>
      <w:r>
        <w:t>Instead of burning straw in fields, our platform creates a profitable circular economy:</w:t>
        <w:br/>
        <w:t>1. Village coordinators collect crop residue directly from farmers.</w:t>
        <w:br/>
        <w:t>2. Low-cost, mobile 'Kon-Tiki Flame-Curtain Kilns' convert the straw into high-durability Biochar at 600°C+.</w:t>
        <w:br/>
        <w:t>3. The biochar is quenched with water and applied back to the farmers' soil as an organic soil conditioner.</w:t>
        <w:br/>
        <w:t>4. The permanent carbon storage is verified using satellite imagery and laboratory tests.</w:t>
        <w:br/>
        <w:t>5. Global corporations purchase the certified carbon credits (CORCs), funding direct cash transfers to farmers.</w:t>
      </w:r>
    </w:p>
    <w:p>
      <w:pPr>
        <w:pStyle w:val="Heading1"/>
      </w:pPr>
      <w:r>
        <w:t>2. The 5-Step Value Chain (Chronological Order)</w:t>
      </w:r>
    </w:p>
    <w:p>
      <w:r>
        <w:t>The entire platform connects 5 synchronized stages to take raw straw in rural Punjab and convert it into verified corporate carbon removal assets:</w:t>
      </w:r>
    </w:p>
    <w:p>
      <w:r>
        <w:rPr>
          <w:b/>
          <w:color w:val="047857"/>
        </w:rPr>
        <w:t xml:space="preserve">• Step 1: Farmer Onboarding &amp; Land Mapping (Farmer App): </w:t>
      </w:r>
      <w:r>
        <w:t>Farmers enroll their plots (average 2.5 acres). The interactive map scales an SVG polygon of their farm and calculates: stubble collection potential (2.5 tonnes/acre), biochar return (0.7 tonnes/acre), and guaranteed cash transfer (₹9,100/acre).</w:t>
      </w:r>
    </w:p>
    <w:p>
      <w:r>
        <w:rPr>
          <w:b/>
          <w:color w:val="047857"/>
        </w:rPr>
        <w:t xml:space="preserve">• Step 2: Biomass Intake &amp; Mobile Pyrolysis (Field Operator App): </w:t>
      </w:r>
      <w:r>
        <w:t>Village coordinators weigh the straw at the farm gate, load it into 25 village-level kilns, monitor the 600°C+ thermal curve, log the 150L water quench to freeze the carbon structure, and attach tamper-evident QR code sample tags.</w:t>
      </w:r>
    </w:p>
    <w:p>
      <w:r>
        <w:rPr>
          <w:b/>
          <w:color w:val="047857"/>
        </w:rPr>
        <w:t xml:space="preserve">• Step 3: Laboratory &amp; Satellite Verification (Verification Console): </w:t>
      </w:r>
      <w:r>
        <w:t>Eurofins ISO 17025 laboratories test the biochar chemistry to verify that the H:Corg ratio is ≤ 0.40 (European Biochar Certificate Class I). Simultaneously, Sentinel-2 satellites scan the fields from space to prove zero open-field burning occurred. TÜV SÜD audits the batch.</w:t>
      </w:r>
    </w:p>
    <w:p>
      <w:r>
        <w:rPr>
          <w:b/>
          <w:color w:val="047857"/>
        </w:rPr>
        <w:t xml:space="preserve">• Step 4: Registry Tokenization &amp; Corporate Offtake (Buyer Portal): </w:t>
      </w:r>
      <w:r>
        <w:t>Certified batches are minted on international carbon registries (Puro.earth / Verra) as Carbon Dioxide Removal Certificates (CORCs). Corporate sustainability buyers (Microsoft, Google, Shopify, Swiss Re) purchase the credits at €132–€155/tCO2e.</w:t>
      </w:r>
    </w:p>
    <w:p>
      <w:r>
        <w:rPr>
          <w:b/>
          <w:color w:val="047857"/>
        </w:rPr>
        <w:t xml:space="preserve">• Step 5: Direct Payout Disbursement &amp; ESG Settlement (Command Center): </w:t>
      </w:r>
      <w:r>
        <w:t>Revenues from carbon sales are converted into INR and disbursed directly into farmers' Aadhaar-linked bank accounts via the Public Financial Management System (PFMS). Project leadership tracks real-time P&amp;L margins and regional cluster metrics.</w:t>
      </w:r>
    </w:p>
    <w:p/>
    <w:p>
      <w:pPr>
        <w:pStyle w:val="Heading1"/>
      </w:pPr>
      <w:r>
        <w:t>3. The 5 Integrated Applications in the Platform</w:t>
      </w:r>
    </w:p>
    <w:tbl>
      <w:tblPr>
        <w:tblW w:type="auto" w:w="0"/>
        <w:jc w:val="center"/>
        <w:tblLook w:firstColumn="1" w:firstRow="1" w:lastColumn="0" w:lastRow="0" w:noHBand="0" w:noVBand="1" w:val="04A0"/>
      </w:tblPr>
      <w:tblGrid>
        <w:gridCol w:w="3120"/>
        <w:gridCol w:w="3120"/>
        <w:gridCol w:w="3120"/>
      </w:tblGrid>
      <w:tr>
        <w:tc>
          <w:tcPr>
            <w:tcW w:type="dxa" w:w="3120"/>
            <w:shd w:fill="0B1914"/>
            <w:tcMar>
              <w:top w:w="100" w:type="dxa"/>
              <w:bottom w:w="100" w:type="dxa"/>
              <w:left w:w="120" w:type="dxa"/>
              <w:right w:w="120" w:type="dxa"/>
            </w:tcMar>
          </w:tcPr>
          <w:p>
            <w:r>
              <w:rPr>
                <w:b/>
                <w:color w:val="FFFFFF"/>
                <w:sz w:val="19"/>
              </w:rPr>
              <w:t>Application Name</w:t>
            </w:r>
          </w:p>
        </w:tc>
        <w:tc>
          <w:tcPr>
            <w:tcW w:type="dxa" w:w="3120"/>
            <w:shd w:fill="0B1914"/>
            <w:tcMar>
              <w:top w:w="100" w:type="dxa"/>
              <w:bottom w:w="100" w:type="dxa"/>
              <w:left w:w="120" w:type="dxa"/>
              <w:right w:w="120" w:type="dxa"/>
            </w:tcMar>
          </w:tcPr>
          <w:p>
            <w:r>
              <w:rPr>
                <w:b/>
                <w:color w:val="FFFFFF"/>
                <w:sz w:val="19"/>
              </w:rPr>
              <w:t>Primary User</w:t>
            </w:r>
          </w:p>
        </w:tc>
        <w:tc>
          <w:tcPr>
            <w:tcW w:type="dxa" w:w="3120"/>
            <w:shd w:fill="0B1914"/>
            <w:tcMar>
              <w:top w:w="100" w:type="dxa"/>
              <w:bottom w:w="100" w:type="dxa"/>
              <w:left w:w="120" w:type="dxa"/>
              <w:right w:w="120" w:type="dxa"/>
            </w:tcMar>
          </w:tcPr>
          <w:p>
            <w:r>
              <w:rPr>
                <w:b/>
                <w:color w:val="FFFFFF"/>
                <w:sz w:val="19"/>
              </w:rPr>
              <w:t>Core Functionality</w:t>
            </w:r>
          </w:p>
        </w:tc>
      </w:tr>
      <w:tr>
        <w:tc>
          <w:tcPr>
            <w:tcW w:type="dxa" w:w="3120"/>
            <w:tcMar>
              <w:top w:w="80" w:type="dxa"/>
              <w:bottom w:w="80" w:type="dxa"/>
              <w:left w:w="100" w:type="dxa"/>
              <w:right w:w="100" w:type="dxa"/>
            </w:tcMar>
          </w:tcPr>
          <w:p>
            <w:r>
              <w:rPr>
                <w:b/>
                <w:color w:val="047857"/>
                <w:sz w:val="19"/>
              </w:rPr>
              <w:t>1. Command Center (Executive &amp; MRV Operations)</w:t>
            </w:r>
          </w:p>
        </w:tc>
        <w:tc>
          <w:tcPr>
            <w:tcW w:type="dxa" w:w="3120"/>
            <w:tcMar>
              <w:top w:w="80" w:type="dxa"/>
              <w:bottom w:w="80" w:type="dxa"/>
              <w:left w:w="100" w:type="dxa"/>
              <w:right w:w="100" w:type="dxa"/>
            </w:tcMar>
          </w:tcPr>
          <w:p>
            <w:r>
              <w:rPr>
                <w:sz w:val="19"/>
              </w:rPr>
              <w:t>Internal Operations Team, Project Managers &amp; Executives</w:t>
            </w:r>
          </w:p>
        </w:tc>
        <w:tc>
          <w:tcPr>
            <w:tcW w:type="dxa" w:w="3120"/>
            <w:tcMar>
              <w:top w:w="80" w:type="dxa"/>
              <w:bottom w:w="80" w:type="dxa"/>
              <w:left w:w="100" w:type="dxa"/>
              <w:right w:w="100" w:type="dxa"/>
            </w:tcMar>
          </w:tcPr>
          <w:p>
            <w:r>
              <w:rPr>
                <w:sz w:val="19"/>
              </w:rPr>
              <w:t>The single pane of glass providing end-to-end visibility across the 500-farmer database, 25-kiln telemetry network, Sentinel-2 satellite zero-burn monitor, carbon credits ledger, and the Pilot Financial Model &amp; P&amp;L Waterfall chart.</w:t>
            </w:r>
          </w:p>
        </w:tc>
      </w:tr>
      <w:tr>
        <w:tc>
          <w:tcPr>
            <w:tcW w:type="dxa" w:w="3120"/>
            <w:tcMar>
              <w:top w:w="80" w:type="dxa"/>
              <w:bottom w:w="80" w:type="dxa"/>
              <w:left w:w="100" w:type="dxa"/>
              <w:right w:w="100" w:type="dxa"/>
            </w:tcMar>
          </w:tcPr>
          <w:p>
            <w:r>
              <w:rPr>
                <w:b/>
                <w:color w:val="047857"/>
                <w:sz w:val="19"/>
              </w:rPr>
              <w:t>2. Farmer / FPO App (Vernacular Mobile Web)</w:t>
            </w:r>
          </w:p>
        </w:tc>
        <w:tc>
          <w:tcPr>
            <w:tcW w:type="dxa" w:w="3120"/>
            <w:tcMar>
              <w:top w:w="80" w:type="dxa"/>
              <w:bottom w:w="80" w:type="dxa"/>
              <w:left w:w="100" w:type="dxa"/>
              <w:right w:w="100" w:type="dxa"/>
            </w:tcMar>
          </w:tcPr>
          <w:p>
            <w:r>
              <w:rPr>
                <w:sz w:val="19"/>
              </w:rPr>
              <w:t>Smallholder Farmers &amp; FPO Village Leaders</w:t>
            </w:r>
          </w:p>
        </w:tc>
        <w:tc>
          <w:tcPr>
            <w:tcW w:type="dxa" w:w="3120"/>
            <w:tcMar>
              <w:top w:w="80" w:type="dxa"/>
              <w:bottom w:w="80" w:type="dxa"/>
              <w:left w:w="100" w:type="dxa"/>
              <w:right w:w="100" w:type="dxa"/>
            </w:tcMar>
          </w:tcPr>
          <w:p>
            <w:r>
              <w:rPr>
                <w:sz w:val="19"/>
              </w:rPr>
              <w:t>Mobile-first app localized in English, Hindi (हिंदी), and Punjabi (ਪੰਜਾਬੀ). Features an interactive land calculator, mobile kiln arrival schedule, biochar soil fertility tracker, and PFMS bank payout tracking.</w:t>
            </w:r>
          </w:p>
        </w:tc>
      </w:tr>
      <w:tr>
        <w:tc>
          <w:tcPr>
            <w:tcW w:type="dxa" w:w="3120"/>
            <w:tcMar>
              <w:top w:w="80" w:type="dxa"/>
              <w:bottom w:w="80" w:type="dxa"/>
              <w:left w:w="100" w:type="dxa"/>
              <w:right w:w="100" w:type="dxa"/>
            </w:tcMar>
          </w:tcPr>
          <w:p>
            <w:r>
              <w:rPr>
                <w:b/>
                <w:color w:val="047857"/>
                <w:sz w:val="19"/>
              </w:rPr>
              <w:t>3. Field Operator App (Village Coordinator Tool)</w:t>
            </w:r>
          </w:p>
        </w:tc>
        <w:tc>
          <w:tcPr>
            <w:tcW w:type="dxa" w:w="3120"/>
            <w:tcMar>
              <w:top w:w="80" w:type="dxa"/>
              <w:bottom w:w="80" w:type="dxa"/>
              <w:left w:w="100" w:type="dxa"/>
              <w:right w:w="100" w:type="dxa"/>
            </w:tcMar>
          </w:tcPr>
          <w:p>
            <w:r>
              <w:rPr>
                <w:sz w:val="19"/>
              </w:rPr>
              <w:t>Village-Level Pyrolysis Coordinators</w:t>
            </w:r>
          </w:p>
        </w:tc>
        <w:tc>
          <w:tcPr>
            <w:tcW w:type="dxa" w:w="3120"/>
            <w:tcMar>
              <w:top w:w="80" w:type="dxa"/>
              <w:bottom w:w="80" w:type="dxa"/>
              <w:left w:w="100" w:type="dxa"/>
              <w:right w:w="100" w:type="dxa"/>
            </w:tcMar>
          </w:tcPr>
          <w:p>
            <w:r>
              <w:rPr>
                <w:sz w:val="19"/>
              </w:rPr>
              <w:t>Rugged mobile tool for logging farmer straw weight, monitoring live thermocouple heat telemetry (600°C+), logging the water quench (150L), and scanning tamper-evident QR sample tags with GPS timestamping.</w:t>
            </w:r>
          </w:p>
        </w:tc>
      </w:tr>
      <w:tr>
        <w:tc>
          <w:tcPr>
            <w:tcW w:type="dxa" w:w="3120"/>
            <w:tcMar>
              <w:top w:w="80" w:type="dxa"/>
              <w:bottom w:w="80" w:type="dxa"/>
              <w:left w:w="100" w:type="dxa"/>
              <w:right w:w="100" w:type="dxa"/>
            </w:tcMar>
          </w:tcPr>
          <w:p>
            <w:r>
              <w:rPr>
                <w:b/>
                <w:color w:val="047857"/>
                <w:sz w:val="19"/>
              </w:rPr>
              <w:t>4. Buyer Portal (Corporate Carbon Marketplace)</w:t>
            </w:r>
          </w:p>
        </w:tc>
        <w:tc>
          <w:tcPr>
            <w:tcW w:type="dxa" w:w="3120"/>
            <w:tcMar>
              <w:top w:w="80" w:type="dxa"/>
              <w:bottom w:w="80" w:type="dxa"/>
              <w:left w:w="100" w:type="dxa"/>
              <w:right w:w="100" w:type="dxa"/>
            </w:tcMar>
          </w:tcPr>
          <w:p>
            <w:r>
              <w:rPr>
                <w:sz w:val="19"/>
              </w:rPr>
              <w:t>Corporate ESG Buyers (Microsoft, Google, Shopify, Swiss Re)</w:t>
            </w:r>
          </w:p>
        </w:tc>
        <w:tc>
          <w:tcPr>
            <w:tcW w:type="dxa" w:w="3120"/>
            <w:tcMar>
              <w:top w:w="80" w:type="dxa"/>
              <w:bottom w:w="80" w:type="dxa"/>
              <w:left w:w="100" w:type="dxa"/>
              <w:right w:w="100" w:type="dxa"/>
            </w:tcMar>
          </w:tcPr>
          <w:p>
            <w:r>
              <w:rPr>
                <w:sz w:val="19"/>
              </w:rPr>
              <w:t>Corporate dashboard allowing buyers to manage their carbon offtake portfolios, view downloadable Carbon Removal Certificates, inspect the 5-step dMRV digital chain of custody, and export CSRD / ESRS E1-7 compliance reports.</w:t>
            </w:r>
          </w:p>
        </w:tc>
      </w:tr>
      <w:tr>
        <w:tc>
          <w:tcPr>
            <w:tcW w:type="dxa" w:w="3120"/>
            <w:tcMar>
              <w:top w:w="80" w:type="dxa"/>
              <w:bottom w:w="80" w:type="dxa"/>
              <w:left w:w="100" w:type="dxa"/>
              <w:right w:w="100" w:type="dxa"/>
            </w:tcMar>
          </w:tcPr>
          <w:p>
            <w:r>
              <w:rPr>
                <w:b/>
                <w:color w:val="047857"/>
                <w:sz w:val="19"/>
              </w:rPr>
              <w:t>5. Verification Console (Independent Auditor Portal)</w:t>
            </w:r>
          </w:p>
        </w:tc>
        <w:tc>
          <w:tcPr>
            <w:tcW w:type="dxa" w:w="3120"/>
            <w:tcMar>
              <w:top w:w="80" w:type="dxa"/>
              <w:bottom w:w="80" w:type="dxa"/>
              <w:left w:w="100" w:type="dxa"/>
              <w:right w:w="100" w:type="dxa"/>
            </w:tcMar>
          </w:tcPr>
          <w:p>
            <w:r>
              <w:rPr>
                <w:sz w:val="19"/>
              </w:rPr>
              <w:t>Third-Party Auditors (TÜV SÜD) &amp; Compliance Officers</w:t>
            </w:r>
          </w:p>
        </w:tc>
        <w:tc>
          <w:tcPr>
            <w:tcW w:type="dxa" w:w="3120"/>
            <w:tcMar>
              <w:top w:w="80" w:type="dxa"/>
              <w:bottom w:w="80" w:type="dxa"/>
              <w:left w:w="100" w:type="dxa"/>
              <w:right w:w="100" w:type="dxa"/>
            </w:tcMar>
          </w:tcPr>
          <w:p>
            <w:r>
              <w:rPr>
                <w:sz w:val="19"/>
              </w:rPr>
              <w:t>Data-dense verification portal featuring the 625-batch immutable test ledger with multi-page pagination, live Eurofins LIMS laboratory chemistry feed, Sentinel-2 3-state plot compliance queue, and 1-click VVB audit ZIP export.</w:t>
            </w:r>
          </w:p>
        </w:tc>
      </w:tr>
    </w:tbl>
    <w:p/>
    <w:p>
      <w:pPr>
        <w:pStyle w:val="Heading1"/>
      </w:pPr>
      <w:r>
        <w:t>4. Agronomic &amp; Mathematical Formulas Explained</w:t>
      </w:r>
    </w:p>
    <w:p>
      <w:r>
        <w:t>All numbers across the platform reconcile to the single source of truth for the Kharif 2025 pilot:</w:t>
      </w:r>
    </w:p>
    <w:tbl>
      <w:tblPr>
        <w:tblW w:type="auto" w:w="0"/>
        <w:jc w:val="center"/>
        <w:tblLook w:firstColumn="1" w:firstRow="1" w:lastColumn="0" w:lastRow="0" w:noHBand="0" w:noVBand="1" w:val="04A0"/>
      </w:tblPr>
      <w:tblGrid>
        <w:gridCol w:w="3120"/>
        <w:gridCol w:w="3120"/>
        <w:gridCol w:w="3120"/>
      </w:tblGrid>
      <w:tr>
        <w:tc>
          <w:tcPr>
            <w:tcW w:type="dxa" w:w="3120"/>
            <w:shd w:fill="0B1914"/>
            <w:tcMar>
              <w:top w:w="100" w:type="dxa"/>
              <w:bottom w:w="100" w:type="dxa"/>
              <w:left w:w="120" w:type="dxa"/>
              <w:right w:w="120" w:type="dxa"/>
            </w:tcMar>
          </w:tcPr>
          <w:p>
            <w:r>
              <w:rPr>
                <w:b/>
                <w:color w:val="FFFFFF"/>
                <w:sz w:val="19"/>
              </w:rPr>
              <w:t>Pilot Parameter</w:t>
            </w:r>
          </w:p>
        </w:tc>
        <w:tc>
          <w:tcPr>
            <w:tcW w:type="dxa" w:w="3120"/>
            <w:shd w:fill="0B1914"/>
            <w:tcMar>
              <w:top w:w="100" w:type="dxa"/>
              <w:bottom w:w="100" w:type="dxa"/>
              <w:left w:w="120" w:type="dxa"/>
              <w:right w:w="120" w:type="dxa"/>
            </w:tcMar>
          </w:tcPr>
          <w:p>
            <w:r>
              <w:rPr>
                <w:b/>
                <w:color w:val="FFFFFF"/>
                <w:sz w:val="19"/>
              </w:rPr>
              <w:t>Value</w:t>
            </w:r>
          </w:p>
        </w:tc>
        <w:tc>
          <w:tcPr>
            <w:tcW w:type="dxa" w:w="3120"/>
            <w:shd w:fill="0B1914"/>
            <w:tcMar>
              <w:top w:w="100" w:type="dxa"/>
              <w:bottom w:w="100" w:type="dxa"/>
              <w:left w:w="120" w:type="dxa"/>
              <w:right w:w="120" w:type="dxa"/>
            </w:tcMar>
          </w:tcPr>
          <w:p>
            <w:r>
              <w:rPr>
                <w:b/>
                <w:color w:val="FFFFFF"/>
                <w:sz w:val="19"/>
              </w:rPr>
              <w:t>Formula / Explanation</w:t>
            </w:r>
          </w:p>
        </w:tc>
      </w:tr>
      <w:tr>
        <w:tc>
          <w:tcPr>
            <w:tcW w:type="dxa" w:w="3120"/>
            <w:tcMar>
              <w:top w:w="80" w:type="dxa"/>
              <w:bottom w:w="80" w:type="dxa"/>
              <w:left w:w="100" w:type="dxa"/>
              <w:right w:w="100" w:type="dxa"/>
            </w:tcMar>
          </w:tcPr>
          <w:p>
            <w:r>
              <w:rPr>
                <w:b/>
                <w:sz w:val="19"/>
              </w:rPr>
              <w:t>Enrolled Farmers</w:t>
            </w:r>
          </w:p>
        </w:tc>
        <w:tc>
          <w:tcPr>
            <w:tcW w:type="dxa" w:w="3120"/>
            <w:tcMar>
              <w:top w:w="80" w:type="dxa"/>
              <w:bottom w:w="80" w:type="dxa"/>
              <w:left w:w="100" w:type="dxa"/>
              <w:right w:w="100" w:type="dxa"/>
            </w:tcMar>
          </w:tcPr>
          <w:p>
            <w:r>
              <w:rPr>
                <w:b/>
                <w:color w:val="047857"/>
                <w:sz w:val="19"/>
              </w:rPr>
              <w:t>500 Farmers</w:t>
            </w:r>
          </w:p>
        </w:tc>
        <w:tc>
          <w:tcPr>
            <w:tcW w:type="dxa" w:w="3120"/>
            <w:tcMar>
              <w:top w:w="80" w:type="dxa"/>
              <w:bottom w:w="80" w:type="dxa"/>
              <w:left w:w="100" w:type="dxa"/>
              <w:right w:w="100" w:type="dxa"/>
            </w:tcMar>
          </w:tcPr>
          <w:p>
            <w:r>
              <w:rPr>
                <w:sz w:val="19"/>
              </w:rPr>
              <w:t>100 farmers in each of the 5 regional hubs (Sangrur, Ludhiana, Karnal, Patiala, Kaithal).</w:t>
            </w:r>
          </w:p>
        </w:tc>
      </w:tr>
      <w:tr>
        <w:tc>
          <w:tcPr>
            <w:tcW w:type="dxa" w:w="3120"/>
            <w:tcMar>
              <w:top w:w="80" w:type="dxa"/>
              <w:bottom w:w="80" w:type="dxa"/>
              <w:left w:w="100" w:type="dxa"/>
              <w:right w:w="100" w:type="dxa"/>
            </w:tcMar>
          </w:tcPr>
          <w:p>
            <w:r>
              <w:rPr>
                <w:b/>
                <w:sz w:val="19"/>
              </w:rPr>
              <w:t>Total Enrolled Land</w:t>
            </w:r>
          </w:p>
        </w:tc>
        <w:tc>
          <w:tcPr>
            <w:tcW w:type="dxa" w:w="3120"/>
            <w:tcMar>
              <w:top w:w="80" w:type="dxa"/>
              <w:bottom w:w="80" w:type="dxa"/>
              <w:left w:w="100" w:type="dxa"/>
              <w:right w:w="100" w:type="dxa"/>
            </w:tcMar>
          </w:tcPr>
          <w:p>
            <w:r>
              <w:rPr>
                <w:b/>
                <w:color w:val="047857"/>
                <w:sz w:val="19"/>
              </w:rPr>
              <w:t>1,250 Acres</w:t>
            </w:r>
          </w:p>
        </w:tc>
        <w:tc>
          <w:tcPr>
            <w:tcW w:type="dxa" w:w="3120"/>
            <w:tcMar>
              <w:top w:w="80" w:type="dxa"/>
              <w:bottom w:w="80" w:type="dxa"/>
              <w:left w:w="100" w:type="dxa"/>
              <w:right w:w="100" w:type="dxa"/>
            </w:tcMar>
          </w:tcPr>
          <w:p>
            <w:r>
              <w:rPr>
                <w:sz w:val="19"/>
              </w:rPr>
              <w:t>500 farmers × 2.5 acres average landholding = 1,250 acres total.</w:t>
            </w:r>
          </w:p>
        </w:tc>
      </w:tr>
      <w:tr>
        <w:tc>
          <w:tcPr>
            <w:tcW w:type="dxa" w:w="3120"/>
            <w:tcMar>
              <w:top w:w="80" w:type="dxa"/>
              <w:bottom w:w="80" w:type="dxa"/>
              <w:left w:w="100" w:type="dxa"/>
              <w:right w:w="100" w:type="dxa"/>
            </w:tcMar>
          </w:tcPr>
          <w:p>
            <w:r>
              <w:rPr>
                <w:b/>
                <w:sz w:val="19"/>
              </w:rPr>
              <w:t>Biomass Collected</w:t>
            </w:r>
          </w:p>
        </w:tc>
        <w:tc>
          <w:tcPr>
            <w:tcW w:type="dxa" w:w="3120"/>
            <w:tcMar>
              <w:top w:w="80" w:type="dxa"/>
              <w:bottom w:w="80" w:type="dxa"/>
              <w:left w:w="100" w:type="dxa"/>
              <w:right w:w="100" w:type="dxa"/>
            </w:tcMar>
          </w:tcPr>
          <w:p>
            <w:r>
              <w:rPr>
                <w:b/>
                <w:color w:val="047857"/>
                <w:sz w:val="19"/>
              </w:rPr>
              <w:t>3,125 Tonnes</w:t>
            </w:r>
          </w:p>
        </w:tc>
        <w:tc>
          <w:tcPr>
            <w:tcW w:type="dxa" w:w="3120"/>
            <w:tcMar>
              <w:top w:w="80" w:type="dxa"/>
              <w:bottom w:w="80" w:type="dxa"/>
              <w:left w:w="100" w:type="dxa"/>
              <w:right w:w="100" w:type="dxa"/>
            </w:tcMar>
          </w:tcPr>
          <w:p>
            <w:r>
              <w:rPr>
                <w:sz w:val="19"/>
              </w:rPr>
              <w:t>1,250 acres × 2.5 tonnes of paddy straw per acre = 3,125 tonnes.</w:t>
            </w:r>
          </w:p>
        </w:tc>
      </w:tr>
      <w:tr>
        <w:tc>
          <w:tcPr>
            <w:tcW w:type="dxa" w:w="3120"/>
            <w:tcMar>
              <w:top w:w="80" w:type="dxa"/>
              <w:bottom w:w="80" w:type="dxa"/>
              <w:left w:w="100" w:type="dxa"/>
              <w:right w:w="100" w:type="dxa"/>
            </w:tcMar>
          </w:tcPr>
          <w:p>
            <w:r>
              <w:rPr>
                <w:b/>
                <w:sz w:val="19"/>
              </w:rPr>
              <w:t>Biochar Produced</w:t>
            </w:r>
          </w:p>
        </w:tc>
        <w:tc>
          <w:tcPr>
            <w:tcW w:type="dxa" w:w="3120"/>
            <w:tcMar>
              <w:top w:w="80" w:type="dxa"/>
              <w:bottom w:w="80" w:type="dxa"/>
              <w:left w:w="100" w:type="dxa"/>
              <w:right w:w="100" w:type="dxa"/>
            </w:tcMar>
          </w:tcPr>
          <w:p>
            <w:r>
              <w:rPr>
                <w:b/>
                <w:color w:val="047857"/>
                <w:sz w:val="19"/>
              </w:rPr>
              <w:t>875 Tonnes</w:t>
            </w:r>
          </w:p>
        </w:tc>
        <w:tc>
          <w:tcPr>
            <w:tcW w:type="dxa" w:w="3120"/>
            <w:tcMar>
              <w:top w:w="80" w:type="dxa"/>
              <w:bottom w:w="80" w:type="dxa"/>
              <w:left w:w="100" w:type="dxa"/>
              <w:right w:w="100" w:type="dxa"/>
            </w:tcMar>
          </w:tcPr>
          <w:p>
            <w:r>
              <w:rPr>
                <w:sz w:val="19"/>
              </w:rPr>
              <w:t>3,125t straw × 28.0% pyrolytic conversion yield = 875 tonnes biochar.</w:t>
            </w:r>
          </w:p>
        </w:tc>
      </w:tr>
      <w:tr>
        <w:tc>
          <w:tcPr>
            <w:tcW w:type="dxa" w:w="3120"/>
            <w:tcMar>
              <w:top w:w="80" w:type="dxa"/>
              <w:bottom w:w="80" w:type="dxa"/>
              <w:left w:w="100" w:type="dxa"/>
              <w:right w:w="100" w:type="dxa"/>
            </w:tcMar>
          </w:tcPr>
          <w:p>
            <w:r>
              <w:rPr>
                <w:b/>
                <w:sz w:val="19"/>
              </w:rPr>
              <w:t>Biochar Return to Soil</w:t>
            </w:r>
          </w:p>
        </w:tc>
        <w:tc>
          <w:tcPr>
            <w:tcW w:type="dxa" w:w="3120"/>
            <w:tcMar>
              <w:top w:w="80" w:type="dxa"/>
              <w:bottom w:w="80" w:type="dxa"/>
              <w:left w:w="100" w:type="dxa"/>
              <w:right w:w="100" w:type="dxa"/>
            </w:tcMar>
          </w:tcPr>
          <w:p>
            <w:r>
              <w:rPr>
                <w:b/>
                <w:color w:val="047857"/>
                <w:sz w:val="19"/>
              </w:rPr>
              <w:t>0.7 Tonnes / Acre</w:t>
            </w:r>
          </w:p>
        </w:tc>
        <w:tc>
          <w:tcPr>
            <w:tcW w:type="dxa" w:w="3120"/>
            <w:tcMar>
              <w:top w:w="80" w:type="dxa"/>
              <w:bottom w:w="80" w:type="dxa"/>
              <w:left w:w="100" w:type="dxa"/>
              <w:right w:w="100" w:type="dxa"/>
            </w:tcMar>
          </w:tcPr>
          <w:p>
            <w:r>
              <w:rPr>
                <w:sz w:val="19"/>
              </w:rPr>
              <w:t>875t biochar distributed across 1,250 acres = 0.7 t/acre applied to field.</w:t>
            </w:r>
          </w:p>
        </w:tc>
      </w:tr>
      <w:tr>
        <w:tc>
          <w:tcPr>
            <w:tcW w:type="dxa" w:w="3120"/>
            <w:tcMar>
              <w:top w:w="80" w:type="dxa"/>
              <w:bottom w:w="80" w:type="dxa"/>
              <w:left w:w="100" w:type="dxa"/>
              <w:right w:w="100" w:type="dxa"/>
            </w:tcMar>
          </w:tcPr>
          <w:p>
            <w:r>
              <w:rPr>
                <w:b/>
                <w:sz w:val="19"/>
              </w:rPr>
              <w:t>Carbon Credits Issued</w:t>
            </w:r>
          </w:p>
        </w:tc>
        <w:tc>
          <w:tcPr>
            <w:tcW w:type="dxa" w:w="3120"/>
            <w:tcMar>
              <w:top w:w="80" w:type="dxa"/>
              <w:bottom w:w="80" w:type="dxa"/>
              <w:left w:w="100" w:type="dxa"/>
              <w:right w:w="100" w:type="dxa"/>
            </w:tcMar>
          </w:tcPr>
          <w:p>
            <w:r>
              <w:rPr>
                <w:b/>
                <w:color w:val="047857"/>
                <w:sz w:val="19"/>
              </w:rPr>
              <w:t>2,188 CORCs</w:t>
            </w:r>
          </w:p>
        </w:tc>
        <w:tc>
          <w:tcPr>
            <w:tcW w:type="dxa" w:w="3120"/>
            <w:tcMar>
              <w:top w:w="80" w:type="dxa"/>
              <w:bottom w:w="80" w:type="dxa"/>
              <w:left w:w="100" w:type="dxa"/>
              <w:right w:w="100" w:type="dxa"/>
            </w:tcMar>
          </w:tcPr>
          <w:p>
            <w:r>
              <w:rPr>
                <w:sz w:val="19"/>
              </w:rPr>
              <w:t>Exactly 2,188 tonnes of permanent CO2e removed (H:Corg ≤ 0.4, EBC Class I).</w:t>
            </w:r>
          </w:p>
        </w:tc>
      </w:tr>
      <w:tr>
        <w:tc>
          <w:tcPr>
            <w:tcW w:type="dxa" w:w="3120"/>
            <w:tcMar>
              <w:top w:w="80" w:type="dxa"/>
              <w:bottom w:w="80" w:type="dxa"/>
              <w:left w:w="100" w:type="dxa"/>
              <w:right w:w="100" w:type="dxa"/>
            </w:tcMar>
          </w:tcPr>
          <w:p>
            <w:r>
              <w:rPr>
                <w:b/>
                <w:sz w:val="19"/>
              </w:rPr>
              <w:t>Farmer Payout Rate</w:t>
            </w:r>
          </w:p>
        </w:tc>
        <w:tc>
          <w:tcPr>
            <w:tcW w:type="dxa" w:w="3120"/>
            <w:tcMar>
              <w:top w:w="80" w:type="dxa"/>
              <w:bottom w:w="80" w:type="dxa"/>
              <w:left w:w="100" w:type="dxa"/>
              <w:right w:w="100" w:type="dxa"/>
            </w:tcMar>
          </w:tcPr>
          <w:p>
            <w:r>
              <w:rPr>
                <w:b/>
                <w:color w:val="047857"/>
                <w:sz w:val="19"/>
              </w:rPr>
              <w:t>₹9,100 / Acre</w:t>
            </w:r>
          </w:p>
        </w:tc>
        <w:tc>
          <w:tcPr>
            <w:tcW w:type="dxa" w:w="3120"/>
            <w:tcMar>
              <w:top w:w="80" w:type="dxa"/>
              <w:bottom w:w="80" w:type="dxa"/>
              <w:left w:w="100" w:type="dxa"/>
              <w:right w:w="100" w:type="dxa"/>
            </w:tcMar>
          </w:tcPr>
          <w:p>
            <w:r>
              <w:rPr>
                <w:sz w:val="19"/>
              </w:rPr>
              <w:t>Direct cash transfer paid to farmers for clean straw delivery &amp; biochar soil application.</w:t>
            </w:r>
          </w:p>
        </w:tc>
      </w:tr>
      <w:tr>
        <w:tc>
          <w:tcPr>
            <w:tcW w:type="dxa" w:w="3120"/>
            <w:tcMar>
              <w:top w:w="80" w:type="dxa"/>
              <w:bottom w:w="80" w:type="dxa"/>
              <w:left w:w="100" w:type="dxa"/>
              <w:right w:w="100" w:type="dxa"/>
            </w:tcMar>
          </w:tcPr>
          <w:p>
            <w:r>
              <w:rPr>
                <w:b/>
                <w:sz w:val="19"/>
              </w:rPr>
              <w:t>Total Farmer Payout Pool</w:t>
            </w:r>
          </w:p>
        </w:tc>
        <w:tc>
          <w:tcPr>
            <w:tcW w:type="dxa" w:w="3120"/>
            <w:tcMar>
              <w:top w:w="80" w:type="dxa"/>
              <w:bottom w:w="80" w:type="dxa"/>
              <w:left w:w="100" w:type="dxa"/>
              <w:right w:w="100" w:type="dxa"/>
            </w:tcMar>
          </w:tcPr>
          <w:p>
            <w:r>
              <w:rPr>
                <w:b/>
                <w:color w:val="047857"/>
                <w:sz w:val="19"/>
              </w:rPr>
              <w:t>₹1.138 Crore</w:t>
            </w:r>
          </w:p>
        </w:tc>
        <w:tc>
          <w:tcPr>
            <w:tcW w:type="dxa" w:w="3120"/>
            <w:tcMar>
              <w:top w:w="80" w:type="dxa"/>
              <w:bottom w:w="80" w:type="dxa"/>
              <w:left w:w="100" w:type="dxa"/>
              <w:right w:w="100" w:type="dxa"/>
            </w:tcMar>
          </w:tcPr>
          <w:p>
            <w:r>
              <w:rPr>
                <w:sz w:val="19"/>
              </w:rPr>
              <w:t>1,250 acres × ₹9,100/acre = ₹1,13,75,000 disbursed directly via PFMS.</w:t>
            </w:r>
          </w:p>
        </w:tc>
      </w:tr>
      <w:tr>
        <w:tc>
          <w:tcPr>
            <w:tcW w:type="dxa" w:w="3120"/>
            <w:tcMar>
              <w:top w:w="80" w:type="dxa"/>
              <w:bottom w:w="80" w:type="dxa"/>
              <w:left w:w="100" w:type="dxa"/>
              <w:right w:w="100" w:type="dxa"/>
            </w:tcMar>
          </w:tcPr>
          <w:p>
            <w:r>
              <w:rPr>
                <w:b/>
                <w:sz w:val="19"/>
              </w:rPr>
              <w:t>Gross Platform Revenue</w:t>
            </w:r>
          </w:p>
        </w:tc>
        <w:tc>
          <w:tcPr>
            <w:tcW w:type="dxa" w:w="3120"/>
            <w:tcMar>
              <w:top w:w="80" w:type="dxa"/>
              <w:bottom w:w="80" w:type="dxa"/>
              <w:left w:w="100" w:type="dxa"/>
              <w:right w:w="100" w:type="dxa"/>
            </w:tcMar>
          </w:tcPr>
          <w:p>
            <w:r>
              <w:rPr>
                <w:b/>
                <w:color w:val="047857"/>
                <w:sz w:val="19"/>
              </w:rPr>
              <w:t>₹44.75 Lakh</w:t>
            </w:r>
          </w:p>
        </w:tc>
        <w:tc>
          <w:tcPr>
            <w:tcW w:type="dxa" w:w="3120"/>
            <w:tcMar>
              <w:top w:w="80" w:type="dxa"/>
              <w:bottom w:w="80" w:type="dxa"/>
              <w:left w:w="100" w:type="dxa"/>
              <w:right w:w="100" w:type="dxa"/>
            </w:tcMar>
          </w:tcPr>
          <w:p>
            <w:r>
              <w:rPr>
                <w:sz w:val="19"/>
              </w:rPr>
              <w:t>Carbon credit sales margin (€140/t average across 4 corporate buyers).</w:t>
            </w:r>
          </w:p>
        </w:tc>
      </w:tr>
      <w:tr>
        <w:tc>
          <w:tcPr>
            <w:tcW w:type="dxa" w:w="3120"/>
            <w:tcMar>
              <w:top w:w="80" w:type="dxa"/>
              <w:bottom w:w="80" w:type="dxa"/>
              <w:left w:w="100" w:type="dxa"/>
              <w:right w:w="100" w:type="dxa"/>
            </w:tcMar>
          </w:tcPr>
          <w:p>
            <w:r>
              <w:rPr>
                <w:b/>
                <w:sz w:val="19"/>
              </w:rPr>
              <w:t>Pilot Operating Costs</w:t>
            </w:r>
          </w:p>
        </w:tc>
        <w:tc>
          <w:tcPr>
            <w:tcW w:type="dxa" w:w="3120"/>
            <w:tcMar>
              <w:top w:w="80" w:type="dxa"/>
              <w:bottom w:w="80" w:type="dxa"/>
              <w:left w:w="100" w:type="dxa"/>
              <w:right w:w="100" w:type="dxa"/>
            </w:tcMar>
          </w:tcPr>
          <w:p>
            <w:r>
              <w:rPr>
                <w:b/>
                <w:color w:val="047857"/>
                <w:sz w:val="19"/>
              </w:rPr>
              <w:t>₹29.75 Lakh</w:t>
            </w:r>
          </w:p>
        </w:tc>
        <w:tc>
          <w:tcPr>
            <w:tcW w:type="dxa" w:w="3120"/>
            <w:tcMar>
              <w:top w:w="80" w:type="dxa"/>
              <w:bottom w:w="80" w:type="dxa"/>
              <w:left w:w="100" w:type="dxa"/>
              <w:right w:w="100" w:type="dxa"/>
            </w:tcMar>
          </w:tcPr>
          <w:p>
            <w:r>
              <w:rPr>
                <w:sz w:val="19"/>
              </w:rPr>
              <w:t>Field ops (₹8.5L), Kilns (₹7.0L), dMRV (₹5.25L), Lab (₹4.5L), Training (₹2.5L), Overhead (₹2.0L).</w:t>
            </w:r>
          </w:p>
        </w:tc>
      </w:tr>
      <w:tr>
        <w:tc>
          <w:tcPr>
            <w:tcW w:type="dxa" w:w="3120"/>
            <w:tcMar>
              <w:top w:w="80" w:type="dxa"/>
              <w:bottom w:w="80" w:type="dxa"/>
              <w:left w:w="100" w:type="dxa"/>
              <w:right w:w="100" w:type="dxa"/>
            </w:tcMar>
          </w:tcPr>
          <w:p>
            <w:r>
              <w:rPr>
                <w:b/>
                <w:sz w:val="19"/>
              </w:rPr>
              <w:t>Net Platform Margin</w:t>
            </w:r>
          </w:p>
        </w:tc>
        <w:tc>
          <w:tcPr>
            <w:tcW w:type="dxa" w:w="3120"/>
            <w:tcMar>
              <w:top w:w="80" w:type="dxa"/>
              <w:bottom w:w="80" w:type="dxa"/>
              <w:left w:w="100" w:type="dxa"/>
              <w:right w:w="100" w:type="dxa"/>
            </w:tcMar>
          </w:tcPr>
          <w:p>
            <w:r>
              <w:rPr>
                <w:b/>
                <w:color w:val="047857"/>
                <w:sz w:val="19"/>
              </w:rPr>
              <w:t>₹15.00 Lakh</w:t>
            </w:r>
          </w:p>
        </w:tc>
        <w:tc>
          <w:tcPr>
            <w:tcW w:type="dxa" w:w="3120"/>
            <w:tcMar>
              <w:top w:w="80" w:type="dxa"/>
              <w:bottom w:w="80" w:type="dxa"/>
              <w:left w:w="100" w:type="dxa"/>
              <w:right w:w="100" w:type="dxa"/>
            </w:tcMar>
          </w:tcPr>
          <w:p>
            <w:r>
              <w:rPr>
                <w:sz w:val="19"/>
              </w:rPr>
              <w:t>₹44.75L Revenue - ₹29.75L Operating Costs = ₹15.00L Net EBITDA Margin (33.5%).</w:t>
            </w:r>
          </w:p>
        </w:tc>
      </w:tr>
    </w:tbl>
    <w:p/>
    <w:p>
      <w:pPr>
        <w:pStyle w:val="Heading1"/>
      </w:pPr>
      <w:r>
        <w:t>5. Plain-English Glossary of Key Terms</w:t>
      </w:r>
    </w:p>
    <w:p>
      <w:r>
        <w:rPr>
          <w:b/>
          <w:color w:val="0F172A"/>
        </w:rPr>
        <w:t xml:space="preserve">• Biochar: </w:t>
      </w:r>
      <w:r>
        <w:t>A charcoal-like porous substance created by heating agricultural waste in low-oxygen kilns. It permanently locks carbon for hundreds of years and improves soil water and nutrient retention.</w:t>
      </w:r>
    </w:p>
    <w:p>
      <w:r>
        <w:rPr>
          <w:b/>
          <w:color w:val="0F172A"/>
        </w:rPr>
        <w:t xml:space="preserve">• Pyrolysis: </w:t>
      </w:r>
      <w:r>
        <w:t>The process of heating biomass to high temperatures (500°C–650°C) without oxygen, preventing it from catching fire and turning into smoke and ash.</w:t>
      </w:r>
    </w:p>
    <w:p>
      <w:r>
        <w:rPr>
          <w:b/>
          <w:color w:val="0F172A"/>
        </w:rPr>
        <w:t xml:space="preserve">• CORC (Carbon Dioxide Removal Certificate): </w:t>
      </w:r>
      <w:r>
        <w:t>A digital credit issued by registries like Puro.earth representing exactly 1 metric tonne of permanent net CO2 removed from the atmosphere.</w:t>
      </w:r>
    </w:p>
    <w:p>
      <w:r>
        <w:rPr>
          <w:b/>
          <w:color w:val="0F172A"/>
        </w:rPr>
        <w:t xml:space="preserve">• dMRV (Digital Measurement, Reporting, and Verification): </w:t>
      </w:r>
      <w:r>
        <w:t>Using modern software, satellite imaging, IoT kiln telemetry, and lab APIs to automatically verify environmental claims without manual paperwork.</w:t>
      </w:r>
    </w:p>
    <w:p>
      <w:r>
        <w:rPr>
          <w:b/>
          <w:color w:val="0F172A"/>
        </w:rPr>
        <w:t xml:space="preserve">• H:Corg Ratio: </w:t>
      </w:r>
      <w:r>
        <w:t>A laboratory test measuring the hydrogen-to-organic carbon ratio. A value ≤ 0.40 certifies that the carbon is permanent and stable for over 100+ years (EBC Class I Standard).</w:t>
      </w:r>
    </w:p>
    <w:p>
      <w:r>
        <w:rPr>
          <w:b/>
          <w:color w:val="0F172A"/>
        </w:rPr>
        <w:t xml:space="preserve">• NDVI / NBR: </w:t>
      </w:r>
      <w:r>
        <w:t>Satellite spectral formulas using infrared bands. Normalized Burn Ratio (NBR) mathematically proves whether an agricultural field was burned or harvested cleanly.</w:t>
      </w:r>
    </w:p>
    <w:p>
      <w:r>
        <w:rPr>
          <w:b/>
          <w:color w:val="0F172A"/>
        </w:rPr>
        <w:t xml:space="preserve">• PFMS (Public Financial Management System): </w:t>
      </w:r>
      <w:r>
        <w:t>The direct bank transfer network used by the Government of India to send benefits straight to farmers' Aadhaar-linked accounts without middlemen.</w:t>
      </w:r>
    </w:p>
    <w:p>
      <w:r>
        <w:rPr>
          <w:b/>
          <w:color w:val="0F172A"/>
        </w:rPr>
        <w:t xml:space="preserve">• Offtake Agreement: </w:t>
      </w:r>
      <w:r>
        <w:t>A forward pre-purchase contract where corporate buyers (e.g., Microsoft) commit in advance to buying carbon credits at agreed rates (€132–€155/t).</w:t>
      </w:r>
    </w:p>
    <w:p>
      <w:r>
        <w:rPr>
          <w:b/>
          <w:color w:val="0F172A"/>
        </w:rPr>
        <w:t xml:space="preserve">• CSRD / ESRS E1-7: </w:t>
      </w:r>
      <w:r>
        <w:t>The European Union's Corporate Sustainability Reporting Directive standard requiring companies to disclose greenhouse gas emissions and verified permanent carbon removals.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