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Research Portal Feature Overview</w:t>
      </w:r>
    </w:p>
    <w:p>
      <w:pPr>
        <w:pStyle w:val="Author"/>
      </w:pPr>
      <w:r>
        <w:t xml:space="preserve">The Archive and Heritage Group (Pty) Ltd</w:t>
      </w:r>
    </w:p>
    <w:bookmarkStart w:id="43" w:name="Xda22e62a7895c8082526974830cb0c70ed7d866"/>
    <w:p>
      <w:pPr>
        <w:pStyle w:val="Heading1"/>
      </w:pPr>
      <w:r>
        <w:t xml:space="preserve">AtoM Heratio Research Portal — Feature Overview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Research Portal (ahgResearchPlugin)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3.2.0</w:t>
      </w:r>
      <w:r>
        <w:t xml:space="preserve"> </w:t>
      </w:r>
      <w:r>
        <w:rPr>
          <w:bCs/>
          <w:b/>
        </w:rPr>
        <w:t xml:space="preserve">Vendor: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t xml:space="preserve">johan@theahg.co.za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Start w:id="20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t xml:space="preserve">The AtoM Heratio Research Portal is a comprehensive research support module built into the AtoM Heratio archival management platform. It transforms AtoM from a catalogue-only system into a full-service research environment — covering everything from researcher registration and reading room bookings through to material retrieval, chain-of-custody tracking, reproduction requests, and collaborative research tools.</w:t>
      </w:r>
    </w:p>
    <w:p>
      <w:pPr>
        <w:pStyle w:val="BodyText"/>
      </w:pPr>
      <w:r>
        <w:t xml:space="preserve">The Research Portal is designed for GLAM institutions (Galleries, Libraries, Archives, Museums) and Digital Asset Management organisations that need to manage researcher access, track physical material movements, and provide self-service research tools to their users.</w:t>
      </w:r>
    </w:p>
    <w:p>
      <w:r>
        <w:pict>
          <v:rect style="width:0;height:1.5pt" o:hralign="center" o:hrstd="t" o:hr="t"/>
        </w:pict>
      </w:r>
    </w:p>
    <w:bookmarkEnd w:id="20"/>
    <w:bookmarkStart w:id="37" w:name="key-feature-areas"/>
    <w:p>
      <w:pPr>
        <w:pStyle w:val="Heading2"/>
      </w:pPr>
      <w:r>
        <w:t xml:space="preserve">Key Feature Areas</w:t>
      </w:r>
    </w:p>
    <w:bookmarkStart w:id="21" w:name="Xa7bcbff46132158e7f548ea4d3c762f0ca60a98"/>
    <w:p>
      <w:pPr>
        <w:pStyle w:val="Heading3"/>
      </w:pPr>
      <w:r>
        <w:t xml:space="preserve">1. Researcher Registration and Access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register online with institutional affiliation, research purpose, and ID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review, approve, or reject applications with full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types (Academic, Government, Public, Institutional) with per-type booking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maintain their profile, ORCID integration, and contact details</w:t>
            </w:r>
          </w:p>
        </w:tc>
      </w:tr>
    </w:tbl>
    <w:bookmarkEnd w:id="21"/>
    <w:bookmarkStart w:id="22" w:name="reading-room-and-bookings"/>
    <w:p>
      <w:pPr>
        <w:pStyle w:val="Heading3"/>
      </w:pPr>
      <w:r>
        <w:t xml:space="preserve">2. Reading Room and Bookings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reading rooms with capacity, opening hours, and available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specific seats within rooms; track occupancy in real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book reading room sessions online, subject to type-based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specialised equipment (microfilm readers, scanners, laptops) alongside room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Walk-in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registration for unbooked visitors arriving at the reading room</w:t>
            </w:r>
          </w:p>
        </w:tc>
      </w:tr>
    </w:tbl>
    <w:bookmarkEnd w:id="22"/>
    <w:bookmarkStart w:id="23" w:name="material-retrieval-queue"/>
    <w:p>
      <w:pPr>
        <w:pStyle w:val="Heading3"/>
      </w:pPr>
      <w:r>
        <w:t xml:space="preserve">3. Material Retrieval Queue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Queue-based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flow through named queues: New, Rush, Retrieval, Transit, Delivery, Curatorial,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Rush and high-priority requests are visually flagged and can be filtered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slip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printable call slips with item details, shelf location, and researcher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status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multiple requests and update their status in one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location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automatically tracks each item’s current location as it moves through the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retrieval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scheduled retrieval windows with cutoff times</w:t>
            </w:r>
          </w:p>
        </w:tc>
      </w:tr>
    </w:tbl>
    <w:bookmarkEnd w:id="23"/>
    <w:bookmarkStart w:id="24" w:name="chain-of-custody-tracking"/>
    <w:p>
      <w:pPr>
        <w:pStyle w:val="Heading3"/>
      </w:pPr>
      <w:r>
        <w:t xml:space="preserve">4. Chain-of-Custody Tracking</w:t>
      </w:r>
    </w:p>
    <w:p>
      <w:pPr>
        <w:pStyle w:val="FirstParagraph"/>
      </w:pPr>
      <w:r>
        <w:t xml:space="preserve">A full physical chain-of-custody system that records every handoff of archival materials: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who received materials, when, in what condition, with optional barcode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material returns with condition-before and condition-after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staff member verifies the returned material’s condition before re-shelving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Staff-to-staff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handoffs between staff members (e.g., shift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out multiple items to researchers in a single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multiple returns with per-item condition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custody chain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unified timeline combining custody handoffs, Spectrum movement records, and provenance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 5.1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custody event auto-generates a Spectrum-compliant movement record</w:t>
            </w:r>
          </w:p>
        </w:tc>
      </w:tr>
    </w:tbl>
    <w:bookmarkEnd w:id="24"/>
    <w:bookmarkStart w:id="25" w:name="a.-equipment-management"/>
    <w:p>
      <w:pPr>
        <w:pStyle w:val="Heading3"/>
      </w:pPr>
      <w:r>
        <w:t xml:space="preserve">4a. Equipment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equipment per reading room with type, brand, model, serial number, and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via Dropdown Manager — admin-configurable (Microfilm Reader, Scanner, Computer,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book equipment alongside reading room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maintenance actions with condition before/after, performer, and next maintenance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trail of all maintenance per equipment item with AJAX-loaded history viewer</w:t>
            </w:r>
          </w:p>
        </w:tc>
      </w:tr>
    </w:tbl>
    <w:bookmarkEnd w:id="25"/>
    <w:bookmarkStart w:id="26" w:name="request-lifecycle-and-sla"/>
    <w:p>
      <w:pPr>
        <w:pStyle w:val="Heading3"/>
      </w:pPr>
      <w:r>
        <w:t xml:space="preserve">5. Request Lifecycle and SLA</w:t>
      </w:r>
    </w:p>
    <w:p>
      <w:pPr>
        <w:pStyle w:val="FirstParagraph"/>
      </w:pPr>
      <w:r>
        <w:t xml:space="preserve">End-to-end lifecycle management for material and reproduction requests: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view of all material and reproduction requests with SLA status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is triaged (approve, deny, needs information) before processing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SLA policies with warning, due, and escalation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requests to specific staff members for fulfilment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threaded messaging between staff and researchers, with internal staff-only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requests with a reason (fulfilled, cancelled, duplicate, unable to fulfil)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status change, triage decision, assignment, and correspondence entry is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Request this item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can request materials directly from catalogue description pages</w:t>
            </w:r>
          </w:p>
        </w:tc>
      </w:tr>
    </w:tbl>
    <w:bookmarkEnd w:id="26"/>
    <w:bookmarkStart w:id="27" w:name="reproduction-requests"/>
    <w:p>
      <w:pPr>
        <w:pStyle w:val="Heading3"/>
      </w:pPr>
      <w:r>
        <w:t xml:space="preserve">6. Reproduction 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submit reproduction requests with purpose, format, quality, and delivery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first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first archive item (with TomSelect autocomplete) directly on the creation form — type, format,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ODRL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 requests are checked against ODRL policies before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Item-level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items with page/section requirements and per-item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Costs calculated based on item count, format, quality, and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generate invoices attached to reproduction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reproductions are uploaded with unique download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download is logged for compliance</w:t>
            </w:r>
          </w:p>
        </w:tc>
      </w:tr>
    </w:tbl>
    <w:bookmarkEnd w:id="27"/>
    <w:bookmarkStart w:id="28" w:name="collections-and-discovery"/>
    <w:p>
      <w:pPr>
        <w:pStyle w:val="Heading3"/>
      </w:pPr>
      <w:r>
        <w:t xml:space="preserve">7. Collections and Discovery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create and manage personal groupings of archival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search queries and receive notifications when new results appear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result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search results over time using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citations in 6 academic styles (APA, MLA, Chicago, Harvard, Turabian, IEEE)</w:t>
            </w:r>
          </w:p>
        </w:tc>
      </w:tr>
    </w:tbl>
    <w:bookmarkEnd w:id="28"/>
    <w:bookmarkStart w:id="29" w:name="annotations-and-knowledge-management"/>
    <w:p>
      <w:pPr>
        <w:pStyle w:val="Heading3"/>
      </w:pPr>
      <w:r>
        <w:t xml:space="preserve">8. Annotations and Knowledge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 Web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Standards-compliant annotations on archival items with IIIF import/export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 editor for creating and managing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research journal with dated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hypothesis tracking with evidence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Subject-Predicate-Object triples for building knowledge 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scoring and source credibility evaluation</w:t>
            </w:r>
          </w:p>
        </w:tc>
      </w:tr>
    </w:tbl>
    <w:bookmarkEnd w:id="29"/>
    <w:bookmarkStart w:id="30" w:name="collaboration"/>
    <w:p>
      <w:pPr>
        <w:pStyle w:val="Heading3"/>
      </w:pPr>
      <w:r>
        <w:t xml:space="preserve">9. Collaboration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projects with collaborators, shared collections, and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ethics review steps with type (IRB, consent, risk assessment), status, due date, and inline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workspaces with discussions, shared resources, member management, and role-based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edit/delete for workspace details, discussions, resources (with TomSelect search), and members (role change, remove)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Workspace-linked collections with item counts and owner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peers to review and comment on research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research across partner institutions</w:t>
            </w:r>
          </w:p>
        </w:tc>
      </w:tr>
    </w:tbl>
    <w:bookmarkEnd w:id="30"/>
    <w:bookmarkStart w:id="31" w:name="publishing-and-reproducibility"/>
    <w:p>
      <w:pPr>
        <w:pStyle w:val="Heading3"/>
      </w:pPr>
      <w:r>
        <w:t xml:space="preserve">10. Publishing and Reproducibility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bibliographies with RIS, BibTeX, and Zotero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research reports in PDF and DOCX format with rich text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pack with summary cards (milestones, snapshots, resources, assertions, hypotheses, extraction jobs), computed integrity hash, and JSON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hash-verified snapshots of research state for 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RO-Crate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research outputs as Research Object Crates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minting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DOIs for published research outputs via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researcher profiles to ORCID identifiers</w:t>
            </w:r>
          </w:p>
        </w:tc>
      </w:tr>
    </w:tbl>
    <w:bookmarkEnd w:id="31"/>
    <w:bookmarkStart w:id="32" w:name="ai-powered-tools"/>
    <w:p>
      <w:pPr>
        <w:pStyle w:val="Heading3"/>
      </w:pPr>
      <w:r>
        <w:t xml:space="preserve">11. AI-Powered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Named Entity Recognition from archival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text summarisation of archival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review and validate AI-generated extractions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Disambiguate and link extracted entities to authority records</w:t>
            </w:r>
          </w:p>
        </w:tc>
      </w:tr>
    </w:tbl>
    <w:bookmarkEnd w:id="32"/>
    <w:bookmarkStart w:id="33" w:name="visualisation"/>
    <w:p>
      <w:pPr>
        <w:pStyle w:val="Heading3"/>
      </w:pPr>
      <w:r>
        <w:t xml:space="preserve">12. Visualisation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timeline of research events and archival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archival items and events on interactive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Visualise relationships between entities and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assertions and hypotheses as an interactive graph</w:t>
            </w:r>
          </w:p>
        </w:tc>
      </w:tr>
    </w:tbl>
    <w:bookmarkEnd w:id="33"/>
    <w:bookmarkStart w:id="34" w:name="odrl-policy-enforcement"/>
    <w:p>
      <w:pPr>
        <w:pStyle w:val="Heading3"/>
      </w:pPr>
      <w:r>
        <w:t xml:space="preserve">13. ODRL Policy Enforcement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edit, and delete ODRL policies via a full-featured admin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 can target archival descriptions, collections, projects, snapshots, annotations, and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TomSelect-powered search for all target types — shows names, not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Permission, Prohibition, and Obligation with constraint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whitelist (multi-select), date windows (from/to), and usage limits (max uses)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Enforcement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 enforced at 6 access points: view project, view collection, view snapshot, share project, reproducibility pack, reproduction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Default-allow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with no policies are accessible by default — only explicit prohibitions block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access evaluation is logged to</w:t>
            </w:r>
            <w:r>
              <w:t xml:space="preserve"> </w:t>
            </w:r>
            <w:r>
              <w:rPr>
                <w:rStyle w:val="VerbatimChar"/>
              </w:rPr>
              <w:t xml:space="preserve">research_access_decision</w:t>
            </w:r>
            <w:r>
              <w:t xml:space="preserve"> </w:t>
            </w:r>
            <w:r>
              <w:t xml:space="preserve">with rationale</w:t>
            </w:r>
          </w:p>
        </w:tc>
      </w:tr>
    </w:tbl>
    <w:bookmarkEnd w:id="34"/>
    <w:bookmarkStart w:id="35" w:name="api-keys-and-research-api"/>
    <w:p>
      <w:pPr>
        <w:pStyle w:val="Heading3"/>
      </w:pPr>
      <w:r>
        <w:t xml:space="preserve">14. API Keys and Research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Generate, list, and revoke API keys from the researcher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Scope-based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support Read, Write, and Search scopes — enforced by the API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key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API keys are stored in the central</w:t>
            </w:r>
            <w:r>
              <w:t xml:space="preserve"> </w:t>
            </w:r>
            <w:r>
              <w:rPr>
                <w:rStyle w:val="VerbatimChar"/>
              </w:rPr>
              <w:t xml:space="preserve">ahg_api_key</w:t>
            </w:r>
            <w:r>
              <w:t xml:space="preserve"> </w:t>
            </w:r>
            <w:r>
              <w:t xml:space="preserve">table with full scope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projects, collections, bookings, bibliographies, annotations, statistics,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Per-key rate limits with usage tracking</w:t>
            </w:r>
          </w:p>
        </w:tc>
      </w:tr>
    </w:tbl>
    <w:bookmarkEnd w:id="35"/>
    <w:bookmarkStart w:id="36" w:name="admin-tools"/>
    <w:p>
      <w:pPr>
        <w:pStyle w:val="Heading3"/>
      </w:pPr>
      <w:r>
        <w:t xml:space="preserve">15. Admin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tabs (All, Pending, Approved, Suspended, Expired) with live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with delete protection (cannot delete types assigned to researchers)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cards, registrations chart, bookings by room chart, breakdown 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 actions logged and viewable with type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milestones, ODRL policies, security classification, trust scores 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 Manager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types, equipment types, ID types managed via Dropdown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dropdown taxonomies included in</w:t>
            </w:r>
            <w:r>
              <w:t xml:space="preserve"> </w:t>
            </w:r>
            <w:r>
              <w:rPr>
                <w:rStyle w:val="VerbatimChar"/>
              </w:rPr>
              <w:t xml:space="preserve">install.sql</w:t>
            </w:r>
            <w:r>
              <w:t xml:space="preserve"> </w:t>
            </w:r>
            <w:r>
              <w:t xml:space="preserve">for new installations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accessibility-wcag-2.1-aa"/>
    <w:p>
      <w:pPr>
        <w:pStyle w:val="Heading2"/>
      </w:pPr>
      <w:r>
        <w:t xml:space="preserve">Accessibility (WCAG 2.1 AA)</w:t>
      </w:r>
    </w:p>
    <w:p>
      <w:pPr>
        <w:pStyle w:val="FirstParagraph"/>
      </w:pPr>
      <w:r>
        <w:t xml:space="preserve">The Research Portal is designed for accessibility compliance across all screens: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Skip navigation</w:t>
      </w:r>
      <w:r>
        <w:t xml:space="preserve"> </w:t>
      </w:r>
      <w:r>
        <w:t xml:space="preserve">on every page for keyboard and screen reader 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ARIA live regions</w:t>
      </w:r>
      <w:r>
        <w:t xml:space="preserve"> </w:t>
      </w:r>
      <w:r>
        <w:t xml:space="preserve">announce dynamic content changes to screen readers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tables</w:t>
      </w:r>
      <w:r>
        <w:t xml:space="preserve"> </w:t>
      </w:r>
      <w:r>
        <w:t xml:space="preserve">with proper headers, captions, and scope attributes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badges</w:t>
      </w:r>
      <w:r>
        <w:t xml:space="preserve"> </w:t>
      </w:r>
      <w:r>
        <w:t xml:space="preserve">use icons and text alongside colour (never colour alone)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Keyboard navigation</w:t>
      </w:r>
      <w:r>
        <w:t xml:space="preserve"> </w:t>
      </w:r>
      <w:r>
        <w:t xml:space="preserve">for all interactive elements with visible focus indicators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 validation</w:t>
      </w:r>
      <w:r>
        <w:t xml:space="preserve"> </w:t>
      </w:r>
      <w:r>
        <w:t xml:space="preserve">with programmatic error association and alert roles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Decorative icons</w:t>
      </w:r>
      <w:r>
        <w:t xml:space="preserve"> </w:t>
      </w:r>
      <w:r>
        <w:t xml:space="preserve">hidden from screen readers via</w:t>
      </w:r>
      <w:r>
        <w:t xml:space="preserve"> </w:t>
      </w:r>
      <w:r>
        <w:rPr>
          <w:rStyle w:val="VerbatimChar"/>
        </w:rPr>
        <w:t xml:space="preserve">aria-hidden</w:t>
      </w:r>
    </w:p>
    <w:p>
      <w:r>
        <w:pict>
          <v:rect style="width:0;height:1.5pt" o:hralign="center" o:hrstd="t" o:hr="t"/>
        </w:pict>
      </w:r>
    </w:p>
    <w:bookmarkEnd w:id="38"/>
    <w:bookmarkStart w:id="39" w:name="compliance-and-standards"/>
    <w:p>
      <w:pPr>
        <w:pStyle w:val="Heading2"/>
      </w:pPr>
      <w:r>
        <w:t xml:space="preserve">Compliance and Standards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2.1 Level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Location and Movement Control (via custody/movement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 Web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data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and annotation interoperability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object 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minting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rights policy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echnical-requirements"/>
    <w:p>
      <w:pPr>
        <w:pStyle w:val="Heading2"/>
      </w:pPr>
      <w:r>
        <w:t xml:space="preserve">Technical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2.10 with AtoM Heratio Framework v2.8.2+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90+, Firefox 90+, Safari 14+, Edge 90+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(included), Font Awesome 6 (included)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database-footprint"/>
    <w:p>
      <w:pPr>
        <w:pStyle w:val="Heading2"/>
      </w:pPr>
      <w:r>
        <w:t xml:space="preserve">Database Footprint</w:t>
      </w:r>
    </w:p>
    <w:p>
      <w:pPr>
        <w:pStyle w:val="FirstParagraph"/>
      </w:pPr>
      <w:r>
        <w:t xml:space="preserve">The Research Portal uses 80+ dedicated database tables (no modifications to core AtoM tables). Key tables include:</w:t>
      </w:r>
    </w:p>
    <w:p>
      <w:pPr>
        <w:numPr>
          <w:ilvl w:val="0"/>
          <w:numId w:val="1002"/>
        </w:numPr>
        <w:pStyle w:val="Compact"/>
      </w:pPr>
      <w:r>
        <w:t xml:space="preserve">Researcher management (registration, types, audit)</w:t>
      </w:r>
    </w:p>
    <w:p>
      <w:pPr>
        <w:numPr>
          <w:ilvl w:val="0"/>
          <w:numId w:val="1002"/>
        </w:numPr>
        <w:pStyle w:val="Compact"/>
      </w:pPr>
      <w:r>
        <w:t xml:space="preserve">Reading room configuration (rooms, seats, bookings, equipment, equipment maintenance)</w:t>
      </w:r>
    </w:p>
    <w:p>
      <w:pPr>
        <w:numPr>
          <w:ilvl w:val="0"/>
          <w:numId w:val="1002"/>
        </w:numPr>
        <w:pStyle w:val="Compact"/>
      </w:pPr>
      <w:r>
        <w:t xml:space="preserve">Material requests (retrieval queue, scheduling, status history)</w:t>
      </w:r>
    </w:p>
    <w:p>
      <w:pPr>
        <w:numPr>
          <w:ilvl w:val="0"/>
          <w:numId w:val="1002"/>
        </w:numPr>
        <w:pStyle w:val="Compact"/>
      </w:pPr>
      <w:r>
        <w:t xml:space="preserve">Custody tracking (handoff records, Spectrum movement integration)</w:t>
      </w:r>
    </w:p>
    <w:p>
      <w:pPr>
        <w:numPr>
          <w:ilvl w:val="0"/>
          <w:numId w:val="1002"/>
        </w:numPr>
        <w:pStyle w:val="Compact"/>
      </w:pPr>
      <w:r>
        <w:t xml:space="preserve">Reproduction workflow (requests, items, files, invoices)</w:t>
      </w:r>
    </w:p>
    <w:p>
      <w:pPr>
        <w:numPr>
          <w:ilvl w:val="0"/>
          <w:numId w:val="1002"/>
        </w:numPr>
        <w:pStyle w:val="Compact"/>
      </w:pPr>
      <w:r>
        <w:t xml:space="preserve">Correspondence (threaded messaging with internal notes)</w:t>
      </w:r>
    </w:p>
    <w:p>
      <w:pPr>
        <w:numPr>
          <w:ilvl w:val="0"/>
          <w:numId w:val="1002"/>
        </w:numPr>
        <w:pStyle w:val="Compact"/>
      </w:pPr>
      <w:r>
        <w:t xml:space="preserve">Collections, annotations, projects, workspaces</w:t>
      </w:r>
    </w:p>
    <w:p>
      <w:pPr>
        <w:numPr>
          <w:ilvl w:val="0"/>
          <w:numId w:val="1002"/>
        </w:numPr>
        <w:pStyle w:val="Compact"/>
      </w:pPr>
      <w:r>
        <w:t xml:space="preserve">AI extraction, validation, entity resolution</w:t>
      </w:r>
    </w:p>
    <w:p>
      <w:pPr>
        <w:numPr>
          <w:ilvl w:val="0"/>
          <w:numId w:val="1002"/>
        </w:numPr>
        <w:pStyle w:val="Compact"/>
      </w:pPr>
      <w:r>
        <w:t xml:space="preserve">Reports, snapshots, bibliographies</w:t>
      </w:r>
    </w:p>
    <w:p>
      <w:pPr>
        <w:numPr>
          <w:ilvl w:val="0"/>
          <w:numId w:val="1002"/>
        </w:numPr>
        <w:pStyle w:val="Compact"/>
      </w:pPr>
      <w:r>
        <w:t xml:space="preserve">ODRL policies and access decisions (enforcement audit trail)</w:t>
      </w:r>
    </w:p>
    <w:p>
      <w:pPr>
        <w:numPr>
          <w:ilvl w:val="0"/>
          <w:numId w:val="1002"/>
        </w:numPr>
        <w:pStyle w:val="Compact"/>
      </w:pPr>
      <w:r>
        <w:t xml:space="preserve">API keys (integrated with central ahg_api_key table)</w:t>
      </w:r>
    </w:p>
    <w:p>
      <w:pPr>
        <w:numPr>
          <w:ilvl w:val="0"/>
          <w:numId w:val="1002"/>
        </w:numPr>
        <w:pStyle w:val="Compact"/>
      </w:pPr>
      <w:r>
        <w:t xml:space="preserve">Notification preferences and activity log</w:t>
      </w:r>
    </w:p>
    <w:p>
      <w:pPr>
        <w:numPr>
          <w:ilvl w:val="0"/>
          <w:numId w:val="1002"/>
        </w:numPr>
        <w:pStyle w:val="Compact"/>
      </w:pPr>
      <w:r>
        <w:t xml:space="preserve">Dropdown Manager seed data (7 taxonomies: seat_type, booking_status, researcher_status, researcher_type, material_request_status, reproduction_type, reproduction_request_status, equipment_type)</w:t>
      </w:r>
    </w:p>
    <w:p>
      <w:r>
        <w:pict>
          <v:rect style="width:0;height:1.5pt" o:hralign="center" o:hrstd="t" o:hr="t"/>
        </w:pict>
      </w:r>
    </w:p>
    <w:bookmarkEnd w:id="41"/>
    <w:bookmarkStart w:id="42" w:name="getting-started"/>
    <w:p>
      <w:pPr>
        <w:pStyle w:val="Heading2"/>
      </w:pPr>
      <w:r>
        <w:t xml:space="preserve">Getting Started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Install</w:t>
      </w:r>
      <w:r>
        <w:t xml:space="preserve"> </w:t>
      </w:r>
      <w:r>
        <w:t xml:space="preserve">the ahgResearchPlugin via the AtoM Heratio Extension Manager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</w:t>
      </w:r>
      <w:r>
        <w:t xml:space="preserve"> </w:t>
      </w:r>
      <w:r>
        <w:t xml:space="preserve">the database migration (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+ migration files)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Configure</w:t>
      </w:r>
      <w:r>
        <w:t xml:space="preserve"> </w:t>
      </w:r>
      <w:r>
        <w:t xml:space="preserve">reading rooms, researcher types, and SLA policies via Admin &gt; AHG Settings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Research</w:t>
      </w:r>
      <w:r>
        <w:t xml:space="preserve">”</w:t>
      </w:r>
      <w:r>
        <w:t xml:space="preserve"> </w:t>
      </w:r>
      <w:r>
        <w:t xml:space="preserve">menu in Admin &gt; Menus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</w:t>
      </w:r>
      <w:r>
        <w:t xml:space="preserve"> </w:t>
      </w:r>
      <w:r>
        <w:t xml:space="preserve">by registering a researcher account and creating a booking</w:t>
      </w:r>
    </w:p>
    <w:p>
      <w:pPr>
        <w:pStyle w:val="FirstParagraph"/>
      </w:pPr>
      <w:r>
        <w:t xml:space="preserve">For detailed setup instructions, see the full Training Manual (included).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 — Preserving Heritage Through Technology</w:t>
      </w:r>
      <w:r>
        <w:t xml:space="preserve"> </w:t>
      </w:r>
      <w:r>
        <w:rPr>
          <w:iCs/>
          <w:i/>
        </w:rPr>
        <w:t xml:space="preserve">https://theahg.co.za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Research Portal Feature Overview</dc:title>
  <dc:creator>The Archive and Heritage Group (Pty) Ltd</dc:creator>
  <cp:keywords/>
  <dcterms:created xsi:type="dcterms:W3CDTF">2026-04-08T12:20:27Z</dcterms:created>
  <dcterms:modified xsi:type="dcterms:W3CDTF">2026-04-08T12:20:27Z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