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Custom Fields Framework Feature Overview</w:t>
      </w:r>
    </w:p>
    <w:p>
      <w:pPr>
        <w:pStyle w:val="Author"/>
      </w:pPr>
      <w:r>
        <w:t xml:space="preserve">The Archive and Heritage Group (Pty) Ltd</w:t>
      </w:r>
    </w:p>
    <w:bookmarkStart w:id="39" w:name="atom-heratio-custom-fields-framework"/>
    <w:p>
      <w:pPr>
        <w:pStyle w:val="Heading1"/>
      </w:pPr>
      <w:r>
        <w:t xml:space="preserve">AtoM Heratio — Custom Fields Framework</w:t>
      </w:r>
    </w:p>
    <w:bookmarkStart w:id="20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ahgCustomFieldsPlugin v1.0.0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Metadata Management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Custom Fields Framework enables institutions to define unlimited custom metadata fields on any entity type — without writing code. Administrators configure fields through an intuitive web interface, and the system automatically renders them on entity edit and view pages.</w:t>
      </w:r>
    </w:p>
    <w:p>
      <w:pPr>
        <w:pStyle w:val="BodyText"/>
      </w:pPr>
      <w:r>
        <w:t xml:space="preserve">This eliminates the need for developer involvement when institutions require additional metadata fields beyond the standard archival description fields (ISAD(G), DACS, Dublin Core, RAD, MODS).</w:t>
      </w:r>
    </w:p>
    <w:p>
      <w:r>
        <w:pict>
          <v:rect style="width:0;height:1.5pt" o:hralign="center" o:hrstd="t" o:hr="t"/>
        </w:pict>
      </w:r>
    </w:p>
    <w:bookmarkEnd w:id="21"/>
    <w:bookmarkStart w:id="33" w:name="key-features"/>
    <w:p>
      <w:pPr>
        <w:pStyle w:val="Heading2"/>
      </w:pPr>
      <w:r>
        <w:t xml:space="preserve">Key Features</w:t>
      </w:r>
    </w:p>
    <w:bookmarkStart w:id="22" w:name="admin-configurable-field-definitions"/>
    <w:p>
      <w:pPr>
        <w:pStyle w:val="Heading3"/>
      </w:pPr>
      <w:r>
        <w:t xml:space="preserve">Admin-Configurable Field Definitions</w:t>
      </w:r>
    </w:p>
    <w:p>
      <w:pPr>
        <w:numPr>
          <w:ilvl w:val="0"/>
          <w:numId w:val="1001"/>
        </w:numPr>
        <w:pStyle w:val="Compact"/>
      </w:pPr>
      <w:r>
        <w:t xml:space="preserve">Define custom fields via a web-based admin interface at</w:t>
      </w:r>
      <w:r>
        <w:t xml:space="preserve"> </w:t>
      </w:r>
      <w:r>
        <w:rPr>
          <w:bCs/>
          <w:b/>
        </w:rPr>
        <w:t xml:space="preserve">Admin &gt; Custom Fields</w:t>
      </w:r>
    </w:p>
    <w:p>
      <w:pPr>
        <w:numPr>
          <w:ilvl w:val="0"/>
          <w:numId w:val="1001"/>
        </w:numPr>
        <w:pStyle w:val="Compact"/>
      </w:pPr>
      <w:r>
        <w:t xml:space="preserve">No code changes, database migrations, or server restarts required</w:t>
      </w:r>
    </w:p>
    <w:p>
      <w:pPr>
        <w:numPr>
          <w:ilvl w:val="0"/>
          <w:numId w:val="1001"/>
        </w:numPr>
        <w:pStyle w:val="Compact"/>
      </w:pPr>
      <w:r>
        <w:t xml:space="preserve">Fields can be created, edited, reordered, activated, or deactivated at any time</w:t>
      </w:r>
    </w:p>
    <w:bookmarkEnd w:id="22"/>
    <w:bookmarkStart w:id="23" w:name="multiple-field-types"/>
    <w:p>
      <w:pPr>
        <w:pStyle w:val="Heading3"/>
      </w:pPr>
      <w:r>
        <w:t xml:space="preserve">Multiple Field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Single-line text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text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input with decimal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(Yes/No)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vocabulary from Dropdown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input with clickable link</w:t>
            </w:r>
          </w:p>
        </w:tc>
      </w:tr>
    </w:tbl>
    <w:bookmarkEnd w:id="23"/>
    <w:bookmarkStart w:id="24" w:name="entity-type-support"/>
    <w:p>
      <w:pPr>
        <w:pStyle w:val="Heading3"/>
      </w:pPr>
      <w:r>
        <w:t xml:space="preserve">Entity Type Support</w:t>
      </w:r>
    </w:p>
    <w:p>
      <w:pPr>
        <w:pStyle w:val="FirstParagraph"/>
      </w:pPr>
      <w:r>
        <w:t xml:space="preserve">Custom fields can be attached to any of the following entity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Information Object</w:t>
      </w:r>
      <w:r>
        <w:t xml:space="preserve"> </w:t>
      </w:r>
      <w:r>
        <w:t xml:space="preserve">— Archival descriptions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Actor</w:t>
      </w:r>
      <w:r>
        <w:t xml:space="preserve"> </w:t>
      </w:r>
      <w:r>
        <w:t xml:space="preserve">— Authority records (persons, organizations, families)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Accession</w:t>
      </w:r>
      <w:r>
        <w:t xml:space="preserve"> </w:t>
      </w:r>
      <w:r>
        <w:t xml:space="preserve">— Accession records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Archival institutions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Donor</w:t>
      </w:r>
      <w:r>
        <w:t xml:space="preserve"> </w:t>
      </w:r>
      <w:r>
        <w:t xml:space="preserve">— Donor records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— ISDF function descriptions</w:t>
      </w:r>
    </w:p>
    <w:bookmarkEnd w:id="24"/>
    <w:bookmarkStart w:id="25" w:name="repeatable-fields"/>
    <w:p>
      <w:pPr>
        <w:pStyle w:val="Heading3"/>
      </w:pPr>
      <w:r>
        <w:t xml:space="preserve">Repeatable Fields</w:t>
      </w:r>
    </w:p>
    <w:p>
      <w:pPr>
        <w:pStyle w:val="FirstParagraph"/>
      </w:pPr>
      <w:r>
        <w:t xml:space="preserve">A single field definition can accept multiple values. For example, a</w:t>
      </w:r>
      <w:r>
        <w:t xml:space="preserve"> </w:t>
      </w:r>
      <w:r>
        <w:t xml:space="preserve">“</w:t>
      </w:r>
      <w:r>
        <w:t xml:space="preserve">Barcode</w:t>
      </w:r>
      <w:r>
        <w:t xml:space="preserve">”</w:t>
      </w:r>
      <w:r>
        <w:t xml:space="preserve"> </w:t>
      </w:r>
      <w:r>
        <w:t xml:space="preserve">field can store multiple barcode values for a single record.</w:t>
      </w:r>
    </w:p>
    <w:bookmarkEnd w:id="25"/>
    <w:bookmarkStart w:id="26" w:name="field-grouping"/>
    <w:p>
      <w:pPr>
        <w:pStyle w:val="Heading3"/>
      </w:pPr>
      <w:r>
        <w:t xml:space="preserve">Field Grouping</w:t>
      </w:r>
    </w:p>
    <w:p>
      <w:pPr>
        <w:pStyle w:val="FirstParagraph"/>
      </w:pPr>
      <w:r>
        <w:t xml:space="preserve">Related fields can be organized under section headings (e.g.,</w:t>
      </w:r>
      <w:r>
        <w:t xml:space="preserve"> </w:t>
      </w:r>
      <w:r>
        <w:t xml:space="preserve">“</w:t>
      </w:r>
      <w:r>
        <w:t xml:space="preserve">Legacy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Tracking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Ontario Fields</w:t>
      </w:r>
      <w:r>
        <w:t xml:space="preserve">”</w:t>
      </w:r>
      <w:r>
        <w:t xml:space="preserve">). Groups are displayed as labelled sections on edit and view pages.</w:t>
      </w:r>
    </w:p>
    <w:bookmarkEnd w:id="26"/>
    <w:bookmarkStart w:id="27" w:name="validation"/>
    <w:p>
      <w:pPr>
        <w:pStyle w:val="Heading3"/>
      </w:pPr>
      <w:r>
        <w:t xml:space="preserve">Validation</w:t>
      </w:r>
    </w:p>
    <w:p>
      <w:pPr>
        <w:numPr>
          <w:ilvl w:val="0"/>
          <w:numId w:val="1002"/>
        </w:numPr>
        <w:pStyle w:val="Compact"/>
      </w:pPr>
      <w:r>
        <w:t xml:space="preserve">Required field enforcement</w:t>
      </w:r>
    </w:p>
    <w:p>
      <w:pPr>
        <w:numPr>
          <w:ilvl w:val="0"/>
          <w:numId w:val="1002"/>
        </w:numPr>
        <w:pStyle w:val="Compact"/>
      </w:pPr>
      <w:r>
        <w:t xml:space="preserve">Custom validation rules (maximum length, regular expression patterns)</w:t>
      </w:r>
    </w:p>
    <w:p>
      <w:pPr>
        <w:numPr>
          <w:ilvl w:val="0"/>
          <w:numId w:val="1002"/>
        </w:numPr>
        <w:pStyle w:val="Compact"/>
      </w:pPr>
      <w:r>
        <w:t xml:space="preserve">Type-specific validation (valid dates, valid URLs, numeric values)</w:t>
      </w:r>
    </w:p>
    <w:bookmarkEnd w:id="27"/>
    <w:bookmarkStart w:id="28" w:name="visibility-control"/>
    <w:p>
      <w:pPr>
        <w:pStyle w:val="Heading3"/>
      </w:pPr>
      <w:r>
        <w:t xml:space="preserve">Visibility Control</w:t>
      </w:r>
    </w:p>
    <w:p>
      <w:pPr>
        <w:pStyle w:val="FirstParagraph"/>
      </w:pPr>
      <w:r>
        <w:t xml:space="preserve">Each field offers independent visibility settings: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 View</w:t>
      </w:r>
      <w:r>
        <w:t xml:space="preserve"> </w:t>
      </w:r>
      <w:r>
        <w:t xml:space="preserve">— Show or hide on the public-facing record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 Form</w:t>
      </w:r>
      <w:r>
        <w:t xml:space="preserve"> </w:t>
      </w:r>
      <w:r>
        <w:t xml:space="preserve">— Show or hide on the staff edit form</w:t>
      </w:r>
    </w:p>
    <w:bookmarkEnd w:id="28"/>
    <w:bookmarkStart w:id="29" w:name="searchable-fields"/>
    <w:p>
      <w:pPr>
        <w:pStyle w:val="Heading3"/>
      </w:pPr>
      <w:r>
        <w:t xml:space="preserve">Searchable Fields</w:t>
      </w:r>
    </w:p>
    <w:p>
      <w:pPr>
        <w:pStyle w:val="FirstParagraph"/>
      </w:pPr>
      <w:r>
        <w:t xml:space="preserve">Fields can be flagged as searchable for future integration with the search index.</w:t>
      </w:r>
    </w:p>
    <w:bookmarkEnd w:id="29"/>
    <w:bookmarkStart w:id="30" w:name="dropdown-integration"/>
    <w:p>
      <w:pPr>
        <w:pStyle w:val="Heading3"/>
      </w:pPr>
      <w:r>
        <w:t xml:space="preserve">Dropdown Integration</w:t>
      </w:r>
    </w:p>
    <w:p>
      <w:pPr>
        <w:pStyle w:val="FirstParagraph"/>
      </w:pPr>
      <w:r>
        <w:t xml:space="preserve">Dropdown-type fields are linked to existing controlled vocabularies managed via the Dropdown Manager (ahg_dropdown). This ensures consistency with institution-wide terminology.</w:t>
      </w:r>
    </w:p>
    <w:bookmarkEnd w:id="30"/>
    <w:bookmarkStart w:id="31" w:name="import-export"/>
    <w:p>
      <w:pPr>
        <w:pStyle w:val="Heading3"/>
      </w:pPr>
      <w:r>
        <w:t xml:space="preserve">Import / Export</w:t>
      </w:r>
    </w:p>
    <w:p>
      <w:pPr>
        <w:pStyle w:val="FirstParagraph"/>
      </w:pPr>
      <w:r>
        <w:t xml:space="preserve">Field definitions can be exported as JSON and imported into another AtoM Heratio instance, enabling easy migration and standardization across deployments.</w:t>
      </w:r>
    </w:p>
    <w:bookmarkEnd w:id="31"/>
    <w:bookmarkStart w:id="32" w:name="display-integration"/>
    <w:p>
      <w:pPr>
        <w:pStyle w:val="Heading3"/>
      </w:pPr>
      <w:r>
        <w:t xml:space="preserve">Display Integration</w:t>
      </w:r>
    </w:p>
    <w:p>
      <w:pPr>
        <w:pStyle w:val="FirstParagraph"/>
      </w:pPr>
      <w:r>
        <w:t xml:space="preserve">Custom field values automatically appear on entity view pages via the display panel system. No template modifications required.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se-cases"/>
    <w:p>
      <w:pPr>
        <w:pStyle w:val="Heading2"/>
      </w:pPr>
      <w:r>
        <w:t xml:space="preserve">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52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Institution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barcodes on archival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text field</w:t>
            </w:r>
            <w:r>
              <w:t xml:space="preserve"> </w:t>
            </w:r>
            <w:r>
              <w:t xml:space="preserve">“</w:t>
            </w:r>
            <w:r>
              <w:t xml:space="preserve">Barcode</w:t>
            </w:r>
            <w:r>
              <w:t xml:space="preserve">”</w:t>
            </w:r>
            <w:r>
              <w:t xml:space="preserve"> </w:t>
            </w:r>
            <w:r>
              <w:t xml:space="preserve">on Information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legacy system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field</w:t>
            </w:r>
            <w:r>
              <w:t xml:space="preserve"> </w:t>
            </w:r>
            <w:r>
              <w:t xml:space="preserve">“</w:t>
            </w:r>
            <w:r>
              <w:t xml:space="preserve">Legacy ID</w:t>
            </w:r>
            <w:r>
              <w:t xml:space="preserve">”</w:t>
            </w:r>
            <w:r>
              <w:t xml:space="preserve"> </w:t>
            </w:r>
            <w:r>
              <w:t xml:space="preserve">grouped under</w:t>
            </w:r>
            <w:r>
              <w:t xml:space="preserve"> </w:t>
            </w:r>
            <w:r>
              <w:t xml:space="preserve">“</w:t>
            </w:r>
            <w:r>
              <w:t xml:space="preserve">Migration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records as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field</w:t>
            </w:r>
            <w:r>
              <w:t xml:space="preserve"> </w:t>
            </w:r>
            <w:r>
              <w:t xml:space="preserve">“</w:t>
            </w:r>
            <w:r>
              <w:t xml:space="preserve">Open Data</w:t>
            </w:r>
            <w:r>
              <w:t xml:space="preserve">”</w:t>
            </w:r>
            <w:r>
              <w:t xml:space="preserve"> </w:t>
            </w:r>
            <w:r>
              <w:t xml:space="preserve">on Information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Classify by filing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field linked to institution’s filing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donor submission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field</w:t>
            </w:r>
            <w:r>
              <w:t xml:space="preserve"> </w:t>
            </w:r>
            <w:r>
              <w:t xml:space="preserve">“</w:t>
            </w:r>
            <w:r>
              <w:t xml:space="preserve">Submission Date</w:t>
            </w:r>
            <w:r>
              <w:t xml:space="preserve">”</w:t>
            </w:r>
            <w:r>
              <w:t xml:space="preserve"> </w:t>
            </w:r>
            <w:r>
              <w:t xml:space="preserve">on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to external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field</w:t>
            </w:r>
            <w:r>
              <w:t xml:space="preserve"> </w:t>
            </w:r>
            <w:r>
              <w:t xml:space="preserve">“</w:t>
            </w:r>
            <w:r>
              <w:t xml:space="preserve">External Catalogue Link</w:t>
            </w:r>
            <w:r>
              <w:t xml:space="preserve">”</w:t>
            </w:r>
            <w:r>
              <w:t xml:space="preserve"> </w:t>
            </w:r>
            <w:r>
              <w:t xml:space="preserve">on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porting-views"/>
    <w:p>
      <w:pPr>
        <w:pStyle w:val="Heading2"/>
      </w:pPr>
      <w:r>
        <w:t xml:space="preserve">Reporting Views</w:t>
      </w:r>
    </w:p>
    <w:p>
      <w:pPr>
        <w:pStyle w:val="FirstParagraph"/>
      </w:pPr>
      <w:r>
        <w:t xml:space="preserve">The framework includes three denormalized SQL views for integration with external business intelligence tools (Power BI, Tableau, Metabase, or any SQL-compatible BI platform):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archival descriptions with repository, level of description, event dates, publication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authority records with entity type and description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accession records with acquisition type, processing status, and priority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ccess-restriction-vocabularies"/>
    <w:p>
      <w:pPr>
        <w:pStyle w:val="Heading2"/>
      </w:pPr>
      <w:r>
        <w:t xml:space="preserve">Access Restriction Vocabularies</w:t>
      </w:r>
    </w:p>
    <w:p>
      <w:pPr>
        <w:pStyle w:val="FirstParagraph"/>
      </w:pPr>
      <w:r>
        <w:t xml:space="preserve">A base set of 9 access restriction codes is included as seed data, available via the Dropdown Manager: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Unrestricted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restricted_donor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Restriction</w:t>
            </w:r>
          </w:p>
        </w:tc>
      </w:tr>
    </w:tbl>
    <w:p>
      <w:pPr>
        <w:pStyle w:val="BodyText"/>
      </w:pPr>
      <w:r>
        <w:t xml:space="preserve">Institutions can extend this vocabulary with their own codes via</w:t>
      </w:r>
      <w:r>
        <w:t xml:space="preserve"> </w:t>
      </w:r>
      <w:r>
        <w:rPr>
          <w:bCs/>
          <w:b/>
        </w:rPr>
        <w:t xml:space="preserve">Admin &gt; Dropdown 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 Heratio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stallation"/>
    <w:p>
      <w:pPr>
        <w:pStyle w:val="Heading2"/>
      </w:pPr>
      <w:r>
        <w:t xml:space="preserve">Installation</w:t>
      </w:r>
    </w:p>
    <w:p>
      <w:pPr>
        <w:numPr>
          <w:ilvl w:val="0"/>
          <w:numId w:val="1003"/>
        </w:numPr>
        <w:pStyle w:val="Compact"/>
      </w:pPr>
      <w:r>
        <w:t xml:space="preserve">Enable the plugin via CLI:</w:t>
      </w:r>
      <w:r>
        <w:t xml:space="preserve"> </w:t>
      </w:r>
      <w:r>
        <w:rPr>
          <w:rStyle w:val="VerbatimChar"/>
        </w:rPr>
        <w:t xml:space="preserve">php bin/atom extension:enable ahgCustomFieldsPlugin</w:t>
      </w:r>
    </w:p>
    <w:p>
      <w:pPr>
        <w:numPr>
          <w:ilvl w:val="0"/>
          <w:numId w:val="1003"/>
        </w:numPr>
        <w:pStyle w:val="Compact"/>
      </w:pPr>
      <w:r>
        <w:t xml:space="preserve">Run the database install:</w:t>
      </w:r>
      <w:r>
        <w:t xml:space="preserve"> </w:t>
      </w:r>
      <w:r>
        <w:rPr>
          <w:rStyle w:val="VerbatimChar"/>
        </w:rPr>
        <w:t xml:space="preserve">mysql -u root archive &lt; plugins/ahgCustomFieldsPlugin/database/install.sql</w:t>
      </w:r>
    </w:p>
    <w:p>
      <w:pPr>
        <w:numPr>
          <w:ilvl w:val="0"/>
          <w:numId w:val="1003"/>
        </w:numPr>
        <w:pStyle w:val="Compact"/>
      </w:pPr>
      <w:r>
        <w:t xml:space="preserve">Clear cache:</w:t>
      </w:r>
      <w:r>
        <w:t xml:space="preserve"> </w:t>
      </w:r>
      <w:r>
        <w:rPr>
          <w:rStyle w:val="VerbatimChar"/>
        </w:rPr>
        <w:t xml:space="preserve">rm -rf cache/* &amp;&amp; php symfony cc</w:t>
      </w:r>
    </w:p>
    <w:p>
      <w:pPr>
        <w:numPr>
          <w:ilvl w:val="0"/>
          <w:numId w:val="1003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Custom Fields</w:t>
      </w:r>
      <w:r>
        <w:t xml:space="preserve"> </w:t>
      </w:r>
      <w:r>
        <w:t xml:space="preserve">to begin defining fields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https://www.theahg.co.za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Custom Fields Framework Feature Overview</dc:title>
  <dc:creator>The Archive and Heritage Group (Pty) Ltd</dc:creator>
  <cp:keywords/>
  <dcterms:created xsi:type="dcterms:W3CDTF">2026-03-03T07:12:41Z</dcterms:created>
  <dcterms:modified xsi:type="dcterms:W3CDTF">2026-03-03T07:12:41Z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