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Security Feature Overview</w:t>
      </w:r>
    </w:p>
    <w:p>
      <w:pPr>
        <w:pStyle w:val="Author"/>
      </w:pPr>
      <w:r>
        <w:t xml:space="preserve">The Archive and Heritage Group (Pty) Ltd</w:t>
      </w:r>
    </w:p>
    <w:bookmarkStart w:id="35" w:name="atom-heratio-security-feature-overview"/>
    <w:p>
      <w:pPr>
        <w:pStyle w:val="Heading1"/>
      </w:pPr>
      <w:r>
        <w:t xml:space="preserve">AtoM Heratio — Security Feature Overview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2.8.2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AtoM Heratio provides enterprise-grade security for GLAM and DAM institutions, aligned with international standards including OWASP Top 10, ISO 27001, Bell-LaPadula mandatory access control, and POPIA data protection requirements.</w:t>
      </w:r>
    </w:p>
    <w:p>
      <w:r>
        <w:pict>
          <v:rect style="width:0;height:1.5pt" o:hralign="center" o:hrstd="t" o:hr="t"/>
        </w:pict>
      </w:r>
    </w:p>
    <w:bookmarkEnd w:id="20"/>
    <w:bookmarkStart w:id="28" w:name="security-features"/>
    <w:p>
      <w:pPr>
        <w:pStyle w:val="Heading2"/>
      </w:pPr>
      <w:r>
        <w:t xml:space="preserve">Security Features</w:t>
      </w:r>
    </w:p>
    <w:bookmarkStart w:id="21" w:name="authentication-and-access-control"/>
    <w:p>
      <w:pPr>
        <w:pStyle w:val="Heading3"/>
      </w:pPr>
      <w:r>
        <w:t xml:space="preserve">Authentication and Access Control</w:t>
      </w:r>
    </w:p>
    <w:p>
      <w:pPr>
        <w:pStyle w:val="FirstParagraph"/>
      </w:pPr>
      <w:r>
        <w:rPr>
          <w:bCs/>
          <w:b/>
        </w:rPr>
        <w:t xml:space="preserve">Multi-Factor Authentication (TOTP)</w:t>
      </w:r>
      <w:r>
        <w:t xml:space="preserve"> </w:t>
      </w:r>
      <w:r>
        <w:t xml:space="preserve">- Time-based One-Time Password (RFC 6238) support</w:t>
      </w:r>
      <w:r>
        <w:t xml:space="preserve"> </w:t>
      </w:r>
      <w:r>
        <w:t xml:space="preserve">- QR code enrollment via authenticator apps (Google Authenticator, Authy, etc.)</w:t>
      </w:r>
      <w:r>
        <w:t xml:space="preserve"> </w:t>
      </w:r>
      <w:r>
        <w:t xml:space="preserve">- Email code fallback for users without authenticator apps</w:t>
      </w:r>
      <w:r>
        <w:t xml:space="preserve"> </w:t>
      </w:r>
      <w:r>
        <w:t xml:space="preserve">- Per-user enrollment and removal</w:t>
      </w:r>
    </w:p>
    <w:p>
      <w:pPr>
        <w:pStyle w:val="BodyText"/>
      </w:pPr>
      <w:r>
        <w:rPr>
          <w:bCs/>
          <w:b/>
        </w:rPr>
        <w:t xml:space="preserve">Account Lockout Protection</w:t>
      </w:r>
      <w:r>
        <w:t xml:space="preserve"> </w:t>
      </w:r>
      <w:r>
        <w:t xml:space="preserve">- Automatic lockout after 5 failed login attempts within 15 minutes</w:t>
      </w:r>
      <w:r>
        <w:t xml:space="preserve"> </w:t>
      </w:r>
      <w:r>
        <w:t xml:space="preserve">- Configurable lockout duration</w:t>
      </w:r>
      <w:r>
        <w:t xml:space="preserve"> </w:t>
      </w:r>
      <w:r>
        <w:t xml:space="preserve">- Automatic cleanup of expired attempt records</w:t>
      </w:r>
      <w:r>
        <w:t xml:space="preserve"> </w:t>
      </w:r>
      <w:r>
        <w:t xml:space="preserve">- IP address tracking for forensic analysis</w:t>
      </w:r>
    </w:p>
    <w:p>
      <w:pPr>
        <w:pStyle w:val="BodyText"/>
      </w:pPr>
      <w:r>
        <w:rPr>
          <w:bCs/>
          <w:b/>
        </w:rPr>
        <w:t xml:space="preserve">Password Policy Enforcement</w:t>
      </w:r>
      <w:r>
        <w:t xml:space="preserve"> </w:t>
      </w:r>
      <w:r>
        <w:t xml:space="preserve">- Strong password requirements enforced by default (minimum 8 characters, mixed case, numbers, special characters)</w:t>
      </w:r>
      <w:r>
        <w:t xml:space="preserve"> </w:t>
      </w:r>
      <w:r>
        <w:t xml:space="preserve">- Password expiry with configurable interval (default 90 days)</w:t>
      </w:r>
      <w:r>
        <w:t xml:space="preserve"> </w:t>
      </w:r>
      <w:r>
        <w:t xml:space="preserve">- Password history to prevent reuse of the last 5 passwords</w:t>
      </w:r>
      <w:r>
        <w:t xml:space="preserve"> </w:t>
      </w:r>
      <w:r>
        <w:t xml:space="preserve">- Configurable via Admin &gt; AHG Settings</w:t>
      </w:r>
    </w:p>
    <w:p>
      <w:pPr>
        <w:pStyle w:val="BodyText"/>
      </w:pPr>
      <w:r>
        <w:rPr>
          <w:bCs/>
          <w:b/>
        </w:rPr>
        <w:t xml:space="preserve">Session Security</w:t>
      </w:r>
      <w:r>
        <w:t xml:space="preserve"> </w:t>
      </w:r>
      <w:r>
        <w:t xml:space="preserve">- Session ID regeneration on login (prevents session fixation)</w:t>
      </w:r>
      <w:r>
        <w:t xml:space="preserve"> </w:t>
      </w:r>
      <w:r>
        <w:t xml:space="preserve">- HttpOnly cookies (prevents JavaScript access to session tokens)</w:t>
      </w:r>
      <w:r>
        <w:t xml:space="preserve"> </w:t>
      </w:r>
      <w:r>
        <w:t xml:space="preserve">- CSRF token enforcement on all state-changing requests</w:t>
      </w:r>
    </w:p>
    <w:bookmarkEnd w:id="21"/>
    <w:bookmarkStart w:id="22" w:name="mandatory-access-control-bell-lapadula"/>
    <w:p>
      <w:pPr>
        <w:pStyle w:val="Heading3"/>
      </w:pPr>
      <w:r>
        <w:t xml:space="preserve">Mandatory Access Control (Bell-LaPadula)</w:t>
      </w:r>
    </w:p>
    <w:p>
      <w:pPr>
        <w:pStyle w:val="FirstParagraph"/>
      </w:pPr>
      <w:r>
        <w:rPr>
          <w:bCs/>
          <w:b/>
        </w:rPr>
        <w:t xml:space="preserve">Simple Security Property (No Read-Up)</w:t>
      </w:r>
      <w:r>
        <w:t xml:space="preserve"> </w:t>
      </w:r>
      <w:r>
        <w:t xml:space="preserve">- Users can only view objects at or below their security clearance level</w:t>
      </w:r>
      <w:r>
        <w:t xml:space="preserve"> </w:t>
      </w:r>
      <w:r>
        <w:t xml:space="preserve">- Hierarchical clearance levels: PUBLIC &lt; CONFIDENTIAL &lt; SECRET &lt; TOP SECRET</w:t>
      </w:r>
      <w:r>
        <w:t xml:space="preserve"> </w:t>
      </w:r>
      <w:r>
        <w:t xml:space="preserve">- Browse queries automatically filtered by clearance level</w:t>
      </w:r>
    </w:p>
    <w:p>
      <w:pPr>
        <w:pStyle w:val="BodyText"/>
      </w:pPr>
      <w:r>
        <w:rPr>
          <w:bCs/>
          <w:b/>
        </w:rPr>
        <w:t xml:space="preserve">Star Property (No Write-Down)</w:t>
      </w:r>
      <w:r>
        <w:t xml:space="preserve"> </w:t>
      </w:r>
      <w:r>
        <w:t xml:space="preserve">- Users with high clearance cannot write to lower-classification objects</w:t>
      </w:r>
      <w:r>
        <w:t xml:space="preserve"> </w:t>
      </w:r>
      <w:r>
        <w:t xml:space="preserve">- Prevents accidental leakage of classified information into public records</w:t>
      </w:r>
      <w:r>
        <w:t xml:space="preserve"> </w:t>
      </w:r>
      <w:r>
        <w:t xml:space="preserve">- Applies to edit, create, update, delete, and publish actions</w:t>
      </w:r>
      <w:r>
        <w:t xml:space="preserve"> </w:t>
      </w:r>
      <w:r>
        <w:t xml:space="preserve">- Administrators are exempt for operational flexibility</w:t>
      </w:r>
    </w:p>
    <w:bookmarkEnd w:id="22"/>
    <w:bookmarkStart w:id="23" w:name="security-headers"/>
    <w:p>
      <w:pPr>
        <w:pStyle w:val="Heading3"/>
      </w:pPr>
      <w:r>
        <w:t xml:space="preserve">Security Headers</w:t>
      </w:r>
    </w:p>
    <w:p>
      <w:pPr>
        <w:pStyle w:val="FirstParagraph"/>
      </w:pPr>
      <w:r>
        <w:t xml:space="preserve">All responses include security headers: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HSTS</w:t>
      </w:r>
      <w:r>
        <w:t xml:space="preserve"> </w:t>
      </w:r>
      <w:r>
        <w:t xml:space="preserve">— forces HTTPS connections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X-Frame-Options</w:t>
      </w:r>
      <w:r>
        <w:t xml:space="preserve"> </w:t>
      </w:r>
      <w:r>
        <w:t xml:space="preserve">— prevents clickjacking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X-Content-Type-Options</w:t>
      </w:r>
      <w:r>
        <w:t xml:space="preserve"> </w:t>
      </w:r>
      <w:r>
        <w:t xml:space="preserve">— prevents MIME sniffing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Permissions-Policy</w:t>
      </w:r>
      <w:r>
        <w:t xml:space="preserve"> </w:t>
      </w:r>
      <w:r>
        <w:t xml:space="preserve">— restricts browser features (camera, microphone, geolocation)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Referrer-Policy</w:t>
      </w:r>
      <w:r>
        <w:t xml:space="preserve"> </w:t>
      </w:r>
      <w:r>
        <w:t xml:space="preserve">— controls referrer information leakage</w:t>
      </w:r>
    </w:p>
    <w:bookmarkEnd w:id="23"/>
    <w:bookmarkStart w:id="24" w:name="ssrf-protection"/>
    <w:p>
      <w:pPr>
        <w:pStyle w:val="Heading3"/>
      </w:pPr>
      <w:r>
        <w:t xml:space="preserve">SSRF Protection</w:t>
      </w:r>
    </w:p>
    <w:p>
      <w:pPr>
        <w:pStyle w:val="FirstParagraph"/>
      </w:pPr>
      <w:r>
        <w:t xml:space="preserve">Outbound HTTP requests are protected against Server-Side Request Forgery:</w:t>
      </w:r>
      <w:r>
        <w:t xml:space="preserve"> </w:t>
      </w:r>
      <w:r>
        <w:t xml:space="preserve">- DNS pre-resolution to detect private/reserved IPs</w:t>
      </w:r>
      <w:r>
        <w:t xml:space="preserve"> </w:t>
      </w:r>
      <w:r>
        <w:t xml:space="preserve">- Cloud metadata endpoint blocking (169.254.169.254, etc.)</w:t>
      </w:r>
      <w:r>
        <w:t xml:space="preserve"> </w:t>
      </w:r>
      <w:r>
        <w:t xml:space="preserve">- Resolved IP pinning to prevent DNS rebinding</w:t>
      </w:r>
      <w:r>
        <w:t xml:space="preserve"> </w:t>
      </w:r>
      <w:r>
        <w:t xml:space="preserve">- Redirect following disabled or re-validated</w:t>
      </w:r>
      <w:r>
        <w:t xml:space="preserve"> </w:t>
      </w:r>
      <w:r>
        <w:t xml:space="preserve">- Response size limits enforced</w:t>
      </w:r>
    </w:p>
    <w:bookmarkEnd w:id="24"/>
    <w:bookmarkStart w:id="25" w:name="input-validation"/>
    <w:p>
      <w:pPr>
        <w:pStyle w:val="Heading3"/>
      </w:pPr>
      <w:r>
        <w:t xml:space="preserve">Input Validation</w:t>
      </w:r>
    </w:p>
    <w:p>
      <w:pPr>
        <w:numPr>
          <w:ilvl w:val="0"/>
          <w:numId w:val="1001"/>
        </w:numPr>
        <w:pStyle w:val="Compact"/>
      </w:pPr>
      <w:r>
        <w:t xml:space="preserve">XXE (XML External Entity) protection on all XML parsing</w:t>
      </w:r>
    </w:p>
    <w:p>
      <w:pPr>
        <w:numPr>
          <w:ilvl w:val="0"/>
          <w:numId w:val="1001"/>
        </w:numPr>
        <w:pStyle w:val="Compact"/>
      </w:pPr>
      <w:r>
        <w:t xml:space="preserve">Parameterized SQL queries via Laravel Query Builder</w:t>
      </w:r>
    </w:p>
    <w:p>
      <w:pPr>
        <w:numPr>
          <w:ilvl w:val="0"/>
          <w:numId w:val="1001"/>
        </w:numPr>
        <w:pStyle w:val="Compact"/>
      </w:pPr>
      <w:r>
        <w:t xml:space="preserve">Shell command escaping with</w:t>
      </w:r>
      <w:r>
        <w:t xml:space="preserve"> </w:t>
      </w:r>
      <w:r>
        <w:rPr>
          <w:rStyle w:val="VerbatimChar"/>
        </w:rPr>
        <w:t xml:space="preserve">escapeshellarg()</w:t>
      </w:r>
    </w:p>
    <w:p>
      <w:pPr>
        <w:numPr>
          <w:ilvl w:val="0"/>
          <w:numId w:val="1001"/>
        </w:numPr>
        <w:pStyle w:val="Compact"/>
      </w:pPr>
      <w:r>
        <w:t xml:space="preserve">Allowlist validation for command-line options</w:t>
      </w:r>
    </w:p>
    <w:p>
      <w:pPr>
        <w:numPr>
          <w:ilvl w:val="0"/>
          <w:numId w:val="1001"/>
        </w:numPr>
        <w:pStyle w:val="Compact"/>
      </w:pPr>
      <w:r>
        <w:t xml:space="preserve">HTML sanitization via HtmlPurifierService</w:t>
      </w:r>
    </w:p>
    <w:bookmarkEnd w:id="25"/>
    <w:bookmarkStart w:id="26" w:name="audit-trail"/>
    <w:p>
      <w:pPr>
        <w:pStyle w:val="Heading3"/>
      </w:pPr>
      <w:r>
        <w:t xml:space="preserve">Audit Trail</w:t>
      </w:r>
    </w:p>
    <w:p>
      <w:pPr>
        <w:numPr>
          <w:ilvl w:val="0"/>
          <w:numId w:val="1002"/>
        </w:numPr>
        <w:pStyle w:val="Compact"/>
      </w:pPr>
      <w:r>
        <w:t xml:space="preserve">Comprehensive audit logging enabled by default</w:t>
      </w:r>
    </w:p>
    <w:p>
      <w:pPr>
        <w:numPr>
          <w:ilvl w:val="0"/>
          <w:numId w:val="1002"/>
        </w:numPr>
        <w:pStyle w:val="Compact"/>
      </w:pPr>
      <w:r>
        <w:t xml:space="preserve">Authentication events (login, logout, failed attempts)</w:t>
      </w:r>
    </w:p>
    <w:p>
      <w:pPr>
        <w:numPr>
          <w:ilvl w:val="0"/>
          <w:numId w:val="1002"/>
        </w:numPr>
        <w:pStyle w:val="Compact"/>
      </w:pPr>
      <w:r>
        <w:t xml:space="preserve">Entity CRUD operations with old/new value tracking</w:t>
      </w:r>
    </w:p>
    <w:p>
      <w:pPr>
        <w:numPr>
          <w:ilvl w:val="0"/>
          <w:numId w:val="1002"/>
        </w:numPr>
        <w:pStyle w:val="Compact"/>
      </w:pPr>
      <w:r>
        <w:t xml:space="preserve">Security classification access logging</w:t>
      </w:r>
    </w:p>
    <w:p>
      <w:pPr>
        <w:numPr>
          <w:ilvl w:val="0"/>
          <w:numId w:val="1002"/>
        </w:numPr>
        <w:pStyle w:val="Compact"/>
      </w:pPr>
      <w:r>
        <w:t xml:space="preserve">Configurable retention period</w:t>
      </w:r>
    </w:p>
    <w:p>
      <w:pPr>
        <w:numPr>
          <w:ilvl w:val="0"/>
          <w:numId w:val="1002"/>
        </w:numPr>
        <w:pStyle w:val="Compact"/>
      </w:pPr>
      <w:r>
        <w:t xml:space="preserve">NARSSA and POPIA compliant</w:t>
      </w:r>
    </w:p>
    <w:bookmarkEnd w:id="26"/>
    <w:bookmarkStart w:id="27" w:name="popia-compliance"/>
    <w:p>
      <w:pPr>
        <w:pStyle w:val="Heading3"/>
      </w:pPr>
      <w:r>
        <w:t xml:space="preserve">POPIA Compliance</w:t>
      </w:r>
    </w:p>
    <w:p>
      <w:pPr>
        <w:numPr>
          <w:ilvl w:val="0"/>
          <w:numId w:val="1003"/>
        </w:numPr>
        <w:pStyle w:val="Compact"/>
      </w:pPr>
      <w:r>
        <w:t xml:space="preserve">Privacy breach register with multi-jurisdiction support</w:t>
      </w:r>
    </w:p>
    <w:p>
      <w:pPr>
        <w:numPr>
          <w:ilvl w:val="0"/>
          <w:numId w:val="1003"/>
        </w:numPr>
        <w:pStyle w:val="Compact"/>
      </w:pPr>
      <w:r>
        <w:t xml:space="preserve">Automated 72-hour breach notification monitoring</w:t>
      </w:r>
    </w:p>
    <w:p>
      <w:pPr>
        <w:numPr>
          <w:ilvl w:val="0"/>
          <w:numId w:val="1003"/>
        </w:numPr>
        <w:pStyle w:val="Compact"/>
      </w:pPr>
      <w:r>
        <w:t xml:space="preserve">CLI task for hourly deadline checks with email alerts</w:t>
      </w:r>
    </w:p>
    <w:p>
      <w:pPr>
        <w:numPr>
          <w:ilvl w:val="0"/>
          <w:numId w:val="1003"/>
        </w:numPr>
        <w:pStyle w:val="Compact"/>
      </w:pPr>
      <w:r>
        <w:t xml:space="preserve">DSAR (Data Subject Access Request) management</w:t>
      </w:r>
    </w:p>
    <w:p>
      <w:pPr>
        <w:numPr>
          <w:ilvl w:val="0"/>
          <w:numId w:val="1003"/>
        </w:numPr>
        <w:pStyle w:val="Compact"/>
      </w:pPr>
      <w:r>
        <w:t xml:space="preserve">PII scanning and visual redaction editor</w:t>
      </w:r>
    </w:p>
    <w:p>
      <w:pPr>
        <w:numPr>
          <w:ilvl w:val="0"/>
          <w:numId w:val="1003"/>
        </w:numPr>
        <w:pStyle w:val="Compact"/>
      </w:pPr>
      <w:r>
        <w:t xml:space="preserve">Consent management and processing activity records (ROPA)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li-commands"/>
    <w:p>
      <w:pPr>
        <w:pStyle w:val="Heading2"/>
      </w:pPr>
      <w:r>
        <w:t xml:space="preserve">CLI Commands</w:t>
      </w:r>
    </w:p>
    <w:p>
      <w:pPr>
        <w:pStyle w:val="SourceCode"/>
      </w:pPr>
      <w:r>
        <w:rPr>
          <w:rStyle w:val="CommentTok"/>
        </w:rPr>
        <w:t xml:space="preserve"># Breach notification monitoring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privacy:breach-check                         </w:t>
      </w:r>
      <w:r>
        <w:rPr>
          <w:rStyle w:val="CommentTok"/>
        </w:rPr>
        <w:t xml:space="preserve"># Console report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privacy:breach-check </w:t>
      </w:r>
      <w:r>
        <w:rPr>
          <w:rStyle w:val="AttributeTok"/>
        </w:rPr>
        <w:t xml:space="preserve">--email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dpo@example.com </w:t>
      </w:r>
      <w:r>
        <w:rPr>
          <w:rStyle w:val="CommentTok"/>
        </w:rPr>
        <w:t xml:space="preserve"># Email alert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privacy:breach-check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JSON (for cron)</w:t>
      </w:r>
      <w:r>
        <w:br/>
      </w:r>
      <w:r>
        <w:br/>
      </w:r>
      <w:r>
        <w:rPr>
          <w:rStyle w:val="CommentTok"/>
        </w:rPr>
        <w:t xml:space="preserve"># PII scanning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privacy:scan-pii                             </w:t>
      </w:r>
      <w:r>
        <w:rPr>
          <w:rStyle w:val="CommentTok"/>
        </w:rPr>
        <w:t xml:space="preserve"># Scan for personal data</w:t>
      </w:r>
      <w:r>
        <w:br/>
      </w:r>
      <w:r>
        <w:br/>
      </w:r>
      <w:r>
        <w:rPr>
          <w:rStyle w:val="CommentTok"/>
        </w:rPr>
        <w:t xml:space="preserve"># Jurisdiction management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privacy:jurisdiction                         </w:t>
      </w:r>
      <w:r>
        <w:rPr>
          <w:rStyle w:val="CommentTok"/>
        </w:rPr>
        <w:t xml:space="preserve"># List jurisdictions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privacy:jurisdiction </w:t>
      </w:r>
      <w:r>
        <w:rPr>
          <w:rStyle w:val="AttributeTok"/>
        </w:rPr>
        <w:t xml:space="preserve">--install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popia         </w:t>
      </w:r>
      <w:r>
        <w:rPr>
          <w:rStyle w:val="CommentTok"/>
        </w:rPr>
        <w:t xml:space="preserve"># Install POPIA</w:t>
      </w:r>
    </w:p>
    <w:p>
      <w:r>
        <w:pict>
          <v:rect style="width:0;height:1.5pt" o:hralign="center" o:hrstd="t" o:hr="t"/>
        </w:pict>
      </w:r>
    </w:p>
    <w:bookmarkEnd w:id="29"/>
    <w:bookmarkStart w:id="30" w:name="technical-requirements"/>
    <w:p>
      <w:pPr>
        <w:pStyle w:val="Heading2"/>
      </w:pPr>
      <w:r>
        <w:t xml:space="preserve">Technical Requirements</w:t>
      </w:r>
    </w:p>
    <w:p>
      <w:pPr>
        <w:numPr>
          <w:ilvl w:val="0"/>
          <w:numId w:val="1004"/>
        </w:numPr>
        <w:pStyle w:val="Compact"/>
      </w:pPr>
      <w:r>
        <w:t xml:space="preserve">PHP 8.3+</w:t>
      </w:r>
    </w:p>
    <w:p>
      <w:pPr>
        <w:numPr>
          <w:ilvl w:val="0"/>
          <w:numId w:val="1004"/>
        </w:numPr>
        <w:pStyle w:val="Compact"/>
      </w:pPr>
      <w:r>
        <w:t xml:space="preserve">MySQL 8.0+</w:t>
      </w:r>
    </w:p>
    <w:p>
      <w:pPr>
        <w:numPr>
          <w:ilvl w:val="0"/>
          <w:numId w:val="1004"/>
        </w:numPr>
        <w:pStyle w:val="Compact"/>
      </w:pPr>
      <w:r>
        <w:t xml:space="preserve">AtoM 2.10 base installation</w:t>
      </w:r>
    </w:p>
    <w:p>
      <w:pPr>
        <w:numPr>
          <w:ilvl w:val="0"/>
          <w:numId w:val="1004"/>
        </w:numPr>
        <w:pStyle w:val="Compact"/>
      </w:pPr>
      <w:r>
        <w:t xml:space="preserve">atom-framework v2.8.2+</w:t>
      </w:r>
    </w:p>
    <w:p>
      <w:pPr>
        <w:numPr>
          <w:ilvl w:val="0"/>
          <w:numId w:val="1004"/>
        </w:numPr>
        <w:pStyle w:val="Compact"/>
      </w:pPr>
      <w:r>
        <w:t xml:space="preserve">ahgSecurityClearancePlugin (security classification)</w:t>
      </w:r>
    </w:p>
    <w:p>
      <w:pPr>
        <w:numPr>
          <w:ilvl w:val="0"/>
          <w:numId w:val="1004"/>
        </w:numPr>
        <w:pStyle w:val="Compact"/>
      </w:pPr>
      <w:r>
        <w:t xml:space="preserve">ahgPrivacyPlugin (POPIA compliance)</w:t>
      </w:r>
    </w:p>
    <w:p>
      <w:pPr>
        <w:numPr>
          <w:ilvl w:val="0"/>
          <w:numId w:val="1004"/>
        </w:numPr>
        <w:pStyle w:val="Compact"/>
      </w:pPr>
      <w:r>
        <w:t xml:space="preserve">ahgAuditTrailPlugin (audit logging)</w:t>
      </w:r>
    </w:p>
    <w:p>
      <w:r>
        <w:pict>
          <v:rect style="width:0;height:1.5pt" o:hralign="center" o:hrstd="t" o:hr="t"/>
        </w:pict>
      </w:r>
    </w:p>
    <w:bookmarkEnd w:id="30"/>
    <w:bookmarkStart w:id="33" w:name="configuration"/>
    <w:p>
      <w:pPr>
        <w:pStyle w:val="Heading2"/>
      </w:pPr>
      <w:r>
        <w:t xml:space="preserve">Configuration</w:t>
      </w:r>
    </w:p>
    <w:bookmarkStart w:id="31" w:name="X0f214a5be4a9a5218712c6f5709ee784d88a542"/>
    <w:p>
      <w:pPr>
        <w:pStyle w:val="Heading3"/>
      </w:pPr>
      <w:r>
        <w:t xml:space="preserve">Password Policy Settings (ahg_settings table)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2299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password_expiry_days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before password expires (0 = disabled)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password_history_count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previous passwords to remember</w:t>
            </w:r>
          </w:p>
        </w:tc>
      </w:tr>
    </w:tbl>
    <w:bookmarkEnd w:id="31"/>
    <w:bookmarkStart w:id="32" w:name="audit-settings-ahg_audit_settings-table"/>
    <w:p>
      <w:pPr>
        <w:pStyle w:val="Heading3"/>
      </w:pPr>
      <w:r>
        <w:t xml:space="preserve">Audit Settings (ahg_audit_settings table)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audit trail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authentication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view-only actions (high volume)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retention_days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to retain audit entries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compliance-standards"/>
    <w:p>
      <w:pPr>
        <w:pStyle w:val="Heading2"/>
      </w:pPr>
      <w:r>
        <w:t xml:space="preserve">Compliance Standards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OWASP Top 10 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10 categories addressed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27001:2022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A.5-A.8 organizational, A.9 access control, A.12 operations, A.14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POPIA (South Africa)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19 (safeguards), 22 (notification), Part A (conditions)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32 (security), Article 33 (breach notification)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Bell-LaPadula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Security Property + Star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and record keeping requirements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detailed technical implementation, see the Security Audit Report.</w:t>
      </w:r>
      <w:r>
        <w:t xml:space="preserve"> </w:t>
      </w:r>
      <w:r>
        <w:rPr>
          <w:iCs/>
          <w:i/>
        </w:rPr>
        <w:t xml:space="preserve">For questions, contact: johan@theahg.co.za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Security Feature Overview</dc:title>
  <dc:creator>The Archive and Heritage Group (Pty) Ltd</dc:creator>
  <cp:keywords/>
  <dcterms:created xsi:type="dcterms:W3CDTF">2026-03-01T15:33:44Z</dcterms:created>
  <dcterms:modified xsi:type="dcterms:W3CDTF">2026-03-01T15:33:44Z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