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media/rId24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0.png" ContentType="image/png"/>
  <Override PartName="/word/media/rId54.png" ContentType="image/png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harris-matrix---user-manual"/>
    <w:p>
      <w:pPr>
        <w:pStyle w:val="Heading1"/>
      </w:pPr>
      <w:r>
        <w:t xml:space="preserve">Harris Matrix - User Manual</w:t>
      </w:r>
    </w:p>
    <w:p>
      <w:pPr>
        <w:pStyle w:val="FirstParagraph"/>
      </w:pPr>
      <w:r>
        <w:t xml:space="preserve">A working guide to recording stratigraphic relationships in the Archaeology module,</w:t>
      </w:r>
      <w:r>
        <w:t xml:space="preserve"> </w:t>
      </w:r>
      <w:r>
        <w:t xml:space="preserve">reading the Harris Matrix generated from them, and interpreting the consistency checks</w:t>
      </w:r>
      <w:r>
        <w:t xml:space="preserve"> </w:t>
      </w:r>
      <w:r>
        <w:t xml:space="preserve">that run alongside it. Screenshots are from a live excavation record.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Harris Matrix - User 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Prepared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Wits Archaeological Collection, University of the Witwatersrand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Johan Pieterse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Archive and Heritage Digital Commons Group (Pty) Ltd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for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September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- internal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AHG-ARCH-HM-001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Applies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 Heratio, ahgArchaeologyPlugin</w:t>
            </w:r>
          </w:p>
        </w:tc>
      </w:tr>
    </w:tbl>
    <w:bookmarkStart w:id="20" w:name="table-of-contents"/>
    <w:p>
      <w:pPr>
        <w:pStyle w:val="Heading2"/>
      </w:pPr>
      <w:r>
        <w:t xml:space="preserve">Table of contents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Right-click and choose Update Field to build the contents.</w:t>
      </w:r>
      <w:r>
        <w:fldChar w:fldCharType="end"/>
      </w:r>
    </w:p>
    <w:bookmarkEnd w:id="20"/>
    <w:bookmarkStart w:id="21" w:name="list-of-tables"/>
    <w:p>
      <w:pPr>
        <w:pStyle w:val="Heading2"/>
      </w:pPr>
      <w:r>
        <w:t xml:space="preserve">List of tables</w:t>
      </w:r>
    </w:p>
    <w:p>
      <w:r>
        <w:fldChar w:fldCharType="begin" w:dirty="true"/>
      </w:r>
      <w:r>
        <w:instrText xml:space="preserve"> TOC \h \z \c "Table" </w:instrText>
      </w:r>
      <w:r>
        <w:fldChar w:fldCharType="separate"/>
      </w:r>
      <w:r>
        <w:t>Right-click and choose Update Field to build the list of tables.</w:t>
      </w:r>
      <w:r>
        <w:fldChar w:fldCharType="end"/>
      </w:r>
    </w:p>
    <w:bookmarkEnd w:id="21"/>
    <w:bookmarkStart w:id="22" w:name="what-this-covers"/>
    <w:p>
      <w:pPr>
        <w:pStyle w:val="Heading2"/>
      </w:pPr>
      <w:r>
        <w:t xml:space="preserve">What this covers</w:t>
      </w:r>
    </w:p>
    <w:p>
      <w:pPr>
        <w:pStyle w:val="FirstParagraph"/>
      </w:pPr>
      <w:r>
        <w:t xml:space="preserve">Recording stratigraphic relationships between contexts, reading the Harris Matrix the</w:t>
      </w:r>
      <w:r>
        <w:t xml:space="preserve"> </w:t>
      </w:r>
      <w:r>
        <w:t xml:space="preserve">system draws from them, understanding the consistency checks that run alongside it, and</w:t>
      </w:r>
      <w:r>
        <w:t xml:space="preserve"> </w:t>
      </w:r>
      <w:r>
        <w:t xml:space="preserve">getting the sequence in and out as CSV or as a graph file.</w:t>
      </w:r>
    </w:p>
    <w:p>
      <w:pPr>
        <w:pStyle w:val="BodyText"/>
      </w:pPr>
      <w:r>
        <w:t xml:space="preserve">It assumes you already have a site and some contexts recorded. It does not teach</w:t>
      </w:r>
      <w:r>
        <w:t xml:space="preserve"> </w:t>
      </w:r>
      <w:r>
        <w:t xml:space="preserve">excavation.</w:t>
      </w:r>
    </w:p>
    <w:bookmarkEnd w:id="22"/>
    <w:bookmarkStart w:id="23" w:name="Xbd2de5a3324b065b60723131b01f69acdba18d5"/>
    <w:p>
      <w:pPr>
        <w:pStyle w:val="Heading2"/>
      </w:pPr>
      <w:r>
        <w:t xml:space="preserve">1. The idea, briefly</w:t>
      </w:r>
    </w:p>
    <w:p>
      <w:pPr>
        <w:pStyle w:val="FirstParagraph"/>
      </w:pPr>
      <w:r>
        <w:t xml:space="preserve">A Harris Matrix is a diagram of</w:t>
      </w:r>
      <w:r>
        <w:t xml:space="preserve"> </w:t>
      </w:r>
      <w:r>
        <w:rPr>
          <w:iCs/>
          <w:i/>
        </w:rPr>
        <w:t xml:space="preserve">sequence</w:t>
      </w:r>
      <w:r>
        <w:t xml:space="preserve">, not of space. It says which context is</w:t>
      </w:r>
      <w:r>
        <w:t xml:space="preserve"> </w:t>
      </w:r>
      <w:r>
        <w:t xml:space="preserve">earlier and which is later, and nothing about where anything sat on the ground. For</w:t>
      </w:r>
      <w:r>
        <w:t xml:space="preserve"> </w:t>
      </w:r>
      <w:r>
        <w:t xml:space="preserve">that, use</w:t>
      </w:r>
      <w:r>
        <w:t xml:space="preserve"> </w:t>
      </w:r>
      <w:r>
        <w:rPr>
          <w:bCs/>
          <w:b/>
        </w:rPr>
        <w:t xml:space="preserve">Dig plan and map</w:t>
      </w:r>
      <w:r>
        <w:t xml:space="preserve"> </w:t>
      </w:r>
      <w:r>
        <w:t xml:space="preserve">instead - a different view answering a different question.</w:t>
      </w:r>
    </w:p>
    <w:p>
      <w:pPr>
        <w:pStyle w:val="BodyText"/>
      </w:pPr>
      <w:r>
        <w:t xml:space="preserve">Two points from Harris's method matter here, because the software enforces both.</w:t>
      </w:r>
    </w:p>
    <w:p>
      <w:pPr>
        <w:pStyle w:val="BodyText"/>
      </w:pPr>
      <w:r>
        <w:rPr>
          <w:bCs/>
          <w:b/>
        </w:rPr>
        <w:t xml:space="preserve">Only immediate relationships are drawn.</w:t>
      </w:r>
      <w:r>
        <w:t xml:space="preserve"> </w:t>
      </w:r>
      <w:r>
        <w:t xml:space="preserve">This is the Law of Stratigraphic Succession.</w:t>
      </w:r>
      <w:r>
        <w:t xml:space="preserve"> </w:t>
      </w:r>
      <w:r>
        <w:t xml:space="preserve">If you record that A is above B, B is above C,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A is above C, the third statement is</w:t>
      </w:r>
      <w:r>
        <w:t xml:space="preserve"> </w:t>
      </w:r>
      <w:r>
        <w:t xml:space="preserve">true but redundant - it is implied by the first two. Drawing it is wrong by the method,</w:t>
      </w:r>
      <w:r>
        <w:t xml:space="preserve"> </w:t>
      </w:r>
      <w:r>
        <w:t xml:space="preserve">because a matrix shows the shortest path between contexts.</w:t>
      </w:r>
    </w:p>
    <w:p>
      <w:pPr>
        <w:pStyle w:val="BodyText"/>
      </w:pPr>
      <w:r>
        <w:t xml:space="preserve">The system removes those redundant lines from the drawing automatically. This is</w:t>
      </w:r>
      <w:r>
        <w:t xml:space="preserve"> </w:t>
      </w:r>
      <w:r>
        <w:rPr>
          <w:bCs/>
          <w:b/>
        </w:rPr>
        <w:t xml:space="preserve">transitive reduction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Your record is never altered.</w:t>
      </w:r>
      <w:r>
        <w:t xml:space="preserve"> </w:t>
      </w:r>
      <w:r>
        <w:t xml:space="preserve">The reduction applies to the diagram only. Every</w:t>
      </w:r>
      <w:r>
        <w:t xml:space="preserve"> </w:t>
      </w:r>
      <w:r>
        <w:t xml:space="preserve">relationship you recorded stays in the database, stays in the contexts table, and comes</w:t>
      </w:r>
      <w:r>
        <w:t xml:space="preserve"> </w:t>
      </w:r>
      <w:r>
        <w:t xml:space="preserve">back out in the exports. When lines are suppressed the page says so, so you can always</w:t>
      </w:r>
      <w:r>
        <w:t xml:space="preserve"> </w:t>
      </w:r>
      <w:r>
        <w:t xml:space="preserve">tell a correct reduction from data that has gone missing.</w:t>
      </w:r>
    </w:p>
    <w:p>
      <w:pPr>
        <w:pStyle w:val="BlockText"/>
      </w:pPr>
      <w:r>
        <w:t xml:space="preserve">If the summary line reports suppressed relationships, that is the system working. If it</w:t>
      </w:r>
      <w:r>
        <w:t xml:space="preserve"> </w:t>
      </w:r>
      <w:r>
        <w:t xml:space="preserve">reports none and lines you recorded are missing from the drawing, that is a fault -</w:t>
      </w:r>
      <w:r>
        <w:t xml:space="preserve"> </w:t>
      </w:r>
      <w:r>
        <w:t xml:space="preserve">report it.</w:t>
      </w:r>
    </w:p>
    <w:bookmarkEnd w:id="23"/>
    <w:bookmarkStart w:id="27" w:name="X42b61266cb7b88729b4ad29da061dacdc42c3c5"/>
    <w:p>
      <w:pPr>
        <w:pStyle w:val="Heading2"/>
      </w:pPr>
      <w:r>
        <w:t xml:space="preserve">2. Finding the matrix</w:t>
      </w:r>
    </w:p>
    <w:p>
      <w:pPr>
        <w:pStyle w:val="FirstParagraph"/>
      </w:pPr>
      <w:r>
        <w:rPr>
          <w:bCs/>
          <w:b/>
        </w:rPr>
        <w:t xml:space="preserve">Archaeology &gt; Sites</w:t>
      </w:r>
      <w:r>
        <w:t xml:space="preserve">, open a site, then</w:t>
      </w:r>
      <w:r>
        <w:t xml:space="preserve"> </w:t>
      </w:r>
      <w:r>
        <w:rPr>
          <w:bCs/>
          <w:b/>
        </w:rPr>
        <w:t xml:space="preserve">Stratigraphy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/archaeology/site/&lt;site id&gt;/contexts</w:t>
      </w:r>
    </w:p>
    <w:p>
      <w:pPr>
        <w:pStyle w:val="FirstParagraph"/>
      </w:pPr>
      <w:r>
        <w:t xml:space="preserve">You must be signed in. Anonymous visitors get the login form.</w:t>
      </w:r>
    </w:p>
    <w:p>
      <w:pPr>
        <w:pStyle w:val="BodyText"/>
      </w:pPr>
      <w:r>
        <w:drawing>
          <wp:inline>
            <wp:extent cx="5778500" cy="10325055"/>
            <wp:effectExtent b="0" l="0" r="0" t="0"/>
            <wp:docPr descr="The Stratigraphy page" title="" id="25" name="Picture"/>
            <a:graphic>
              <a:graphicData uri="http://schemas.openxmlformats.org/drawingml/2006/picture">
                <pic:pic>
                  <pic:nvPicPr>
                    <pic:cNvPr descr="/usr/share/nginx/archive/atom-ahg-plugins/docs/images/harris-matrix/01c-stratigraphy-expanded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10325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Five actions sit under the heading: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 to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site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Dig plan and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spatial view - where contexts sat, not what came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Import 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load of contexts and relationships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single new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formats, covered in section 6</w:t>
            </w:r>
          </w:p>
        </w:tc>
      </w:tr>
    </w:tbl>
    <w:p>
      <w:pPr>
        <w:pStyle w:val="Caption"/>
      </w:pPr>
      <w:r>
        <w:t xml:space="preserve">Table </w:t>
      </w:r>
      <w:fldSimple w:instr=" SEQ Table \* ARABIC ">
        <w:r>
          <w:t>1</w:t>
        </w:r>
      </w:fldSimple>
      <w:r>
        <w:t xml:space="preserve">: Finding the matrix</w:t>
      </w:r>
    </w:p>
    <w:bookmarkEnd w:id="27"/>
    <w:bookmarkStart w:id="45" w:name="X614fa2555ae6aacbab1f30c086b46a0b8eb90fe"/>
    <w:p>
      <w:pPr>
        <w:pStyle w:val="Heading2"/>
      </w:pPr>
      <w:r>
        <w:t xml:space="preserve">3. Reading the page</w:t>
      </w:r>
    </w:p>
    <w:p>
      <w:pPr>
        <w:pStyle w:val="FirstParagraph"/>
      </w:pPr>
      <w:r>
        <w:t xml:space="preserve">The page runs top to bottom in a deliberate order.</w:t>
      </w:r>
    </w:p>
    <w:bookmarkStart w:id="28" w:name="X39a4978d4e56ffa10764717dfc4ba13f1804a76"/>
    <w:p>
      <w:pPr>
        <w:pStyle w:val="Heading3"/>
      </w:pPr>
      <w:r>
        <w:t xml:space="preserve">3.1 The summary line</w:t>
      </w:r>
    </w:p>
    <w:p>
      <w:pPr>
        <w:pStyle w:val="BlockText"/>
      </w:pPr>
      <w:r>
        <w:rPr>
          <w:iCs/>
          <w:i/>
        </w:rPr>
        <w:t xml:space="preserve">20 contexts, 22 stratigraphic relationships. Cuts and interfaces are shown in square</w:t>
      </w:r>
      <w:r>
        <w:rPr>
          <w:iCs/>
          <w:i/>
        </w:rPr>
        <w:t xml:space="preserve"> </w:t>
      </w:r>
      <w:r>
        <w:rPr>
          <w:iCs/>
          <w:i/>
        </w:rPr>
        <w:t xml:space="preserve">brackets, deposits and fills in round brackets.</w:t>
      </w:r>
    </w:p>
    <w:p>
      <w:pPr>
        <w:pStyle w:val="FirstParagraph"/>
      </w:pPr>
      <w:r>
        <w:t xml:space="preserve">Read this first. Two things to note.</w:t>
      </w:r>
    </w:p>
    <w:p>
      <w:pPr>
        <w:pStyle w:val="BodyText"/>
      </w:pPr>
      <w:r>
        <w:rPr>
          <w:bCs/>
          <w:b/>
        </w:rPr>
        <w:t xml:space="preserve">The bracket convention is the standard archaeological one</w:t>
      </w:r>
      <w:r>
        <w:t xml:space="preserve"> </w:t>
      </w:r>
      <w:r>
        <w:t xml:space="preserve">and is used everywhere on</w:t>
      </w:r>
      <w:r>
        <w:t xml:space="preserve"> </w:t>
      </w:r>
      <w:r>
        <w:t xml:space="preserve">this page, including the diagram and the contexts table: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[1003]</w:t>
      </w:r>
      <w:r>
        <w:t xml:space="preserve"> </w:t>
      </w:r>
      <w:r>
        <w:t xml:space="preserve">- a cut or an interface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(1001)</w:t>
      </w:r>
      <w:r>
        <w:t xml:space="preserve"> </w:t>
      </w:r>
      <w:r>
        <w:t xml:space="preserve">- a deposit or a fill</w:t>
      </w:r>
    </w:p>
    <w:p>
      <w:pPr>
        <w:pStyle w:val="FirstParagraph"/>
      </w:pPr>
      <w:r>
        <w:rPr>
          <w:bCs/>
          <w:b/>
        </w:rPr>
        <w:t xml:space="preserve">The count is of relationships, not of records.</w:t>
      </w:r>
      <w:r>
        <w:t xml:space="preserve"> </w:t>
      </w:r>
      <w:r>
        <w:t xml:space="preserve">Each relationship is stored in both</w:t>
      </w:r>
      <w:r>
        <w:t xml:space="preserve"> </w:t>
      </w:r>
      <w:r>
        <w:t xml:space="preserve">directions - record</w:t>
      </w:r>
      <w:r>
        <w:t xml:space="preserve"> </w:t>
      </w:r>
      <w:r>
        <w:rPr>
          <w:iCs/>
          <w:i/>
        </w:rPr>
        <w:t xml:space="preserve">above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below</w:t>
      </w:r>
      <w:r>
        <w:t xml:space="preserve"> </w:t>
      </w:r>
      <w:r>
        <w:t xml:space="preserve">is written too - so the database holds roughly</w:t>
      </w:r>
      <w:r>
        <w:t xml:space="preserve"> </w:t>
      </w:r>
      <w:r>
        <w:t xml:space="preserve">twice this number of rows. The page reports what you recorded, not the storage.</w:t>
      </w:r>
    </w:p>
    <w:p>
      <w:pPr>
        <w:pStyle w:val="BodyText"/>
      </w:pPr>
      <w:r>
        <w:t xml:space="preserve">If any lines were removed from the drawing, a further sentence reports how many.</w:t>
      </w:r>
    </w:p>
    <w:bookmarkEnd w:id="28"/>
    <w:bookmarkStart w:id="32" w:name="Xa4db7fcf14f5652fb916b0cccceae62b7340b98"/>
    <w:p>
      <w:pPr>
        <w:pStyle w:val="Heading3"/>
      </w:pPr>
      <w:r>
        <w:t xml:space="preserve">3.2 Consistency checks</w:t>
      </w:r>
    </w:p>
    <w:p>
      <w:pPr>
        <w:pStyle w:val="FirstParagraph"/>
      </w:pPr>
      <w:r>
        <w:t xml:space="preserve">Collapsed by default, headed with the count -</w:t>
      </w:r>
      <w:r>
        <w:t xml:space="preserve"> </w:t>
      </w:r>
      <w:r>
        <w:rPr>
          <w:iCs/>
          <w:i/>
        </w:rPr>
        <w:t xml:space="preserve">"1 consistency finding"</w:t>
      </w:r>
      <w:r>
        <w:t xml:space="preserve">. Click to open.</w:t>
      </w:r>
    </w:p>
    <w:p>
      <w:pPr>
        <w:pStyle w:val="BodyText"/>
      </w:pPr>
      <w:r>
        <w:t xml:space="preserve">These sit</w:t>
      </w:r>
      <w:r>
        <w:t xml:space="preserve"> </w:t>
      </w:r>
      <w:r>
        <w:rPr>
          <w:bCs/>
          <w:b/>
        </w:rPr>
        <w:t xml:space="preserve">above</w:t>
      </w:r>
      <w:r>
        <w:t xml:space="preserve"> </w:t>
      </w:r>
      <w:r>
        <w:t xml:space="preserve">the diagram on purpose. A contradiction in the record changes how you</w:t>
      </w:r>
      <w:r>
        <w:t xml:space="preserve"> </w:t>
      </w:r>
      <w:r>
        <w:t xml:space="preserve">should read the drawing, and finding that out afterwards is too late.</w:t>
      </w:r>
    </w:p>
    <w:p>
      <w:pPr>
        <w:pStyle w:val="BodyText"/>
      </w:pPr>
      <w:r>
        <w:drawing>
          <wp:inline>
            <wp:extent cx="5778500" cy="459248"/>
            <wp:effectExtent b="0" l="0" r="0" t="0"/>
            <wp:docPr descr="A consistency finding" title="" id="30" name="Picture"/>
            <a:graphic>
              <a:graphicData uri="http://schemas.openxmlformats.org/drawingml/2006/picture">
                <pic:pic>
                  <pic:nvPicPr>
                    <pic:cNvPr descr="/usr/share/nginx/archive/atom-ahg-plugins/docs/images/harris-matrix/02-consistency-finding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459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Six checks run: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looks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Stratigraphic loops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sequence that eats its own tail - A above B above C above A. While this exists the sequence cannot be ordered and no matrix is drawn.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Contexts with no relationships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context recorded but never related to anything. Usually unfinished rather than wrong.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Sequence split into unconnected pieces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or more groups with no relationship between them. Common and often correct on a multi-trench site.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Contexts both correlated and superposed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recorded as the same as Y, and also above or below it. One statement must be wrong.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Elevations against superposition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context recorded above another, with elevations saying otherwise. Checked for</w:t>
            </w:r>
            <w:r>
              <w:t xml:space="preserve"> </w:t>
            </w:r>
            <w:r>
              <w:rPr>
                <w:iCs/>
                <w:i/>
              </w:rPr>
              <w:t xml:space="preserve">above</w:t>
            </w:r>
            <w:r>
              <w:t xml:space="preserve"> </w:t>
            </w:r>
            <w:r>
              <w:t xml:space="preserve">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Phases against superposition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relationship running against the site's own phase numbering.</w:t>
            </w:r>
          </w:p>
        </w:tc>
      </w:tr>
    </w:tbl>
    <w:p>
      <w:pPr>
        <w:pStyle w:val="Caption"/>
      </w:pPr>
      <w:r>
        <w:t xml:space="preserve">Table </w:t>
      </w:r>
      <w:fldSimple w:instr=" SEQ Table \* ARABIC ">
        <w:r>
          <w:t>1</w:t>
        </w:r>
      </w:fldSimple>
      <w:r>
        <w:t xml:space="preserve">: 2 Consistency checks</w:t>
      </w:r>
    </w:p>
    <w:p>
      <w:pPr>
        <w:pStyle w:val="BodyText"/>
      </w:pPr>
      <w:r>
        <w:t xml:space="preserve">The panel closes with a line worth taking literally:</w:t>
      </w:r>
      <w:r>
        <w:t xml:space="preserve"> </w:t>
      </w:r>
      <w:r>
        <w:rPr>
          <w:bCs/>
          <w:b/>
        </w:rPr>
        <w:t xml:space="preserve">"Nothing here has been changed -</w:t>
      </w:r>
      <w:r>
        <w:rPr>
          <w:bCs/>
          <w:b/>
        </w:rPr>
        <w:t xml:space="preserve"> </w:t>
      </w:r>
      <w:r>
        <w:rPr>
          <w:bCs/>
          <w:b/>
        </w:rPr>
        <w:t xml:space="preserve">these are observations about the record."</w:t>
      </w:r>
      <w:r>
        <w:t xml:space="preserve"> </w:t>
      </w:r>
      <w:r>
        <w:t xml:space="preserve">A finding is a prompt to look, never an edit.</w:t>
      </w:r>
    </w:p>
    <w:p>
      <w:pPr>
        <w:pStyle w:val="BodyText"/>
      </w:pPr>
      <w:r>
        <w:rPr>
          <w:bCs/>
          <w:b/>
        </w:rPr>
        <w:t xml:space="preserve">Two checks are deliberately conservative, and the reasons matter.</w:t>
      </w:r>
    </w:p>
    <w:p>
      <w:pPr>
        <w:pStyle w:val="BodyText"/>
      </w:pPr>
      <w:r>
        <w:rPr>
          <w:bCs/>
          <w:b/>
        </w:rPr>
        <w:t xml:space="preserve">Phase numbering direction is a site convention, not a rule.</w:t>
      </w:r>
      <w:r>
        <w:t xml:space="preserve"> </w:t>
      </w:r>
      <w:r>
        <w:t xml:space="preserve">Some sites number Phase 1</w:t>
      </w:r>
      <w:r>
        <w:t xml:space="preserve"> </w:t>
      </w:r>
      <w:r>
        <w:t xml:space="preserve">as earliest, others the reverse. The system does not assume either - it infers the</w:t>
      </w:r>
      <w:r>
        <w:t xml:space="preserve"> </w:t>
      </w:r>
      <w:r>
        <w:t xml:space="preserve">convention from the majority of that site's own relationships and reports only the</w:t>
      </w:r>
      <w:r>
        <w:t xml:space="preserve"> </w:t>
      </w:r>
      <w:r>
        <w:t xml:space="preserve">outliers, staying silent when there is no clear majority. The example above reads:</w:t>
      </w:r>
    </w:p>
    <w:p>
      <w:pPr>
        <w:pStyle w:val="BlockText"/>
      </w:pPr>
      <w:r>
        <w:rPr>
          <w:iCs/>
          <w:i/>
        </w:rPr>
        <w:t xml:space="preserve">This site numbers phases so that a later context carries the lower phase number (4 of 6</w:t>
      </w:r>
      <w:r>
        <w:rPr>
          <w:iCs/>
          <w:i/>
        </w:rPr>
        <w:t xml:space="preserve"> </w:t>
      </w:r>
      <w:r>
        <w:rPr>
          <w:iCs/>
          <w:i/>
        </w:rPr>
        <w:t xml:space="preserve">relationships agree). 2 disagree: 1003 later than 1002, 2003 later than 2002.</w:t>
      </w:r>
    </w:p>
    <w:p>
      <w:pPr>
        <w:pStyle w:val="FirstParagraph"/>
      </w:pPr>
      <w:r>
        <w:t xml:space="preserve">Note "4 of 6". On a site with few phase-bearing relationships the inferred majority is</w:t>
      </w:r>
      <w:r>
        <w:t xml:space="preserve"> </w:t>
      </w:r>
      <w:r>
        <w:t xml:space="preserve">thin, and the outliers it names may be perfectly correct while the majority is the</w:t>
      </w:r>
      <w:r>
        <w:t xml:space="preserve"> </w:t>
      </w:r>
      <w:r>
        <w:t xml:space="preserve">accident. Treat the finding as a question about the site's convention, not a verdict on</w:t>
      </w:r>
      <w:r>
        <w:t xml:space="preserve"> </w:t>
      </w:r>
      <w:r>
        <w:t xml:space="preserve">those two relationships.</w:t>
      </w:r>
    </w:p>
    <w:p>
      <w:pPr>
        <w:pStyle w:val="BodyText"/>
      </w:pPr>
      <w:r>
        <w:rPr>
          <w:bCs/>
          <w:b/>
        </w:rPr>
        <w:t xml:space="preserve">Cuts do not follow deposit elevation logic.</w:t>
      </w:r>
      <w:r>
        <w:t xml:space="preserve"> </w:t>
      </w:r>
      <w:r>
        <w:t xml:space="preserve">A cut whose top sits exactly at the bottom</w:t>
      </w:r>
      <w:r>
        <w:t xml:space="preserve"> </w:t>
      </w:r>
      <w:r>
        <w:t xml:space="preserve">of the deposit it cuts is</w:t>
      </w:r>
      <w:r>
        <w:t xml:space="preserve"> </w:t>
      </w:r>
      <w:r>
        <w:rPr>
          <w:iCs/>
          <w:i/>
        </w:rPr>
        <w:t xml:space="preserve">correct</w:t>
      </w:r>
      <w:r>
        <w:t xml:space="preserve"> </w:t>
      </w:r>
      <w:r>
        <w:t xml:space="preserve">- a cut extends downward from the surface it was cut</w:t>
      </w:r>
      <w:r>
        <w:t xml:space="preserve"> </w:t>
      </w:r>
      <w:r>
        <w:t xml:space="preserve">from, and its fill sits inside it. The elevation check knows this and does not flag it.</w:t>
      </w:r>
    </w:p>
    <w:bookmarkEnd w:id="32"/>
    <w:bookmarkStart w:id="36" w:name="Xf504cbd5b790282132275aa1eac49e14b1d0d27"/>
    <w:p>
      <w:pPr>
        <w:pStyle w:val="Heading3"/>
      </w:pPr>
      <w:r>
        <w:t xml:space="preserve">3.3 The matrix</w:t>
      </w:r>
    </w:p>
    <w:p>
      <w:pPr>
        <w:pStyle w:val="FirstParagraph"/>
      </w:pPr>
      <w:r>
        <w:drawing>
          <wp:inline>
            <wp:extent cx="5778500" cy="2710901"/>
            <wp:effectExtent b="0" l="0" r="0" t="0"/>
            <wp:docPr descr="The Harris Matrix" title="" id="34" name="Picture"/>
            <a:graphic>
              <a:graphicData uri="http://schemas.openxmlformats.org/drawingml/2006/picture">
                <pic:pic>
                  <pic:nvPicPr>
                    <pic:cNvPr descr="/usr/share/nginx/archive/atom-ahg-plugins/docs/images/harris-matrix/04-matrix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2710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Latest at the top, earliest at the bottom</w:t>
      </w:r>
      <w:r>
        <w:t xml:space="preserve">, as labelled beneath the drawing.</w:t>
      </w:r>
    </w:p>
    <w:p>
      <w:pPr>
        <w:pStyle w:val="BodyText"/>
      </w:pPr>
      <w:r>
        <w:rPr>
          <w:bCs/>
          <w:b/>
        </w:rPr>
        <w:t xml:space="preserve">Correlated contexts share a node.</w:t>
      </w:r>
      <w:r>
        <w:t xml:space="preserve"> </w:t>
      </w:r>
      <w:r>
        <w:t xml:space="preserve">Where two contexts are recorded as the same, they</w:t>
      </w:r>
      <w:r>
        <w:t xml:space="preserve"> </w:t>
      </w:r>
      <w:r>
        <w:t xml:space="preserve">are drawn as one box joined by</w:t>
      </w:r>
      <w:r>
        <w:t xml:space="preserve"> </w:t>
      </w:r>
      <w:r>
        <w:rPr>
          <w:rStyle w:val="VerbatimChar"/>
        </w:rPr>
        <w:t xml:space="preserve">=</w:t>
      </w:r>
      <w:r>
        <w:t xml:space="preserve">:</w:t>
      </w:r>
      <w:r>
        <w:t xml:space="preserve"> </w:t>
      </w:r>
      <w:r>
        <w:rPr>
          <w:rStyle w:val="VerbatimChar"/>
        </w:rPr>
        <w:t xml:space="preserve">(1001) Deposit = (2001) Deposit</w:t>
      </w:r>
      <w:r>
        <w:t xml:space="preserve">. That is the point</w:t>
      </w:r>
      <w:r>
        <w:t xml:space="preserve"> </w:t>
      </w:r>
      <w:r>
        <w:t xml:space="preserve">of a correlation - the same event recorded twice in different trenches is one event in the</w:t>
      </w:r>
      <w:r>
        <w:t xml:space="preserve"> </w:t>
      </w:r>
      <w:r>
        <w:t xml:space="preserve">sequence, and drawing it twice would imply otherwise.</w:t>
      </w:r>
    </w:p>
    <w:p>
      <w:pPr>
        <w:pStyle w:val="BodyText"/>
      </w:pPr>
      <w:r>
        <w:t xml:space="preserve">Two things can appear instead of a diagram: a</w:t>
      </w:r>
      <w:r>
        <w:t xml:space="preserve"> </w:t>
      </w:r>
      <w:r>
        <w:rPr>
          <w:bCs/>
          <w:b/>
        </w:rPr>
        <w:t xml:space="preserve">loop warning</w:t>
      </w:r>
      <w:r>
        <w:t xml:space="preserve">, when the sequence contains</w:t>
      </w:r>
      <w:r>
        <w:t xml:space="preserve"> </w:t>
      </w:r>
      <w:r>
        <w:t xml:space="preserve">a cycle and cannot be ordered; and an</w:t>
      </w:r>
      <w:r>
        <w:t xml:space="preserve"> </w:t>
      </w:r>
      <w:r>
        <w:rPr>
          <w:bCs/>
          <w:b/>
        </w:rPr>
        <w:t xml:space="preserve">empty state</w:t>
      </w:r>
      <w:r>
        <w:t xml:space="preserve">, when no relationships exist yet.</w:t>
      </w:r>
    </w:p>
    <w:bookmarkEnd w:id="36"/>
    <w:bookmarkStart w:id="40" w:name="Xbd2be5b92d5c0a53771e371c6f31f4af980ad4c"/>
    <w:p>
      <w:pPr>
        <w:pStyle w:val="Heading3"/>
      </w:pPr>
      <w:r>
        <w:t xml:space="preserve">3.4 The diagram source</w:t>
      </w:r>
    </w:p>
    <w:p>
      <w:pPr>
        <w:pStyle w:val="FirstParagraph"/>
      </w:pPr>
      <w:r>
        <w:t xml:space="preserve">Collapsed, under</w:t>
      </w:r>
      <w:r>
        <w:t xml:space="preserve"> </w:t>
      </w:r>
      <w:r>
        <w:rPr>
          <w:iCs/>
          <w:i/>
        </w:rPr>
        <w:t xml:space="preserve">"Mermaid source, for redrawing elsewhere"</w:t>
      </w:r>
      <w:r>
        <w:t xml:space="preserve">.</w:t>
      </w:r>
    </w:p>
    <w:p>
      <w:pPr>
        <w:pStyle w:val="BodyText"/>
      </w:pPr>
      <w:r>
        <w:drawing>
          <wp:inline>
            <wp:extent cx="5778500" cy="3361874"/>
            <wp:effectExtent b="0" l="0" r="0" t="0"/>
            <wp:docPr descr="The Mermaid source" title="" id="38" name="Picture"/>
            <a:graphic>
              <a:graphicData uri="http://schemas.openxmlformats.org/drawingml/2006/picture">
                <pic:pic>
                  <pic:nvPicPr>
                    <pic:cNvPr descr="/usr/share/nginx/archive/atom-ahg-plugins/docs/images/harris-matrix/06-mermaid-sourc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361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Copy it into any Mermaid renderer, Markdown document or wiki that supports it. Relationship</w:t>
      </w:r>
      <w:r>
        <w:t xml:space="preserve"> </w:t>
      </w:r>
      <w:r>
        <w:t xml:space="preserve">types carry through as edge labels, so</w:t>
      </w:r>
      <w:r>
        <w:t xml:space="preserve"> </w:t>
      </w:r>
      <w:r>
        <w:rPr>
          <w:rStyle w:val="VerbatimChar"/>
        </w:rPr>
        <w:t xml:space="preserve">cuts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fills</w:t>
      </w:r>
      <w:r>
        <w:t xml:space="preserve"> </w:t>
      </w:r>
      <w:r>
        <w:t xml:space="preserve">stay legible in the redraw:</w:t>
      </w:r>
    </w:p>
    <w:p>
      <w:pPr>
        <w:pStyle w:val="SourceCode"/>
      </w:pPr>
      <w:r>
        <w:rPr>
          <w:rStyle w:val="VerbatimChar"/>
        </w:rPr>
        <w:t xml:space="preserve">g23 --&gt;|cuts| g22</w:t>
      </w:r>
      <w:r>
        <w:br/>
      </w:r>
      <w:r>
        <w:rPr>
          <w:rStyle w:val="VerbatimChar"/>
        </w:rPr>
        <w:t xml:space="preserve">g24 --&gt;|fills| g23</w:t>
      </w:r>
    </w:p>
    <w:p>
      <w:pPr>
        <w:pStyle w:val="FirstParagraph"/>
      </w:pPr>
      <w:r>
        <w:t xml:space="preserve">This is the same reduction as the drawing above.</w:t>
      </w:r>
    </w:p>
    <w:bookmarkEnd w:id="40"/>
    <w:bookmarkStart w:id="44" w:name="X3edfb608e4ea97ce8c958f2db9400266d0fe2f3"/>
    <w:p>
      <w:pPr>
        <w:pStyle w:val="Heading3"/>
      </w:pPr>
      <w:r>
        <w:t xml:space="preserve">3.5 The contexts table</w:t>
      </w:r>
    </w:p>
    <w:p>
      <w:pPr>
        <w:pStyle w:val="FirstParagraph"/>
      </w:pPr>
      <w:r>
        <w:drawing>
          <wp:inline>
            <wp:extent cx="5778500" cy="2973965"/>
            <wp:effectExtent b="0" l="0" r="0" t="0"/>
            <wp:docPr descr="The contexts table" title="" id="42" name="Picture"/>
            <a:graphic>
              <a:graphicData uri="http://schemas.openxmlformats.org/drawingml/2006/picture">
                <pic:pic>
                  <pic:nvPicPr>
                    <pic:cNvPr descr="/usr/share/nginx/archive/atom-ahg-plugins/docs/images/harris-matrix/07-contexts-table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2973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Every context on the site: number, type, phase, top and bottom elevation, trench or spit,</w:t>
      </w:r>
      <w:r>
        <w:t xml:space="preserve"> </w:t>
      </w:r>
      <w:r>
        <w:t xml:space="preserve">and excavator. This shows</w:t>
      </w:r>
      <w:r>
        <w:t xml:space="preserve"> </w:t>
      </w:r>
      <w:r>
        <w:rPr>
          <w:bCs/>
          <w:b/>
        </w:rPr>
        <w:t xml:space="preserve">everything recorded</w:t>
      </w:r>
      <w:r>
        <w:t xml:space="preserve">, including anything suppressed from the</w:t>
      </w:r>
      <w:r>
        <w:t xml:space="preserve"> </w:t>
      </w:r>
      <w:r>
        <w:t xml:space="preserve">diagram. Context numbers link through to the individual record.</w:t>
      </w:r>
    </w:p>
    <w:bookmarkEnd w:id="44"/>
    <w:bookmarkEnd w:id="45"/>
    <w:bookmarkStart w:id="49" w:name="X9cb5a7f3810ec0a44d39122be972540481138a0"/>
    <w:p>
      <w:pPr>
        <w:pStyle w:val="Heading2"/>
      </w:pPr>
      <w:r>
        <w:t xml:space="preserve">4. Recording relationships</w:t>
      </w:r>
    </w:p>
    <w:p>
      <w:pPr>
        <w:pStyle w:val="FirstParagraph"/>
      </w:pPr>
      <w:r>
        <w:t xml:space="preserve">Open a context from the table.</w:t>
      </w:r>
    </w:p>
    <w:p>
      <w:pPr>
        <w:pStyle w:val="BodyText"/>
      </w:pPr>
      <w:r>
        <w:drawing>
          <wp:inline>
            <wp:extent cx="5778500" cy="4699044"/>
            <wp:effectExtent b="0" l="0" r="0" t="0"/>
            <wp:docPr descr="A context record" title="" id="47" name="Picture"/>
            <a:graphic>
              <a:graphicData uri="http://schemas.openxmlformats.org/drawingml/2006/picture">
                <pic:pic>
                  <pic:nvPicPr>
                    <pic:cNvPr descr="/usr/share/nginx/archive/atom-ahg-plugins/docs/images/harris-matrix/08-context-detail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4699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Nine types are supported. Each has a reciprocal, and recording one direction writes the</w:t>
      </w:r>
      <w:r>
        <w:t xml:space="preserve"> </w:t>
      </w:r>
      <w:r>
        <w:t xml:space="preserve">other - you never record both.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You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Reciprocal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above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below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cut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cut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cut 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filled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filled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filled 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same 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 same 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same 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bonds with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bonds with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bonds with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abuts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pStyle w:val="Caption"/>
      </w:pPr>
      <w:r>
        <w:t xml:space="preserve">Table </w:t>
      </w:r>
      <w:fldSimple w:instr=" SEQ Table \* ARABIC ">
        <w:r>
          <w:t>1</w:t>
        </w:r>
      </w:fldSimple>
      <w:r>
        <w:t xml:space="preserve">: Recording relationships</w:t>
      </w:r>
    </w:p>
    <w:p>
      <w:pPr>
        <w:pStyle w:val="BodyText"/>
      </w:pPr>
      <w:r>
        <w:t xml:space="preserve">The last three carry no sequence. They record that two contexts are contemporary or</w:t>
      </w:r>
      <w:r>
        <w:t xml:space="preserve"> </w:t>
      </w:r>
      <w:r>
        <w:t xml:space="preserve">physically joined, and do not move either up or down the matrix - though</w:t>
      </w:r>
      <w:r>
        <w:t xml:space="preserve"> </w:t>
      </w:r>
      <w:r>
        <w:rPr>
          <w:rStyle w:val="VerbatimChar"/>
        </w:rPr>
        <w:t xml:space="preserve">same as</w:t>
      </w:r>
      <w:r>
        <w:t xml:space="preserve"> </w:t>
      </w:r>
      <w:r>
        <w:t xml:space="preserve">merges</w:t>
      </w:r>
      <w:r>
        <w:t xml:space="preserve"> </w:t>
      </w:r>
      <w:r>
        <w:t xml:space="preserve">them into a single node, as described above.</w:t>
      </w:r>
    </w:p>
    <w:bookmarkEnd w:id="49"/>
    <w:bookmarkStart w:id="53" w:name="Xc8d8c9b51ad482b7410fcbf9fed5c1266e7584d"/>
    <w:p>
      <w:pPr>
        <w:pStyle w:val="Heading2"/>
      </w:pPr>
      <w:r>
        <w:t xml:space="preserve">5. Importing a sequence</w:t>
      </w:r>
    </w:p>
    <w:p>
      <w:pPr>
        <w:pStyle w:val="FirstParagraph"/>
      </w:pPr>
      <w:r>
        <w:rPr>
          <w:bCs/>
          <w:b/>
        </w:rPr>
        <w:t xml:space="preserve">Import CSV</w:t>
      </w:r>
      <w:r>
        <w:t xml:space="preserve">, from the Stratigraphy page.</w:t>
      </w:r>
    </w:p>
    <w:p>
      <w:pPr>
        <w:pStyle w:val="BodyText"/>
      </w:pPr>
      <w:r>
        <w:drawing>
          <wp:inline>
            <wp:extent cx="5778500" cy="4699044"/>
            <wp:effectExtent b="0" l="0" r="0" t="0"/>
            <wp:docPr descr="The import screen" title="" id="51" name="Picture"/>
            <a:graphic>
              <a:graphicData uri="http://schemas.openxmlformats.org/drawingml/2006/picture">
                <pic:pic>
                  <pic:nvPicPr>
                    <pic:cNvPr descr="/usr/share/nginx/archive/atom-ahg-plugins/docs/images/harris-matrix/09-import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4699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Upload contexts and their relationships together. A preview is shown before anything is</w:t>
      </w:r>
      <w:r>
        <w:t xml:space="preserve"> </w:t>
      </w:r>
      <w:r>
        <w:t xml:space="preserve">written.</w:t>
      </w:r>
    </w:p>
    <w:p>
      <w:pPr>
        <w:pStyle w:val="BodyText"/>
      </w:pPr>
      <w:r>
        <w:rPr>
          <w:bCs/>
          <w:b/>
        </w:rPr>
        <w:t xml:space="preserve">The preview is a real run that is rolled back</w:t>
      </w:r>
      <w:r>
        <w:t xml:space="preserve">, not a simulation. It reports the exact</w:t>
      </w:r>
      <w:r>
        <w:t xml:space="preserve"> </w:t>
      </w:r>
      <w:r>
        <w:t xml:space="preserve">counts and warnings the commit will produce, because a preview that can diverge from the</w:t>
      </w:r>
      <w:r>
        <w:t xml:space="preserve"> </w:t>
      </w:r>
      <w:r>
        <w:t xml:space="preserve">real thing is worse than no preview. What you see is what you will get.</w:t>
      </w:r>
    </w:p>
    <w:p>
      <w:pPr>
        <w:pStyle w:val="BodyText"/>
      </w:pPr>
      <w:r>
        <w:t xml:space="preserve">Check it for rows skipped, duplicates already present, and warnings about context numbers</w:t>
      </w:r>
      <w:r>
        <w:t xml:space="preserve"> </w:t>
      </w:r>
      <w:r>
        <w:t xml:space="preserve">that do not match existing records. A blank template is available from the same screen.</w:t>
      </w:r>
    </w:p>
    <w:bookmarkEnd w:id="53"/>
    <w:bookmarkStart w:id="57" w:name="X3dec8934ce860401fb5276611dccb137d2daa59"/>
    <w:p>
      <w:pPr>
        <w:pStyle w:val="Heading2"/>
      </w:pPr>
      <w:r>
        <w:t xml:space="preserve">6. Exporting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Export</w:t>
      </w:r>
      <w:r>
        <w:t xml:space="preserve"> </w:t>
      </w:r>
      <w:r>
        <w:t xml:space="preserve">menu offers three formats, and appears only once there is a sequence to</w:t>
      </w:r>
      <w:r>
        <w:t xml:space="preserve"> </w:t>
      </w:r>
      <w:r>
        <w:t xml:space="preserve">export.</w:t>
      </w:r>
    </w:p>
    <w:p>
      <w:pPr>
        <w:pStyle w:val="BodyText"/>
      </w:pPr>
      <w:r>
        <w:drawing>
          <wp:inline>
            <wp:extent cx="5778500" cy="4012847"/>
            <wp:effectExtent b="0" l="0" r="0" t="0"/>
            <wp:docPr descr="The export menu" title="" id="55" name="Picture"/>
            <a:graphic>
              <a:graphicData uri="http://schemas.openxmlformats.org/drawingml/2006/picture">
                <pic:pic>
                  <pic:nvPicPr>
                    <pic:cNvPr descr="/usr/share/nginx/archive/atom-ahg-plugins/docs/images/harris-matrix/10-export-menu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4012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it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full record - contexts, relationships, site detail. Archiving, or moving a site between systems.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DOT (Graphviz)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Redrawing in Graphviz or anything that reads DOT, for publication figures.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Phaser 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Opening the sequence in Phaser or another stratigraphic package.</w:t>
            </w:r>
          </w:p>
        </w:tc>
      </w:tr>
    </w:tbl>
    <w:p>
      <w:pPr>
        <w:pStyle w:val="Caption"/>
      </w:pPr>
      <w:r>
        <w:t xml:space="preserve">Table </w:t>
      </w:r>
      <w:fldSimple w:instr=" SEQ Table \* ARABIC ">
        <w:r>
          <w:t>1</w:t>
        </w:r>
      </w:fldSimple>
      <w:r>
        <w:t xml:space="preserve">: Exporting</w:t>
      </w:r>
    </w:p>
    <w:p>
      <w:pPr>
        <w:pStyle w:val="SourceCode"/>
      </w:pPr>
      <w:r>
        <w:rPr>
          <w:rStyle w:val="VerbatimChar"/>
        </w:rPr>
        <w:t xml:space="preserve">/archaeology/site/&lt;site id&gt;/export/datapackage</w:t>
      </w:r>
      <w:r>
        <w:br/>
      </w:r>
      <w:r>
        <w:rPr>
          <w:rStyle w:val="VerbatimChar"/>
        </w:rPr>
        <w:t xml:space="preserve">/archaeology/site/&lt;site id&gt;/export/dot</w:t>
      </w:r>
      <w:r>
        <w:br/>
      </w:r>
      <w:r>
        <w:rPr>
          <w:rStyle w:val="VerbatimChar"/>
        </w:rPr>
        <w:t xml:space="preserve">/archaeology/site/&lt;site id&gt;/export/phaser</w:t>
      </w:r>
    </w:p>
    <w:p>
      <w:pPr>
        <w:pStyle w:val="FirstParagraph"/>
      </w:pPr>
      <w:r>
        <w:t xml:space="preserve">Exports carry</w:t>
      </w:r>
      <w:r>
        <w:t xml:space="preserve"> </w:t>
      </w:r>
      <w:r>
        <w:rPr>
          <w:bCs/>
          <w:b/>
        </w:rPr>
        <w:t xml:space="preserve">everything recorded</w:t>
      </w:r>
      <w:r>
        <w:t xml:space="preserve">, not the reduced drawing. For the reduction, use the</w:t>
      </w:r>
      <w:r>
        <w:t xml:space="preserve"> </w:t>
      </w:r>
      <w:r>
        <w:t xml:space="preserve">Mermaid source.</w:t>
      </w:r>
    </w:p>
    <w:bookmarkEnd w:id="57"/>
    <w:bookmarkStart w:id="58" w:name="X0bd518686f2d7bf8a119b1c69b48a7f50af2892"/>
    <w:p>
      <w:pPr>
        <w:pStyle w:val="Heading2"/>
      </w:pPr>
      <w:r>
        <w:t xml:space="preserve">7. When something looks wrong</w:t>
      </w:r>
    </w:p>
    <w:p>
      <w:pPr>
        <w:pStyle w:val="FirstParagraph"/>
      </w:pPr>
      <w:r>
        <w:rPr>
          <w:bCs/>
          <w:b/>
        </w:rPr>
        <w:t xml:space="preserve">The matrix is missing lines I recorded.</w:t>
      </w:r>
      <w:r>
        <w:t xml:space="preserve"> </w:t>
      </w:r>
      <w:r>
        <w:t xml:space="preserve">Check the summary line for a suppressed count. Redundant lines are removed by design; the</w:t>
      </w:r>
      <w:r>
        <w:t xml:space="preserve"> </w:t>
      </w:r>
      <w:r>
        <w:t xml:space="preserve">contexts table and the exports still hold everything.</w:t>
      </w:r>
    </w:p>
    <w:p>
      <w:pPr>
        <w:pStyle w:val="BodyText"/>
      </w:pPr>
      <w:r>
        <w:rPr>
          <w:bCs/>
          <w:b/>
        </w:rPr>
        <w:t xml:space="preserve">No matrix is drawn at all.</w:t>
      </w:r>
      <w:r>
        <w:t xml:space="preserve"> </w:t>
      </w:r>
      <w:r>
        <w:t xml:space="preserve">Either there are no relationships yet, or the sequence contains a loop. The page says</w:t>
      </w:r>
      <w:r>
        <w:t xml:space="preserve"> </w:t>
      </w:r>
      <w:r>
        <w:t xml:space="preserve">which. A loop must be resolved before any ordering is possible.</w:t>
      </w:r>
    </w:p>
    <w:p>
      <w:pPr>
        <w:pStyle w:val="BodyText"/>
      </w:pPr>
      <w:r>
        <w:rPr>
          <w:bCs/>
          <w:b/>
        </w:rPr>
        <w:t xml:space="preserve">A relationship is flagged that I know is right.</w:t>
      </w:r>
      <w:r>
        <w:t xml:space="preserve"> </w:t>
      </w:r>
      <w:r>
        <w:t xml:space="preserve">The phase and elevation checks are conservative and can flag genuine field situations,</w:t>
      </w:r>
      <w:r>
        <w:t xml:space="preserve"> </w:t>
      </w:r>
      <w:r>
        <w:t xml:space="preserve">particularly around cuts and re-cut features, and the phase check depends on a majority</w:t>
      </w:r>
      <w:r>
        <w:t xml:space="preserve"> </w:t>
      </w:r>
      <w:r>
        <w:t xml:space="preserve">that may be thin. A finding is a prompt to look.</w:t>
      </w:r>
    </w:p>
    <w:p>
      <w:pPr>
        <w:pStyle w:val="BodyText"/>
      </w:pPr>
      <w:r>
        <w:rPr>
          <w:bCs/>
          <w:b/>
        </w:rPr>
        <w:t xml:space="preserve">Two contexts I correlated appear as one box.</w:t>
      </w:r>
      <w:r>
        <w:t xml:space="preserve"> </w:t>
      </w:r>
      <w:r>
        <w:t xml:space="preserve">That is correct - see 3.3.</w:t>
      </w:r>
    </w:p>
    <w:p>
      <w:pPr>
        <w:pStyle w:val="BodyText"/>
      </w:pPr>
      <w:r>
        <w:rPr>
          <w:bCs/>
          <w:b/>
        </w:rPr>
        <w:t xml:space="preserve">The page is slow on a large site.</w:t>
      </w:r>
      <w:r>
        <w:t xml:space="preserve"> </w:t>
      </w:r>
      <w:r>
        <w:t xml:space="preserve">Dense records are heavier than large ones. Thousands of contexts in long chains are fine;</w:t>
      </w:r>
      <w:r>
        <w:t xml:space="preserve"> </w:t>
      </w:r>
      <w:r>
        <w:t xml:space="preserve">the same count with many relationships each is the harder case. Current performance is</w:t>
      </w:r>
      <w:r>
        <w:t xml:space="preserve"> </w:t>
      </w:r>
      <w:r>
        <w:t xml:space="preserve">about 60ms at 3,000 contexts and 12,000 relationships.</w:t>
      </w:r>
    </w:p>
    <w:bookmarkEnd w:id="58"/>
    <w:bookmarkStart w:id="59" w:name="appendix-addresses"/>
    <w:p>
      <w:pPr>
        <w:pStyle w:val="Heading2"/>
      </w:pPr>
      <w:r>
        <w:t xml:space="preserve">Appendix: addresses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Stratigraphy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/archaeology/site/&lt;id&gt;/contexts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 plan and map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/archaeology/site/&lt;id&gt;/plan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CSV import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/archaeology/site/&lt;id&gt;/import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Blank template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/archaeology/site/&lt;id&gt;/import/template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/archaeology/site/&lt;id&gt;/export/&lt;datapackage|dot|phaser&gt;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Contexts as 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/archaeology/site/&lt;id&gt;/contexts.json</w:t>
            </w:r>
          </w:p>
        </w:tc>
      </w:tr>
    </w:tbl>
    <w:p>
      <w:pPr>
        <w:pStyle w:val="Caption"/>
      </w:pPr>
      <w:r>
        <w:t xml:space="preserve">Table </w:t>
      </w:r>
      <w:fldSimple w:instr=" SEQ Table \* ARABIC ">
        <w:r>
          <w:t>1</w:t>
        </w:r>
      </w:fldSimple>
      <w:r>
        <w:t xml:space="preserve">: Appendix: addresses</w:t>
      </w:r>
    </w:p>
    <w:bookmarkEnd w:id="59"/>
    <w:bookmarkEnd w:id="60"/>
    <w:sectPr>
      <w:headerReference r:id="rId9" w:type="default"/>
      <w:footerReference r:id="rId10" w:type="default"/>
      <w:pgSz w:h="16838" w:w="11906"/>
      <w:pgMar w:bottom="2200" w:footer="709" w:gutter="0" w:header="709" w:left="1361" w:right="1440" w:top="268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17120" w14:textId="77777777" w:rsidR="00A43D4C" w:rsidRDefault="00C04EB5" w:rsidP="00C04EB5">
    <w:pPr>
      <w:pStyle w:val="Footer"/>
      <w:tabs>
        <w:tab w:val="clear" w:pos="4513"/>
        <w:tab w:val="clear" w:pos="9026"/>
        <w:tab w:val="left" w:pos="3731"/>
      </w:tabs>
    </w:pPr>
    <w:r>
      <w:rPr>
        <w:noProof/>
      </w:rPr>
      <w:drawing>
        <wp:anchor distT="0" distB="0" distL="114300" distR="114300" simplePos="0" relativeHeight="251672576" behindDoc="1" locked="0" layoutInCell="1" allowOverlap="1" wp14:anchorId="61B824A6" wp14:editId="3C90FE3F">
          <wp:simplePos x="0" y="0"/>
          <wp:positionH relativeFrom="page">
            <wp:align>left</wp:align>
          </wp:positionH>
          <wp:positionV relativeFrom="paragraph">
            <wp:posOffset>-687573</wp:posOffset>
          </wp:positionV>
          <wp:extent cx="7597678" cy="1314821"/>
          <wp:effectExtent l="0" t="0" r="3810" b="0"/>
          <wp:wrapNone/>
          <wp:docPr id="1703766760" name="Picture 8" descr="A black and blue rectangle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3766760" name="Picture 8" descr="A black and blue rectangle with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7678" cy="13148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0A1AD" w14:textId="77777777" w:rsidR="0056207F" w:rsidRDefault="0050467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A6C3590" wp14:editId="15787B4A">
              <wp:simplePos x="0" y="0"/>
              <wp:positionH relativeFrom="column">
                <wp:posOffset>3907790</wp:posOffset>
              </wp:positionH>
              <wp:positionV relativeFrom="paragraph">
                <wp:posOffset>38579</wp:posOffset>
              </wp:positionV>
              <wp:extent cx="1625600" cy="527050"/>
              <wp:effectExtent l="0" t="0" r="0" b="6350"/>
              <wp:wrapNone/>
              <wp:docPr id="81293964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5600" cy="527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52D0520" w14:textId="77777777" w:rsidR="00764F98" w:rsidRPr="0075076B" w:rsidRDefault="00764F98" w:rsidP="0050467E">
                          <w:pPr>
                            <w:spacing w:line="192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490 Barry Hertzog Street</w:t>
                          </w:r>
                          <w:r w:rsidRPr="00764F98">
                            <w:rPr>
                              <w:rFonts w:ascii="MS Gothic" w:eastAsia="MS Gothic" w:hAnsi="MS Gothic" w:cs="MS Gothic" w:hint="eastAsia"/>
                              <w:color w:val="10373E"/>
                              <w:sz w:val="16"/>
                              <w:szCs w:val="16"/>
                            </w:rPr>
                            <w:t> </w:t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Constantia Park </w:t>
                          </w:r>
                          <w:r w:rsid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Pretoria 0181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6C359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07.7pt;margin-top:3.05pt;width:128pt;height:41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" filled="f" stroked="f" strokeweight=".5pt">
              <v:textbox>
                <w:txbxContent>
                  <w:p w14:paraId="052D0520" w14:textId="77777777" w:rsidR="00764F98" w:rsidRPr="0075076B" w:rsidRDefault="00764F98" w:rsidP="0050467E">
                    <w:pPr>
                      <w:spacing w:line="192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490 Barry Hertzog Street</w:t>
                    </w:r>
                    <w:r w:rsidRPr="00764F98">
                      <w:rPr>
                        <w:rFonts w:ascii="MS Gothic" w:eastAsia="MS Gothic" w:hAnsi="MS Gothic" w:cs="MS Gothic" w:hint="eastAsia"/>
                        <w:color w:val="10373E"/>
                        <w:sz w:val="16"/>
                        <w:szCs w:val="16"/>
                      </w:rPr>
                      <w:t> </w:t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Constantia Park </w:t>
                    </w:r>
                    <w:r w:rsid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Pretoria 0181</w:t>
                    </w:r>
                  </w:p>
                </w:txbxContent>
              </v:textbox>
            </v:shape>
          </w:pict>
        </mc:Fallback>
      </mc:AlternateContent>
    </w:r>
    <w:r w:rsidR="009614AC">
      <w:rPr>
        <w:noProof/>
      </w:rPr>
      <w:drawing>
        <wp:anchor distT="0" distB="0" distL="114300" distR="114300" simplePos="0" relativeHeight="251670528" behindDoc="1" locked="0" layoutInCell="1" allowOverlap="1" wp14:anchorId="05DDA482" wp14:editId="6B6E429E">
          <wp:simplePos x="0" y="0"/>
          <wp:positionH relativeFrom="page">
            <wp:posOffset>0</wp:posOffset>
          </wp:positionH>
          <wp:positionV relativeFrom="paragraph">
            <wp:posOffset>-457464</wp:posOffset>
          </wp:positionV>
          <wp:extent cx="7566766" cy="1144322"/>
          <wp:effectExtent l="0" t="0" r="0" b="0"/>
          <wp:wrapNone/>
          <wp:docPr id="138615095" name="Picture 7" descr="A white rectangular object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615095" name="Picture 7" descr="A white rectangular object with black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6766" cy="11443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2B8B08E" wp14:editId="017DF92B">
              <wp:simplePos x="0" y="0"/>
              <wp:positionH relativeFrom="page">
                <wp:posOffset>6332855</wp:posOffset>
              </wp:positionH>
              <wp:positionV relativeFrom="paragraph">
                <wp:posOffset>114935</wp:posOffset>
              </wp:positionV>
              <wp:extent cx="1181100" cy="381000"/>
              <wp:effectExtent l="0" t="0" r="0" b="0"/>
              <wp:wrapNone/>
              <wp:docPr id="42727190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EF42247" w14:textId="77777777" w:rsidR="00764F98" w:rsidRPr="00764F98" w:rsidRDefault="00764F98" w:rsidP="00304A2C">
                          <w:pPr>
                            <w:spacing w:line="192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t>Reg No:</w:t>
                          </w: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2024 / 316608 / 07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2B8B08E" id="_x0000_s1027" type="#_x0000_t202" style="position:absolute;margin-left:498.65pt;margin-top:9.05pt;width:93pt;height:30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" filled="f" stroked="f" strokeweight=".5pt">
              <v:textbox>
                <w:txbxContent>
                  <w:p w14:paraId="0EF42247" w14:textId="77777777" w:rsidR="00764F98" w:rsidRPr="00764F98" w:rsidRDefault="00764F98" w:rsidP="00304A2C">
                    <w:pPr>
                      <w:spacing w:line="192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t>Reg No:</w:t>
                    </w: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2024 / 316608 / 07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B2099E7" wp14:editId="6C42685A">
              <wp:simplePos x="0" y="0"/>
              <wp:positionH relativeFrom="column">
                <wp:posOffset>5469989</wp:posOffset>
              </wp:positionH>
              <wp:positionV relativeFrom="paragraph">
                <wp:posOffset>-196215</wp:posOffset>
              </wp:positionV>
              <wp:extent cx="1181100" cy="381000"/>
              <wp:effectExtent l="0" t="0" r="0" b="0"/>
              <wp:wrapNone/>
              <wp:docPr id="1099339089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5695187" w14:textId="77777777" w:rsidR="00764F98" w:rsidRPr="0075076B" w:rsidRDefault="00764F98" w:rsidP="00A43D4C">
                          <w:pPr>
                            <w:spacing w:line="180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t>VAT:</w:t>
                          </w: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4010321919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2099E7" id="_x0000_s1028" type="#_x0000_t202" style="position:absolute;margin-left:430.7pt;margin-top:-15.45pt;width:93pt;height:3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" filled="f" stroked="f" strokeweight=".5pt">
              <v:textbox>
                <w:txbxContent>
                  <w:p w14:paraId="45695187" w14:textId="77777777" w:rsidR="00764F98" w:rsidRPr="0075076B" w:rsidRDefault="00764F98" w:rsidP="00A43D4C">
                    <w:pPr>
                      <w:spacing w:line="180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t>VAT:</w:t>
                    </w: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4010321919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92E9CD8" wp14:editId="2FFF53C2">
              <wp:simplePos x="0" y="0"/>
              <wp:positionH relativeFrom="column">
                <wp:posOffset>2543175</wp:posOffset>
              </wp:positionH>
              <wp:positionV relativeFrom="paragraph">
                <wp:posOffset>-196215</wp:posOffset>
              </wp:positionV>
              <wp:extent cx="1167765" cy="254000"/>
              <wp:effectExtent l="0" t="0" r="0" b="0"/>
              <wp:wrapNone/>
              <wp:docPr id="338007912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5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E2452BA" w14:textId="77777777" w:rsidR="0075076B" w:rsidRPr="0075076B" w:rsidRDefault="0075076B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5076B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johan@theahg.co.za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92E9CD8" id="_x0000_s1029" type="#_x0000_t202" style="position:absolute;margin-left:200.25pt;margin-top:-15.45pt;width:91.95pt;height:2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" filled="f" stroked="f" strokeweight=".5pt">
              <v:textbox>
                <w:txbxContent>
                  <w:p w14:paraId="0E2452BA" w14:textId="77777777" w:rsidR="0075076B" w:rsidRPr="0075076B" w:rsidRDefault="0075076B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5076B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johan@theahg.co.za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B6A3860" wp14:editId="2EB561BE">
              <wp:simplePos x="0" y="0"/>
              <wp:positionH relativeFrom="column">
                <wp:posOffset>2541270</wp:posOffset>
              </wp:positionH>
              <wp:positionV relativeFrom="paragraph">
                <wp:posOffset>133985</wp:posOffset>
              </wp:positionV>
              <wp:extent cx="1167765" cy="271145"/>
              <wp:effectExtent l="0" t="0" r="0" b="0"/>
              <wp:wrapNone/>
              <wp:docPr id="1124736102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711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744EBB1" w14:textId="77777777" w:rsidR="00764F98" w:rsidRPr="0075076B" w:rsidRDefault="00764F98" w:rsidP="00764F98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https://theahg.co.za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B6A3860" id="_x0000_s1030" type="#_x0000_t202" style="position:absolute;margin-left:200.1pt;margin-top:10.55pt;width:91.95pt;height:21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" filled="f" stroked="f" strokeweight=".5pt">
              <v:textbox>
                <w:txbxContent>
                  <w:p w14:paraId="1744EBB1" w14:textId="77777777" w:rsidR="00764F98" w:rsidRPr="0075076B" w:rsidRDefault="00764F98" w:rsidP="00764F98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https://theahg.co.za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13D3162" wp14:editId="03DE40C5">
              <wp:simplePos x="0" y="0"/>
              <wp:positionH relativeFrom="column">
                <wp:posOffset>3906396</wp:posOffset>
              </wp:positionH>
              <wp:positionV relativeFrom="paragraph">
                <wp:posOffset>-192405</wp:posOffset>
              </wp:positionV>
              <wp:extent cx="1167765" cy="222250"/>
              <wp:effectExtent l="0" t="0" r="0" b="6350"/>
              <wp:wrapNone/>
              <wp:docPr id="940937639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222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5A72589" w14:textId="77777777" w:rsidR="00764F98" w:rsidRPr="0075076B" w:rsidRDefault="0050467E" w:rsidP="00764F98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+27 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87</w:t>
                          </w: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 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265</w:t>
                          </w: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5297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13D3162" id="_x0000_s1031" type="#_x0000_t202" style="position:absolute;margin-left:307.6pt;margin-top:-15.15pt;width:91.95pt;height:1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" filled="f" stroked="f" strokeweight=".5pt">
              <v:textbox>
                <w:txbxContent>
                  <w:p w14:paraId="45A72589" w14:textId="77777777" w:rsidR="00764F98" w:rsidRPr="0075076B" w:rsidRDefault="0050467E" w:rsidP="00764F98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+27 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87</w:t>
                    </w: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 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265</w:t>
                    </w: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 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5297</w:t>
                    </w:r>
                  </w:p>
                </w:txbxContent>
              </v:textbox>
            </v:shape>
          </w:pict>
        </mc:Fallback>
      </mc:AlternateContent>
    </w:r>
  </w:p>
  <w:p w14:paraId="4AB7329A" w14:textId="77777777" w:rsidR="0056207F" w:rsidRDefault="0056207F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ZA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ZA" w:val="en-ZA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pPr>
      <w:spacing w:after="180" w:before="180"/>
      <w:jc w:val="both"/>
    </w:pPr>
    <w:qFormat/>
  </w:style>
  <w:style w:customStyle="1" w:styleId="FirstParagraph" w:type="paragraph">
    <w:name w:val="First Paragraph"/>
    <w:basedOn w:val="BodyText"/>
    <w:next w:val="BodyText"/>
    <w:qFormat/>
    <w:pPr>
      <w:jc w:val="both"/>
    </w:p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595959" w:space="0" w:sz="4" w:val="single"/>
        <w:left w:color="595959" w:space="0" w:sz="4" w:val="single"/>
        <w:bottom w:color="595959" w:space="0" w:sz="4" w:val="single"/>
        <w:right w:color="595959" w:space="0" w:sz="4" w:val="single"/>
        <w:insideH w:color="595959" w:space="0" w:sz="4" w:val="single"/>
        <w:insideV w:color="595959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FFFFFF"/>
      </w:rPr>
      <w:tcPr>
        <w:shd w:color="auto" w:fill="10373E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footer2.xml" Type="http://schemas.openxmlformats.org/officeDocument/2006/relationships/footer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2026-09-01T11:32:07Z</dcterms:created>
  <dcterms:modified xsi:type="dcterms:W3CDTF">2026-09-01T11:32:07Z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