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PR Review Checklist</w:t>
      </w:r>
    </w:p>
    <w:p>
      <w:pPr>
        <w:pStyle w:val="Author"/>
      </w:pPr>
      <w:r>
        <w:t xml:space="preserve">The Archive and Heritage Group (Pty) Ltd</w:t>
      </w:r>
    </w:p>
    <w:bookmarkStart w:id="37" w:name="atom-heratio-pr-review-checklist"/>
    <w:p>
      <w:pPr>
        <w:pStyle w:val="Heading1"/>
      </w:pPr>
      <w:r>
        <w:t xml:space="preserve">AtoM Heratio — PR Review Checklist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2026-02-28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Use this checklist when reviewing pull requests for</w:t>
      </w:r>
      <w:r>
        <w:t xml:space="preserve"> </w:t>
      </w:r>
      <w:r>
        <w:rPr>
          <w:rStyle w:val="VerbatimChar"/>
        </w:rPr>
        <w:t xml:space="preserve">atom-framework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atom-ahg-plugins</w:t>
      </w:r>
      <w:r>
        <w:t xml:space="preserve">. Every PR must pass all applicable sections before merge.</w:t>
      </w:r>
    </w:p>
    <w:p>
      <w:r>
        <w:pict>
          <v:rect style="width:0;height:1.5pt" o:hralign="center" o:hrstd="t" o:hr="t"/>
        </w:pict>
      </w:r>
    </w:p>
    <w:bookmarkEnd w:id="20"/>
    <w:bookmarkStart w:id="21" w:name="general"/>
    <w:p>
      <w:pPr>
        <w:pStyle w:val="Heading2"/>
      </w:pPr>
      <w:r>
        <w:t xml:space="preserve">1. General</w:t>
      </w:r>
    </w:p>
    <w:p>
      <w:pPr>
        <w:numPr>
          <w:ilvl w:val="0"/>
          <w:numId w:val="1001"/>
        </w:numPr>
        <w:pStyle w:val="Compact"/>
      </w:pPr>
      <w:r>
        <w:t xml:space="preserve">☐ PR title is concise and descriptive (under 70 characters)</w:t>
      </w:r>
    </w:p>
    <w:p>
      <w:pPr>
        <w:numPr>
          <w:ilvl w:val="0"/>
          <w:numId w:val="1001"/>
        </w:numPr>
        <w:pStyle w:val="Compact"/>
      </w:pPr>
      <w:r>
        <w:t xml:space="preserve">☐ PR description explains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changed and</w:t>
      </w:r>
      <w:r>
        <w:t xml:space="preserve"> </w:t>
      </w:r>
      <w:r>
        <w:rPr>
          <w:bCs/>
          <w:b/>
        </w:rPr>
        <w:t xml:space="preserve">why</w:t>
      </w:r>
    </w:p>
    <w:p>
      <w:pPr>
        <w:numPr>
          <w:ilvl w:val="0"/>
          <w:numId w:val="1001"/>
        </w:numPr>
        <w:pStyle w:val="Compact"/>
      </w:pPr>
      <w:r>
        <w:t xml:space="preserve">☐ Changes are limited to the stated scope (no unrelated modifications)</w:t>
      </w:r>
    </w:p>
    <w:p>
      <w:pPr>
        <w:numPr>
          <w:ilvl w:val="0"/>
          <w:numId w:val="1001"/>
        </w:numPr>
        <w:pStyle w:val="Compact"/>
      </w:pPr>
      <w:r>
        <w:t xml:space="preserve">☐ No base AtoM files modified (</w:t>
      </w:r>
      <w:r>
        <w:rPr>
          <w:rStyle w:val="VerbatimChar"/>
        </w:rPr>
        <w:t xml:space="preserve">apps/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core,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No locked plugin files modified without explicit approval</w:t>
      </w:r>
    </w:p>
    <w:p>
      <w:pPr>
        <w:numPr>
          <w:ilvl w:val="0"/>
          <w:numId w:val="1001"/>
        </w:numPr>
        <w:pStyle w:val="Compact"/>
      </w:pPr>
      <w:r>
        <w:t xml:space="preserve">☐ Code follows PHP CS Fixer standards</w:t>
      </w:r>
    </w:p>
    <w:p>
      <w:pPr>
        <w:numPr>
          <w:ilvl w:val="0"/>
          <w:numId w:val="1001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 </w:t>
      </w:r>
      <w:r>
        <w:t xml:space="preserve">comments left unresolved</w:t>
      </w:r>
    </w:p>
    <w:p>
      <w:r>
        <w:pict>
          <v:rect style="width:0;height:1.5pt" o:hralign="center" o:hrstd="t" o:hr="t"/>
        </w:pict>
      </w:r>
    </w:p>
    <w:bookmarkEnd w:id="21"/>
    <w:bookmarkStart w:id="23" w:name="security-shell-execution"/>
    <w:p>
      <w:pPr>
        <w:pStyle w:val="Heading2"/>
      </w:pPr>
      <w:r>
        <w:t xml:space="preserve">2. Security — Shell Execution</w:t>
      </w:r>
    </w:p>
    <w:p>
      <w:pPr>
        <w:numPr>
          <w:ilvl w:val="0"/>
          <w:numId w:val="1002"/>
        </w:numPr>
        <w:pStyle w:val="Compact"/>
      </w:pPr>
      <w:r>
        <w:t xml:space="preserve">☐ All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shell_exec()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passthru()</w:t>
      </w:r>
      <w:r>
        <w:t xml:space="preserve"> </w:t>
      </w:r>
      <w:r>
        <w:t xml:space="preserve">calls use</w:t>
      </w:r>
      <w:r>
        <w:t xml:space="preserve"> </w:t>
      </w:r>
      <w:r>
        <w:rPr>
          <w:rStyle w:val="VerbatimChar"/>
        </w:rPr>
        <w:t xml:space="preserve">escapeshellarg()</w:t>
      </w:r>
      <w:r>
        <w:t xml:space="preserve"> </w:t>
      </w:r>
      <w:r>
        <w:t xml:space="preserve">on external input</w:t>
      </w:r>
    </w:p>
    <w:p>
      <w:pPr>
        <w:numPr>
          <w:ilvl w:val="0"/>
          <w:numId w:val="1002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addslashes()</w:t>
      </w:r>
      <w:r>
        <w:t xml:space="preserve"> </w:t>
      </w:r>
      <w:r>
        <w:t xml:space="preserve">used in shell contexts</w:t>
      </w:r>
    </w:p>
    <w:p>
      <w:pPr>
        <w:numPr>
          <w:ilvl w:val="0"/>
          <w:numId w:val="1002"/>
        </w:numPr>
        <w:pStyle w:val="Compact"/>
      </w:pPr>
      <w:r>
        <w:t xml:space="preserve">☐ Directory paths validated with</w:t>
      </w:r>
      <w:r>
        <w:t xml:space="preserve"> </w:t>
      </w:r>
      <w:r>
        <w:rPr>
          <w:rStyle w:val="VerbatimChar"/>
        </w:rPr>
        <w:t xml:space="preserve">realpath()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cd</w:t>
      </w:r>
    </w:p>
    <w:p>
      <w:pPr>
        <w:numPr>
          <w:ilvl w:val="0"/>
          <w:numId w:val="1002"/>
        </w:numPr>
        <w:pStyle w:val="Compact"/>
      </w:pPr>
      <w:r>
        <w:t xml:space="preserve">☐ Service names validated against allowlist for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operations</w:t>
      </w:r>
    </w:p>
    <w:p>
      <w:pPr>
        <w:numPr>
          <w:ilvl w:val="0"/>
          <w:numId w:val="1002"/>
        </w:numPr>
        <w:pStyle w:val="Compact"/>
      </w:pPr>
      <w:r>
        <w:t xml:space="preserve">☐ Complex shell commands use</w:t>
      </w:r>
      <w:r>
        <w:t xml:space="preserve"> </w:t>
      </w:r>
      <w:r>
        <w:rPr>
          <w:rStyle w:val="VerbatimChar"/>
        </w:rPr>
        <w:t xml:space="preserve">ShellCommandService</w:t>
      </w:r>
      <w:r>
        <w:t xml:space="preserve"> </w:t>
      </w:r>
      <w:r>
        <w:t xml:space="preserve">builders</w:t>
      </w:r>
    </w:p>
    <w:p>
      <w:pPr>
        <w:numPr>
          <w:ilvl w:val="0"/>
          <w:numId w:val="1002"/>
        </w:numPr>
        <w:pStyle w:val="Compact"/>
      </w:pPr>
      <w:r>
        <w:t xml:space="preserve">☐ No user input directly interpolated into shell command strings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hyperlink r:id="rId22">
        <w:r>
          <w:rPr>
            <w:rStyle w:val="Hyperlink"/>
          </w:rPr>
          <w:t xml:space="preserve">SHELL_EXECUTION_POLICY.md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5" w:name="security-outbound-http"/>
    <w:p>
      <w:pPr>
        <w:pStyle w:val="Heading2"/>
      </w:pPr>
      <w:r>
        <w:t xml:space="preserve">3. Security — Outbound HTTP</w:t>
      </w:r>
    </w:p>
    <w:p>
      <w:pPr>
        <w:numPr>
          <w:ilvl w:val="0"/>
          <w:numId w:val="1003"/>
        </w:numPr>
        <w:pStyle w:val="Compact"/>
      </w:pPr>
      <w:r>
        <w:t xml:space="preserve">☐ All outbound HTTP uses</w:t>
      </w:r>
      <w:r>
        <w:t xml:space="preserve"> </w:t>
      </w:r>
      <w:r>
        <w:rPr>
          <w:rStyle w:val="VerbatimChar"/>
        </w:rPr>
        <w:t xml:space="preserve">HttpClientService</w:t>
      </w:r>
      <w:r>
        <w:t xml:space="preserve"> </w:t>
      </w:r>
      <w:r>
        <w:t xml:space="preserve">(no direct</w:t>
      </w:r>
      <w:r>
        <w:t xml:space="preserve"> </w:t>
      </w:r>
      <w:r>
        <w:rPr>
          <w:rStyle w:val="VerbatimChar"/>
        </w:rPr>
        <w:t xml:space="preserve">curl_init()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CURLOPT_SSL_VERIFYPEER =&gt; false</w:t>
      </w:r>
      <w:r>
        <w:t xml:space="preserve"> </w:t>
      </w:r>
      <w:r>
        <w:t xml:space="preserve">in production code</w:t>
      </w:r>
    </w:p>
    <w:p>
      <w:pPr>
        <w:numPr>
          <w:ilvl w:val="0"/>
          <w:numId w:val="1003"/>
        </w:numPr>
        <w:pStyle w:val="Compact"/>
      </w:pPr>
      <w:r>
        <w:t xml:space="preserve">☐ User-provided URLs are never fetched without SSRF protection</w:t>
      </w:r>
    </w:p>
    <w:p>
      <w:pPr>
        <w:numPr>
          <w:ilvl w:val="0"/>
          <w:numId w:val="1003"/>
        </w:numPr>
        <w:pStyle w:val="Compact"/>
      </w:pPr>
      <w:r>
        <w:t xml:space="preserve">☐ XML parsing uses</w:t>
      </w:r>
      <w:r>
        <w:t xml:space="preserve"> </w:t>
      </w:r>
      <w:r>
        <w:rPr>
          <w:rStyle w:val="VerbatimChar"/>
        </w:rPr>
        <w:t xml:space="preserve">XmlParserService</w:t>
      </w:r>
      <w:r>
        <w:t xml:space="preserve"> </w:t>
      </w:r>
      <w:r>
        <w:t xml:space="preserve">(no direct</w:t>
      </w:r>
      <w:r>
        <w:t xml:space="preserve"> </w:t>
      </w:r>
      <w:r>
        <w:rPr>
          <w:rStyle w:val="VerbatimChar"/>
        </w:rPr>
        <w:t xml:space="preserve">simplexml_load_string()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Response bodies are size-limited and validated before processing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hyperlink r:id="rId24">
        <w:r>
          <w:rPr>
            <w:rStyle w:val="Hyperlink"/>
          </w:rPr>
          <w:t xml:space="preserve">OUTBOUND_HTTP_POLICY.md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7" w:name="security-csrf"/>
    <w:p>
      <w:pPr>
        <w:pStyle w:val="Heading2"/>
      </w:pPr>
      <w:r>
        <w:t xml:space="preserve">4. Security — CSRF</w:t>
      </w:r>
    </w:p>
    <w:p>
      <w:pPr>
        <w:numPr>
          <w:ilvl w:val="0"/>
          <w:numId w:val="1004"/>
        </w:numPr>
        <w:pStyle w:val="Compact"/>
      </w:pPr>
      <w:r>
        <w:t xml:space="preserve">☐ All POST/PUT/DELETE forms include</w:t>
      </w:r>
      <w:r>
        <w:t xml:space="preserve"> </w:t>
      </w:r>
      <w:r>
        <w:rPr>
          <w:rStyle w:val="VerbatimChar"/>
        </w:rPr>
        <w:t xml:space="preserve">&lt;?php echo csrf_field() ?&gt;</w:t>
      </w:r>
    </w:p>
    <w:p>
      <w:pPr>
        <w:numPr>
          <w:ilvl w:val="0"/>
          <w:numId w:val="1004"/>
        </w:numPr>
        <w:pStyle w:val="Compact"/>
      </w:pPr>
      <w:r>
        <w:t xml:space="preserve">☐ AJAX handlers either use</w:t>
      </w:r>
      <w:r>
        <w:t xml:space="preserve"> </w:t>
      </w:r>
      <w:r>
        <w:rPr>
          <w:rStyle w:val="VerbatimChar"/>
        </w:rPr>
        <w:t xml:space="preserve">csrf.js</w:t>
      </w:r>
      <w:r>
        <w:t xml:space="preserve"> </w:t>
      </w:r>
      <w:r>
        <w:t xml:space="preserve">or manually send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</w:t>
      </w:r>
    </w:p>
    <w:p>
      <w:pPr>
        <w:numPr>
          <w:ilvl w:val="0"/>
          <w:numId w:val="1004"/>
        </w:numPr>
        <w:pStyle w:val="Compact"/>
      </w:pPr>
      <w:r>
        <w:t xml:space="preserve">☐ API endpoints using Bearer/API-Key auth are correctly exempt</w:t>
      </w:r>
    </w:p>
    <w:p>
      <w:pPr>
        <w:numPr>
          <w:ilvl w:val="0"/>
          <w:numId w:val="1004"/>
        </w:numPr>
        <w:pStyle w:val="Compact"/>
      </w:pPr>
      <w:r>
        <w:t xml:space="preserve">☐ Controllers that disable CSRF (</w:t>
      </w:r>
      <w:r>
        <w:rPr>
          <w:rStyle w:val="VerbatimChar"/>
        </w:rPr>
        <w:t xml:space="preserve">$csrfProtection = false</w:t>
      </w:r>
      <w:r>
        <w:t xml:space="preserve">) have documented justification</w:t>
      </w:r>
    </w:p>
    <w:p>
      <w:pPr>
        <w:numPr>
          <w:ilvl w:val="0"/>
          <w:numId w:val="1004"/>
        </w:numPr>
        <w:pStyle w:val="Compact"/>
      </w:pPr>
      <w:r>
        <w:t xml:space="preserve">☐ No CSRF tokens exposed in URLs or GET parameters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hyperlink r:id="rId26">
        <w:r>
          <w:rPr>
            <w:rStyle w:val="Hyperlink"/>
          </w:rPr>
          <w:t xml:space="preserve">CSRF_POLICY.md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9" w:name="security-content-security-policy"/>
    <w:p>
      <w:pPr>
        <w:pStyle w:val="Heading2"/>
      </w:pPr>
      <w:r>
        <w:t xml:space="preserve">5. Security — Content Security Policy</w:t>
      </w:r>
    </w:p>
    <w:p>
      <w:pPr>
        <w:numPr>
          <w:ilvl w:val="0"/>
          <w:numId w:val="1005"/>
        </w:numPr>
        <w:pStyle w:val="Compact"/>
      </w:pPr>
      <w:r>
        <w:t xml:space="preserve">☐ All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 include the CSP nonce snippet</w:t>
      </w:r>
    </w:p>
    <w:p>
      <w:pPr>
        <w:numPr>
          <w:ilvl w:val="0"/>
          <w:numId w:val="1005"/>
        </w:numPr>
        <w:pStyle w:val="Compact"/>
      </w:pPr>
      <w:r>
        <w:t xml:space="preserve">☐ All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tags include the CSP nonce snippet</w:t>
      </w:r>
    </w:p>
    <w:p>
      <w:pPr>
        <w:numPr>
          <w:ilvl w:val="0"/>
          <w:numId w:val="1005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added to CSP directives</w:t>
      </w:r>
    </w:p>
    <w:p>
      <w:pPr>
        <w:numPr>
          <w:ilvl w:val="0"/>
          <w:numId w:val="1005"/>
        </w:numPr>
        <w:pStyle w:val="Compact"/>
      </w:pPr>
      <w:r>
        <w:t xml:space="preserve">☐ New external CDN domains added to</w:t>
      </w:r>
      <w:r>
        <w:t xml:space="preserve"> </w:t>
      </w:r>
      <w:r>
        <w:rPr>
          <w:rStyle w:val="VerbatimChar"/>
        </w:rPr>
        <w:t xml:space="preserve">config/app.yml</w:t>
      </w:r>
      <w:r>
        <w:t xml:space="preserve"> </w:t>
      </w:r>
      <w:r>
        <w:t xml:space="preserve">allowlists (documented in PR)</w:t>
      </w:r>
    </w:p>
    <w:p>
      <w:pPr>
        <w:numPr>
          <w:ilvl w:val="0"/>
          <w:numId w:val="1005"/>
        </w:numPr>
        <w:pStyle w:val="Compact"/>
      </w:pPr>
      <w:r>
        <w:t xml:space="preserve">☐ Inline event handlers (</w:t>
      </w:r>
      <w:r>
        <w:rPr>
          <w:rStyle w:val="VerbatimChar"/>
        </w:rPr>
        <w:t xml:space="preserve">onclick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onload</w:t>
      </w:r>
      <w:r>
        <w:t xml:space="preserve">, etc.) are avoided — use event listeners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SECURITY_MODEL.md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0" w:name="security-input-validation"/>
    <w:p>
      <w:pPr>
        <w:pStyle w:val="Heading2"/>
      </w:pPr>
      <w:r>
        <w:t xml:space="preserve">6. Security — Input Validation</w:t>
      </w:r>
    </w:p>
    <w:p>
      <w:pPr>
        <w:numPr>
          <w:ilvl w:val="0"/>
          <w:numId w:val="1006"/>
        </w:numPr>
        <w:pStyle w:val="Compact"/>
      </w:pPr>
      <w:r>
        <w:t xml:space="preserve">☐ User input is validated before use (type, length, format)</w:t>
      </w:r>
    </w:p>
    <w:p>
      <w:pPr>
        <w:numPr>
          <w:ilvl w:val="0"/>
          <w:numId w:val="1006"/>
        </w:numPr>
        <w:pStyle w:val="Compact"/>
      </w:pPr>
      <w:r>
        <w:t xml:space="preserve">☐ SQL queries use Laravel Query Builder parameterized methods (no raw string concatenation)</w:t>
      </w:r>
    </w:p>
    <w:p>
      <w:pPr>
        <w:numPr>
          <w:ilvl w:val="0"/>
          <w:numId w:val="1006"/>
        </w:numPr>
        <w:pStyle w:val="Compact"/>
      </w:pPr>
      <w:r>
        <w:t xml:space="preserve">☐ HTML output uses</w:t>
      </w:r>
      <w:r>
        <w:t xml:space="preserve"> </w:t>
      </w:r>
      <w:r>
        <w:rPr>
          <w:rStyle w:val="VerbatimChar"/>
        </w:rPr>
        <w:t xml:space="preserve">htmlspecialchars()</w:t>
      </w:r>
      <w:r>
        <w:t xml:space="preserve"> </w:t>
      </w:r>
      <w:r>
        <w:t xml:space="preserve">or Blade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escaping</w:t>
      </w:r>
    </w:p>
    <w:p>
      <w:pPr>
        <w:numPr>
          <w:ilvl w:val="0"/>
          <w:numId w:val="1006"/>
        </w:numPr>
        <w:pStyle w:val="Compact"/>
      </w:pPr>
      <w:r>
        <w:t xml:space="preserve">☐ File uploads validated via</w:t>
      </w:r>
      <w:r>
        <w:t xml:space="preserve"> </w:t>
      </w:r>
      <w:r>
        <w:rPr>
          <w:rStyle w:val="VerbatimChar"/>
        </w:rPr>
        <w:t xml:space="preserve">FileValidationService</w:t>
      </w:r>
      <w:r>
        <w:t xml:space="preserve"> </w:t>
      </w:r>
      <w:r>
        <w:t xml:space="preserve">(MIME, extension, magic bytes)</w:t>
      </w:r>
    </w:p>
    <w:p>
      <w:pPr>
        <w:numPr>
          <w:ilvl w:val="0"/>
          <w:numId w:val="1006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unserialize()</w:t>
      </w:r>
      <w:r>
        <w:t xml:space="preserve"> </w:t>
      </w:r>
      <w:r>
        <w:t xml:space="preserve">on user-controlled data (use</w:t>
      </w:r>
      <w:r>
        <w:t xml:space="preserve"> </w:t>
      </w:r>
      <w:r>
        <w:rPr>
          <w:rStyle w:val="VerbatimChar"/>
        </w:rPr>
        <w:t xml:space="preserve">json_decode()</w:t>
      </w:r>
      <w:r>
        <w:t xml:space="preserve"> </w:t>
      </w:r>
      <w:r>
        <w:t xml:space="preserve">instead)</w:t>
      </w:r>
    </w:p>
    <w:p>
      <w:r>
        <w:pict>
          <v:rect style="width:0;height:1.5pt" o:hralign="center" o:hrstd="t" o:hr="t"/>
        </w:pict>
      </w:r>
    </w:p>
    <w:bookmarkEnd w:id="30"/>
    <w:bookmarkStart w:id="31" w:name="security-database"/>
    <w:p>
      <w:pPr>
        <w:pStyle w:val="Heading2"/>
      </w:pPr>
      <w:r>
        <w:t xml:space="preserve">7. Security — Database</w:t>
      </w:r>
    </w:p>
    <w:p>
      <w:pPr>
        <w:numPr>
          <w:ilvl w:val="0"/>
          <w:numId w:val="1007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without documented justification</w:t>
      </w:r>
    </w:p>
    <w:p>
      <w:pPr>
        <w:numPr>
          <w:ilvl w:val="0"/>
          <w:numId w:val="1007"/>
        </w:numPr>
        <w:pStyle w:val="Compact"/>
      </w:pPr>
      <w:r>
        <w:t xml:space="preserve">☐ Plugin Manager code uses PDO/Propel (not Laravel Query Builder)</w:t>
      </w:r>
    </w:p>
    <w:p>
      <w:pPr>
        <w:numPr>
          <w:ilvl w:val="0"/>
          <w:numId w:val="1007"/>
        </w:numPr>
        <w:pStyle w:val="Compact"/>
      </w:pPr>
      <w:r>
        <w:t xml:space="preserve">☐ Everything else uses Laravel Query Builder (not raw PDO)</w:t>
      </w:r>
    </w:p>
    <w:p>
      <w:pPr>
        <w:numPr>
          <w:ilvl w:val="0"/>
          <w:numId w:val="1007"/>
        </w:numPr>
        <w:pStyle w:val="Compact"/>
      </w:pPr>
      <w:r>
        <w:t xml:space="preserve">☐ No core AtoM table schema modifications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install.sql</w:t>
      </w:r>
      <w:r>
        <w:t xml:space="preserve"> </w:t>
      </w:r>
      <w:r>
        <w:t xml:space="preserve">does NOT contain</w:t>
      </w:r>
      <w:r>
        <w:t xml:space="preserve"> </w:t>
      </w:r>
      <w:r>
        <w:rPr>
          <w:rStyle w:val="VerbatimChar"/>
        </w:rPr>
        <w:t xml:space="preserve">INSERT INTO atom_plugin</w:t>
      </w:r>
    </w:p>
    <w:p>
      <w:r>
        <w:pict>
          <v:rect style="width:0;height:1.5pt" o:hralign="center" o:hrstd="t" o:hr="t"/>
        </w:pict>
      </w:r>
    </w:p>
    <w:bookmarkEnd w:id="31"/>
    <w:bookmarkStart w:id="32" w:name="architecture"/>
    <w:p>
      <w:pPr>
        <w:pStyle w:val="Heading2"/>
      </w:pPr>
      <w:r>
        <w:t xml:space="preserve">8. Architecture</w:t>
      </w:r>
    </w:p>
    <w:p>
      <w:pPr>
        <w:numPr>
          <w:ilvl w:val="0"/>
          <w:numId w:val="1008"/>
        </w:numPr>
        <w:pStyle w:val="Compact"/>
      </w:pPr>
      <w:r>
        <w:t xml:space="preserve">☐ New services follow namespace convention (</w:t>
      </w:r>
      <w:r>
        <w:rPr>
          <w:rStyle w:val="VerbatimChar"/>
        </w:rPr>
        <w:t xml:space="preserve">AtomFramework\Services\*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AtomExtensions\*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☐ Plugin code stays within its own plugin directory (no cross-plugin imports)</w:t>
      </w:r>
    </w:p>
    <w:p>
      <w:pPr>
        <w:numPr>
          <w:ilvl w:val="0"/>
          <w:numId w:val="1008"/>
        </w:numPr>
        <w:pStyle w:val="Compact"/>
      </w:pPr>
      <w:r>
        <w:t xml:space="preserve">☐ Templates use direct property access, not</w:t>
      </w:r>
      <w:r>
        <w:t xml:space="preserve"> </w:t>
      </w:r>
      <w:r>
        <w:rPr>
          <w:rStyle w:val="VerbatimChar"/>
        </w:rPr>
        <w:t xml:space="preserve">render_title()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__toString()</w:t>
      </w:r>
    </w:p>
    <w:p>
      <w:pPr>
        <w:numPr>
          <w:ilvl w:val="0"/>
          <w:numId w:val="1008"/>
        </w:numPr>
        <w:pStyle w:val="Compact"/>
      </w:pPr>
      <w:r>
        <w:t xml:space="preserve">☐ URL generation uses named routes or</w:t>
      </w:r>
      <w:r>
        <w:t xml:space="preserve"> </w:t>
      </w:r>
      <w:r>
        <w:rPr>
          <w:rStyle w:val="VerbatimChar"/>
        </w:rPr>
        <w:t xml:space="preserve">url_for()</w:t>
      </w:r>
      <w:r>
        <w:t xml:space="preserve"> </w:t>
      </w:r>
      <w:r>
        <w:t xml:space="preserve">helper</w:t>
      </w:r>
    </w:p>
    <w:p>
      <w:pPr>
        <w:numPr>
          <w:ilvl w:val="0"/>
          <w:numId w:val="1008"/>
        </w:numPr>
        <w:pStyle w:val="Compact"/>
      </w:pPr>
      <w:r>
        <w:t xml:space="preserve">☐ Form fields avoid</w:t>
      </w:r>
      <w:r>
        <w:t xml:space="preserve"> </w:t>
      </w:r>
      <w:r>
        <w:rPr>
          <w:rStyle w:val="VerbatimChar"/>
        </w:rPr>
        <w:t xml:space="preserve">name="action"</w:t>
      </w:r>
      <w:r>
        <w:t xml:space="preserve"> </w:t>
      </w:r>
      <w:r>
        <w:t xml:space="preserve">(Symfony reserved parameter)</w:t>
      </w:r>
    </w:p>
    <w:p>
      <w:r>
        <w:pict>
          <v:rect style="width:0;height:1.5pt" o:hralign="center" o:hrstd="t" o:hr="t"/>
        </w:pict>
      </w:r>
    </w:p>
    <w:bookmarkEnd w:id="32"/>
    <w:bookmarkStart w:id="33" w:name="testing"/>
    <w:p>
      <w:pPr>
        <w:pStyle w:val="Heading2"/>
      </w:pPr>
      <w:r>
        <w:t xml:space="preserve">9. Testing</w:t>
      </w:r>
    </w:p>
    <w:p>
      <w:pPr>
        <w:numPr>
          <w:ilvl w:val="0"/>
          <w:numId w:val="1009"/>
        </w:numPr>
        <w:pStyle w:val="Compact"/>
      </w:pPr>
      <w:r>
        <w:t xml:space="preserve">☐ Changes tested on development instance (192.168.0.112)</w:t>
      </w:r>
    </w:p>
    <w:p>
      <w:pPr>
        <w:numPr>
          <w:ilvl w:val="0"/>
          <w:numId w:val="1009"/>
        </w:numPr>
        <w:pStyle w:val="Compact"/>
      </w:pPr>
      <w:r>
        <w:t xml:space="preserve">☐ Functionality verified in browser</w:t>
      </w:r>
    </w:p>
    <w:p>
      <w:pPr>
        <w:numPr>
          <w:ilvl w:val="0"/>
          <w:numId w:val="1009"/>
        </w:numPr>
        <w:pStyle w:val="Compact"/>
      </w:pPr>
      <w:r>
        <w:t xml:space="preserve">☐ No PHP syntax errors (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on changed files)</w:t>
      </w:r>
    </w:p>
    <w:p>
      <w:pPr>
        <w:numPr>
          <w:ilvl w:val="0"/>
          <w:numId w:val="1009"/>
        </w:numPr>
        <w:pStyle w:val="Compact"/>
      </w:pPr>
      <w:r>
        <w:t xml:space="preserve">☐ No JavaScript console errors</w:t>
      </w:r>
    </w:p>
    <w:p>
      <w:pPr>
        <w:numPr>
          <w:ilvl w:val="0"/>
          <w:numId w:val="1009"/>
        </w:numPr>
        <w:pStyle w:val="Compact"/>
      </w:pPr>
      <w:r>
        <w:t xml:space="preserve">☐ Cache cleared after testing (</w:t>
      </w:r>
      <w:r>
        <w:rPr>
          <w:rStyle w:val="VerbatimChar"/>
        </w:rPr>
        <w:t xml:space="preserve">php symfony cc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Start w:id="35" w:name="documentation"/>
    <w:p>
      <w:pPr>
        <w:pStyle w:val="Heading2"/>
      </w:pPr>
      <w:r>
        <w:t xml:space="preserve">10. Documentation</w:t>
      </w:r>
    </w:p>
    <w:p>
      <w:pPr>
        <w:numPr>
          <w:ilvl w:val="0"/>
          <w:numId w:val="1010"/>
        </w:numPr>
        <w:pStyle w:val="Compact"/>
      </w:pPr>
      <w:r>
        <w:t xml:space="preserve">☐ User-facing changes have updated User Guide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☐ New plugins have Feature Overview document</w:t>
      </w:r>
    </w:p>
    <w:p>
      <w:pPr>
        <w:numPr>
          <w:ilvl w:val="0"/>
          <w:numId w:val="1010"/>
        </w:numPr>
        <w:pStyle w:val="Compact"/>
      </w:pPr>
      <w:r>
        <w:t xml:space="preserve">☐ New CLI commands are documented with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text</w:t>
      </w:r>
    </w:p>
    <w:p>
      <w:pPr>
        <w:numPr>
          <w:ilvl w:val="0"/>
          <w:numId w:val="1010"/>
        </w:numPr>
        <w:pStyle w:val="Compact"/>
      </w:pPr>
      <w:r>
        <w:t xml:space="preserve">☐ New settings are documented in the relevant section guide</w:t>
      </w:r>
    </w:p>
    <w:p>
      <w:pPr>
        <w:numPr>
          <w:ilvl w:val="0"/>
          <w:numId w:val="1010"/>
        </w:numPr>
        <w:pStyle w:val="Compact"/>
      </w:pPr>
      <w:r>
        <w:t xml:space="preserve">☐ CLAUDE.md updated if new locked plugins or architectural changes</w:t>
      </w:r>
    </w:p>
    <w:p>
      <w:pPr>
        <w:pStyle w:val="FirstParagraph"/>
      </w:pPr>
      <w:r>
        <w:rPr>
          <w:bCs/>
          <w:b/>
        </w:rPr>
        <w:t xml:space="preserve">Reference:</w:t>
      </w:r>
      <w:r>
        <w:t xml:space="preserve"> </w:t>
      </w:r>
      <w:hyperlink r:id="rId34">
        <w:r>
          <w:rPr>
            <w:rStyle w:val="Hyperlink"/>
          </w:rPr>
          <w:t xml:space="preserve">DOCUMENTATION_STANDARD.md</w:t>
        </w:r>
      </w:hyperlink>
    </w:p>
    <w:p>
      <w:r>
        <w:pict>
          <v:rect style="width:0;height:1.5pt" o:hralign="center" o:hrstd="t" o:hr="t"/>
        </w:pict>
      </w:r>
    </w:p>
    <w:bookmarkEnd w:id="35"/>
    <w:bookmarkStart w:id="36" w:name="git-release"/>
    <w:p>
      <w:pPr>
        <w:pStyle w:val="Heading2"/>
      </w:pPr>
      <w:r>
        <w:t xml:space="preserve">11. Git / Release</w:t>
      </w:r>
    </w:p>
    <w:p>
      <w:pPr>
        <w:numPr>
          <w:ilvl w:val="0"/>
          <w:numId w:val="1011"/>
        </w:numPr>
        <w:pStyle w:val="Compact"/>
      </w:pPr>
      <w:r>
        <w:t xml:space="preserve">☐ Commit messages are descriptive and follow conventions</w:t>
      </w:r>
    </w:p>
    <w:p>
      <w:pPr>
        <w:numPr>
          <w:ilvl w:val="0"/>
          <w:numId w:val="1011"/>
        </w:numPr>
        <w:pStyle w:val="Compact"/>
      </w:pPr>
      <w:r>
        <w:t xml:space="preserve">☐ Version bumped via</w:t>
      </w:r>
      <w:r>
        <w:t xml:space="preserve"> </w:t>
      </w:r>
      <w:r>
        <w:rPr>
          <w:rStyle w:val="VerbatimChar"/>
        </w:rPr>
        <w:t xml:space="preserve">./bin/release</w:t>
      </w:r>
      <w:r>
        <w:t xml:space="preserve"> </w:t>
      </w:r>
      <w:r>
        <w:t xml:space="preserve">(patch/minor/major as appropriate)</w:t>
      </w:r>
    </w:p>
    <w:p>
      <w:pPr>
        <w:numPr>
          <w:ilvl w:val="0"/>
          <w:numId w:val="1011"/>
        </w:numPr>
        <w:pStyle w:val="Compact"/>
      </w:pPr>
      <w:r>
        <w:t xml:space="preserve">☐ No secrets committed (credentials, API keys, tokens)</w:t>
      </w:r>
    </w:p>
    <w:p>
      <w:pPr>
        <w:numPr>
          <w:ilvl w:val="0"/>
          <w:numId w:val="1011"/>
        </w:numPr>
        <w:pStyle w:val="Compact"/>
      </w:pPr>
      <w:r>
        <w:t xml:space="preserve">☐ No large binary files committed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updated if new generated/cached file types introduced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docs/DOCUMENTATION_STANDARD.md" TargetMode="External" /><Relationship Type="http://schemas.openxmlformats.org/officeDocument/2006/relationships/hyperlink" Id="rId26" Target="docs/technical/CSRF_POLICY.md" TargetMode="External" /><Relationship Type="http://schemas.openxmlformats.org/officeDocument/2006/relationships/hyperlink" Id="rId24" Target="docs/technical/OUTBOUND_HTTP_POLICY.md" TargetMode="External" /><Relationship Type="http://schemas.openxmlformats.org/officeDocument/2006/relationships/hyperlink" Id="rId28" Target="docs/technical/SECURITY_MODEL.md" TargetMode="External" /><Relationship Type="http://schemas.openxmlformats.org/officeDocument/2006/relationships/hyperlink" Id="rId22" Target="docs/technical/SHELL_EXECUTION_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docs/DOCUMENTATION_STANDARD.md" TargetMode="External" /><Relationship Type="http://schemas.openxmlformats.org/officeDocument/2006/relationships/hyperlink" Id="rId26" Target="docs/technical/CSRF_POLICY.md" TargetMode="External" /><Relationship Type="http://schemas.openxmlformats.org/officeDocument/2006/relationships/hyperlink" Id="rId24" Target="docs/technical/OUTBOUND_HTTP_POLICY.md" TargetMode="External" /><Relationship Type="http://schemas.openxmlformats.org/officeDocument/2006/relationships/hyperlink" Id="rId28" Target="docs/technical/SECURITY_MODEL.md" TargetMode="External" /><Relationship Type="http://schemas.openxmlformats.org/officeDocument/2006/relationships/hyperlink" Id="rId22" Target="docs/technical/SHELL_EXECUTION_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PR Review Checklist</dc:title>
  <dc:creator>The Archive and Heritage Group (Pty) Ltd</dc:creator>
  <cp:keywords/>
  <dcterms:created xsi:type="dcterms:W3CDTF">2026-02-28T12:59:26Z</dcterms:created>
  <dcterms:modified xsi:type="dcterms:W3CDTF">2026-02-28T12:59:26Z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