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Outbound HTTP / SSRF Protection Policy</w:t>
      </w:r>
    </w:p>
    <w:p>
      <w:pPr>
        <w:pStyle w:val="Author"/>
      </w:pPr>
      <w:r>
        <w:t xml:space="preserve">The Archive and Heritage Group (Pty) Ltd</w:t>
      </w:r>
    </w:p>
    <w:bookmarkStart w:id="44" w:name="X85dd8a5f7590d0cd769def27d8896d008dae384"/>
    <w:p>
      <w:pPr>
        <w:pStyle w:val="Heading1"/>
      </w:pPr>
      <w:r>
        <w:t xml:space="preserve">AtoM Heratio — Outbound HTTP / SSRF Protection Policy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Server-Side Request Forgery (SSRF) attacks trick the server into making HTTP requests to unintended destinations, often internal services or cloud metadata endpoints. AtoM Heratio uses</w:t>
      </w:r>
      <w:r>
        <w:t xml:space="preserve"> </w:t>
      </w:r>
      <w:r>
        <w:rPr>
          <w:rStyle w:val="VerbatimChar"/>
        </w:rPr>
        <w:t xml:space="preserve">HttpClientService</w:t>
      </w:r>
      <w:r>
        <w:t xml:space="preserve"> </w:t>
      </w:r>
      <w:r>
        <w:t xml:space="preserve">as the safe HTTP client and</w:t>
      </w:r>
      <w:r>
        <w:t xml:space="preserve"> </w:t>
      </w:r>
      <w:r>
        <w:rPr>
          <w:rStyle w:val="VerbatimChar"/>
        </w:rPr>
        <w:t xml:space="preserve">XmlParserService</w:t>
      </w:r>
      <w:r>
        <w:t xml:space="preserve"> </w:t>
      </w:r>
      <w:r>
        <w:t xml:space="preserve">for XXE-protected XML parsing.</w:t>
      </w:r>
    </w:p>
    <w:p>
      <w:r>
        <w:pict>
          <v:rect style="width:0;height:1.5pt" o:hralign="center" o:hrstd="t" o:hr="t"/>
        </w:pict>
      </w:r>
    </w:p>
    <w:bookmarkEnd w:id="20"/>
    <w:bookmarkStart w:id="24" w:name="httpclientservice"/>
    <w:p>
      <w:pPr>
        <w:pStyle w:val="Heading2"/>
      </w:pPr>
      <w:r>
        <w:t xml:space="preserve">2. HttpClientService</w:t>
      </w:r>
    </w:p>
    <w:bookmarkStart w:id="21" w:name="api"/>
    <w:p>
      <w:pPr>
        <w:pStyle w:val="Heading3"/>
      </w:pPr>
      <w:r>
        <w:t xml:space="preserve">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get($url, $headers, $options)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GET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post($url, $body, $headers, $options)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POST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request($method, $url, $body, $headers, $options)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isPrivateIp($ip)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IP is private/reserved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isBlockedHost($host)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against blocked hostnames</w:t>
            </w:r>
          </w:p>
        </w:tc>
      </w:tr>
    </w:tbl>
    <w:bookmarkEnd w:id="21"/>
    <w:bookmarkStart w:id="22" w:name="return-value"/>
    <w:p>
      <w:pPr>
        <w:pStyle w:val="Heading3"/>
      </w:pPr>
      <w:r>
        <w:t xml:space="preserve">Return Value</w:t>
      </w:r>
    </w:p>
    <w:p>
      <w:pPr>
        <w:pStyle w:val="FirstParagraph"/>
      </w:pPr>
      <w:r>
        <w:t xml:space="preserve">All methods return an array: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=&gt; </w:t>
      </w:r>
      <w:r>
        <w:rPr>
          <w:rStyle w:val="DecValTok"/>
        </w:rPr>
        <w:t xml:space="preserve">200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HTTP status code (0 on connection failure)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'...'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Response body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 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Error message, or null on success</w:t>
      </w:r>
      <w:r>
        <w:br/>
      </w:r>
      <w:r>
        <w:rPr>
          <w:rStyle w:val="NormalTok"/>
        </w:rPr>
        <w:t xml:space="preserve">]</w:t>
      </w:r>
    </w:p>
    <w:bookmarkEnd w:id="22"/>
    <w:bookmarkStart w:id="23" w:name="usage-example"/>
    <w:p>
      <w:pPr>
        <w:pStyle w:val="Heading3"/>
      </w:pPr>
      <w:r>
        <w:t xml:space="preserve">Usage Example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H</w:t>
      </w:r>
      <w:r>
        <w:rPr>
          <w:rStyle w:val="NormalTok"/>
        </w:rPr>
        <w:t xml:space="preserve">ttpClientService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Simple GET</w:t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H</w:t>
      </w:r>
      <w:r>
        <w:rPr>
          <w:rStyle w:val="NormalTok"/>
        </w:rPr>
        <w:t xml:space="preserve">ttpClientService::get(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with custom headers</w:t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H</w:t>
      </w:r>
      <w:r>
        <w:rPr>
          <w:rStyle w:val="NormalTok"/>
        </w:rPr>
        <w:t xml:space="preserve">ttpClientService::post(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'https://api.example.com/submit'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ssrf-protections"/>
    <w:p>
      <w:pPr>
        <w:pStyle w:val="Heading2"/>
      </w:pPr>
      <w:r>
        <w:t xml:space="preserve">3. SSRF Protections</w:t>
      </w:r>
    </w:p>
    <w:bookmarkStart w:id="25" w:name="url-scheme-allowlist"/>
    <w:p>
      <w:pPr>
        <w:pStyle w:val="Heading3"/>
      </w:pPr>
      <w:r>
        <w:t xml:space="preserve">3.1 URL Scheme Allowlist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schemes are permitted. File, FTP, gopher, etc. are blocked.</w:t>
      </w:r>
    </w:p>
    <w:bookmarkEnd w:id="25"/>
    <w:bookmarkStart w:id="26" w:name="private-ip-blocking"/>
    <w:p>
      <w:pPr>
        <w:pStyle w:val="Heading3"/>
      </w:pPr>
      <w:r>
        <w:t xml:space="preserve">3.2 Private IP Blocking</w:t>
      </w:r>
    </w:p>
    <w:p>
      <w:pPr>
        <w:pStyle w:val="FirstParagraph"/>
      </w:pPr>
      <w:r>
        <w:t xml:space="preserve">All resolved IPs are checked with:</w:t>
      </w:r>
    </w:p>
    <w:p>
      <w:pPr>
        <w:pStyle w:val="SourceCode"/>
      </w:pPr>
      <w:r>
        <w:rPr>
          <w:rStyle w:val="FunctionTok"/>
        </w:rPr>
        <w:t xml:space="preserve">filter_var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FILTER_VALIDATE_IP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FILTER_FLAG_NO_PRIV_RANGE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FILTER_FLAG_NO_RES_RANGE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blocks: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172.16.0.0/12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 </w:t>
      </w:r>
      <w:r>
        <w:t xml:space="preserve">(RFC 1918)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 </w:t>
      </w:r>
      <w:r>
        <w:t xml:space="preserve">(loopback)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169.254.0.0/16</w:t>
      </w:r>
      <w:r>
        <w:t xml:space="preserve"> </w:t>
      </w:r>
      <w:r>
        <w:t xml:space="preserve">(link-local)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0.0.0.0/8</w:t>
      </w:r>
      <w:r>
        <w:t xml:space="preserve">,</w:t>
      </w:r>
      <w:r>
        <w:t xml:space="preserve"> </w:t>
      </w:r>
      <w:r>
        <w:rPr>
          <w:rStyle w:val="VerbatimChar"/>
        </w:rPr>
        <w:t xml:space="preserve">240.0.0.0/4</w:t>
      </w:r>
      <w:r>
        <w:t xml:space="preserve"> </w:t>
      </w:r>
      <w:r>
        <w:t xml:space="preserve">(reserved)</w:t>
      </w:r>
      <w:r>
        <w:t xml:space="preserve"> </w:t>
      </w:r>
      <w:r>
        <w:t xml:space="preserve">- IPv6 equivalents</w:t>
      </w:r>
    </w:p>
    <w:bookmarkEnd w:id="26"/>
    <w:bookmarkStart w:id="27" w:name="cloud-metadata-blocking"/>
    <w:p>
      <w:pPr>
        <w:pStyle w:val="Heading3"/>
      </w:pPr>
      <w:r>
        <w:t xml:space="preserve">3.3 Cloud Metadata Blocking</w:t>
      </w:r>
    </w:p>
    <w:p>
      <w:pPr>
        <w:pStyle w:val="FirstParagraph"/>
      </w:pPr>
      <w:r>
        <w:t xml:space="preserve">Hardcoded blocked hosts: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169.254.169.254</w:t>
      </w:r>
      <w:r>
        <w:t xml:space="preserve"> </w:t>
      </w:r>
      <w:r>
        <w:t xml:space="preserve">(AWS/GCP/Azure metadata)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metadata.google.internal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metadata.internal</w:t>
      </w:r>
    </w:p>
    <w:bookmarkEnd w:id="27"/>
    <w:bookmarkStart w:id="28" w:name="dns-pre-resolution"/>
    <w:p>
      <w:pPr>
        <w:pStyle w:val="Heading3"/>
      </w:pPr>
      <w:r>
        <w:t xml:space="preserve">3.4 DNS Pre-Resolution</w:t>
      </w:r>
    </w:p>
    <w:p>
      <w:pPr>
        <w:pStyle w:val="FirstParagraph"/>
      </w:pPr>
      <w:r>
        <w:t xml:space="preserve">Before connecting, the hostname is resolved via</w:t>
      </w:r>
      <w:r>
        <w:t xml:space="preserve"> </w:t>
      </w:r>
      <w:r>
        <w:rPr>
          <w:rStyle w:val="VerbatimChar"/>
        </w:rPr>
        <w:t xml:space="preserve">gethostbynamel()</w:t>
      </w:r>
      <w:r>
        <w:t xml:space="preserve"> </w:t>
      </w:r>
      <w:r>
        <w:t xml:space="preserve">and all IPs are checked. This prevents DNS rebinding attacks where a hostname initially resolves to a public IP, then changes to a private IP.</w:t>
      </w:r>
    </w:p>
    <w:bookmarkEnd w:id="28"/>
    <w:bookmarkStart w:id="29" w:name="redirect-ip-re-validation"/>
    <w:p>
      <w:pPr>
        <w:pStyle w:val="Heading3"/>
      </w:pPr>
      <w:r>
        <w:t xml:space="preserve">3.5 Redirect IP Re-Validation</w:t>
      </w:r>
    </w:p>
    <w:p>
      <w:pPr>
        <w:pStyle w:val="FirstParagraph"/>
      </w:pPr>
      <w:r>
        <w:t xml:space="preserve">Redirects are followed manually (not via</w:t>
      </w:r>
      <w:r>
        <w:t xml:space="preserve"> </w:t>
      </w:r>
      <w:r>
        <w:rPr>
          <w:rStyle w:val="VerbatimChar"/>
        </w:rPr>
        <w:t xml:space="preserve">CURLOPT_FOLLOWLOCATION</w:t>
      </w:r>
      <w:r>
        <w:t xml:space="preserve">). Each redirect target is subjected to the full SSRF check (scheme, DNS, IP validation).</w:t>
      </w:r>
    </w:p>
    <w:bookmarkEnd w:id="29"/>
    <w:bookmarkStart w:id="30" w:name="connection-pinning"/>
    <w:p>
      <w:pPr>
        <w:pStyle w:val="Heading3"/>
      </w:pPr>
      <w:r>
        <w:t xml:space="preserve">3.6 Connection Pinning</w:t>
      </w:r>
    </w:p>
    <w:p>
      <w:pPr>
        <w:pStyle w:val="FirstParagraph"/>
      </w:pPr>
      <w:r>
        <w:t xml:space="preserve">The first resolved IP is pinned via</w:t>
      </w:r>
      <w:r>
        <w:t xml:space="preserve"> </w:t>
      </w:r>
      <w:r>
        <w:rPr>
          <w:rStyle w:val="VerbatimChar"/>
        </w:rPr>
        <w:t xml:space="preserve">CURLOPT_RESOLVE</w:t>
      </w:r>
      <w:r>
        <w:t xml:space="preserve"> </w:t>
      </w:r>
      <w:r>
        <w:t xml:space="preserve">to prevent DNS changes between resolution and connection.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mlparserservice-xxe-protection"/>
    <w:p>
      <w:pPr>
        <w:pStyle w:val="Heading2"/>
      </w:pPr>
      <w:r>
        <w:t xml:space="preserve">4. XmlParserService — XXE Protection</w:t>
      </w:r>
    </w:p>
    <w:bookmarkStart w:id="32" w:name="api-1"/>
    <w:p>
      <w:pPr>
        <w:pStyle w:val="Heading3"/>
      </w:pPr>
      <w:r>
        <w:t xml:space="preserve">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parseString($xml)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SimpleXML with</w:t>
            </w:r>
            <w:r>
              <w:t xml:space="preserve"> </w:t>
            </w:r>
            <w:r>
              <w:rPr>
                <w:rStyle w:val="VerbatimChar"/>
              </w:rPr>
              <w:t xml:space="preserve">LIBXML_NONET | LIBXML_NOCDATA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parseFile($filepath)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SimpleXML from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loadDom($xml)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DOMDocument with XXE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loadDomFile($filepath)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DOMDocument from file</w:t>
            </w:r>
          </w:p>
        </w:tc>
      </w:tr>
    </w:tbl>
    <w:bookmarkEnd w:id="32"/>
    <w:bookmarkStart w:id="33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X</w:t>
      </w:r>
      <w:r>
        <w:rPr>
          <w:rStyle w:val="NormalTok"/>
        </w:rPr>
        <w:t xml:space="preserve">mlParserService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Parse XML string</w:t>
      </w:r>
      <w:r>
        <w:br/>
      </w:r>
      <w:r>
        <w:rPr>
          <w:rStyle w:val="VariableTok"/>
        </w:rPr>
        <w:t xml:space="preserve">$xml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X</w:t>
      </w:r>
      <w:r>
        <w:rPr>
          <w:rStyle w:val="NormalTok"/>
        </w:rPr>
        <w:t xml:space="preserve">mlParserService::parseString(</w:t>
      </w:r>
      <w:r>
        <w:rPr>
          <w:rStyle w:val="VariableTok"/>
        </w:rPr>
        <w:t xml:space="preserve">$xmlContent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Parse XML file (e.g., EAD import)</w:t>
      </w:r>
      <w:r>
        <w:br/>
      </w:r>
      <w:r>
        <w:rPr>
          <w:rStyle w:val="VariableTok"/>
        </w:rPr>
        <w:t xml:space="preserve">$xml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X</w:t>
      </w:r>
      <w:r>
        <w:rPr>
          <w:rStyle w:val="NormalTok"/>
        </w:rPr>
        <w:t xml:space="preserve">mlParserService::parseFile(</w:t>
      </w:r>
      <w:r>
        <w:rPr>
          <w:rStyle w:val="StringTok"/>
        </w:rPr>
        <w:t xml:space="preserve">'/path/to/finding-aid.xml'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as DOMDocument</w:t>
      </w:r>
      <w:r>
        <w:br/>
      </w:r>
      <w:r>
        <w:rPr>
          <w:rStyle w:val="VariableTok"/>
        </w:rPr>
        <w:t xml:space="preserve">$dom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X</w:t>
      </w:r>
      <w:r>
        <w:rPr>
          <w:rStyle w:val="NormalTok"/>
        </w:rPr>
        <w:t xml:space="preserve">mlParserService::loadDom(</w:t>
      </w:r>
      <w:r>
        <w:rPr>
          <w:rStyle w:val="VariableTok"/>
        </w:rPr>
        <w:t xml:space="preserve">$xmlContent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3"/>
    <w:bookmarkStart w:id="34" w:name="flags"/>
    <w:p>
      <w:pPr>
        <w:pStyle w:val="Heading3"/>
      </w:pPr>
      <w:r>
        <w:t xml:space="preserve">Flags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LIBXML_NONET</w:t>
      </w:r>
      <w:r>
        <w:t xml:space="preserve"> </w:t>
      </w:r>
      <w:r>
        <w:t xml:space="preserve">— Disables network access during parsing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LIBXML_NOCDATA</w:t>
      </w:r>
      <w:r>
        <w:t xml:space="preserve"> </w:t>
      </w:r>
      <w:r>
        <w:t xml:space="preserve">— Merges CDATA sections into text nodes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substituteEntities = false</w:t>
      </w:r>
      <w:r>
        <w:t xml:space="preserve"> </w:t>
      </w:r>
      <w:r>
        <w:t xml:space="preserve">— Prevents entity expansion on DOMDocument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sltls-policy"/>
    <w:p>
      <w:pPr>
        <w:pStyle w:val="Heading2"/>
      </w:pPr>
      <w:r>
        <w:t xml:space="preserve">5. SSL/TLS Policy</w:t>
      </w:r>
    </w:p>
    <w:p>
      <w:pPr>
        <w:numPr>
          <w:ilvl w:val="0"/>
          <w:numId w:val="1002"/>
        </w:numPr>
        <w:pStyle w:val="Compact"/>
      </w:pPr>
      <w:r>
        <w:t xml:space="preserve">SSL verification is ON by default (</w:t>
      </w:r>
      <w:r>
        <w:rPr>
          <w:rStyle w:val="VerbatimChar"/>
        </w:rPr>
        <w:t xml:space="preserve">CURLOPT_SSL_VERIFYPEER = true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To override (development only): pass</w:t>
      </w:r>
      <w:r>
        <w:t xml:space="preserve"> </w:t>
      </w:r>
      <w:r>
        <w:rPr>
          <w:rStyle w:val="VerbatimChar"/>
        </w:rPr>
        <w:t xml:space="preserve">'verifySsl' =&gt; false</w:t>
      </w:r>
      <w:r>
        <w:t xml:space="preserve"> </w:t>
      </w:r>
      <w:r>
        <w:t xml:space="preserve">in options</w:t>
      </w:r>
    </w:p>
    <w:p>
      <w:pPr>
        <w:numPr>
          <w:ilvl w:val="0"/>
          <w:numId w:val="1002"/>
        </w:numPr>
        <w:pStyle w:val="Compact"/>
      </w:pPr>
      <w:r>
        <w:t xml:space="preserve">The system CA bundle is used (OS-managed)</w:t>
      </w:r>
    </w:p>
    <w:p>
      <w:r>
        <w:pict>
          <v:rect style="width:0;height:1.5pt" o:hralign="center" o:hrstd="t" o:hr="t"/>
        </w:pict>
      </w:r>
    </w:p>
    <w:bookmarkEnd w:id="36"/>
    <w:bookmarkStart w:id="37" w:name="defaults"/>
    <w:p>
      <w:pPr>
        <w:pStyle w:val="Heading2"/>
      </w:pPr>
      <w:r>
        <w:t xml:space="preserve">6. Defaults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response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AtoM-Heratio/2.8 (Archive Management System)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fixed-vulnerabilities-issue-197"/>
    <w:p>
      <w:pPr>
        <w:pStyle w:val="Heading2"/>
      </w:pPr>
      <w:r>
        <w:t xml:space="preserve">7. Fixed Vulnerabilities (Issue #197)</w:t>
      </w:r>
    </w:p>
    <w:bookmarkStart w:id="38" w:name="librarycoverservice-ssl-disabled-high"/>
    <w:p>
      <w:pPr>
        <w:pStyle w:val="Heading3"/>
      </w:pPr>
      <w:r>
        <w:t xml:space="preserve">7.1 LibraryCoverService — SSL Disabled (HIGH)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atom-framework/src/Services/LibraryCoverService.php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CURLOPT_SSL_VERIFYPEER =&gt; false</w:t>
      </w:r>
      <w:r>
        <w:t xml:space="preserve"> </w:t>
      </w:r>
      <w:r>
        <w:t xml:space="preserve">on all outbound requests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Migrated to</w:t>
      </w:r>
      <w:r>
        <w:t xml:space="preserve"> </w:t>
      </w:r>
      <w:r>
        <w:rPr>
          <w:rStyle w:val="VerbatimChar"/>
        </w:rPr>
        <w:t xml:space="preserve">HttpClientService::get()</w:t>
      </w:r>
      <w:r>
        <w:t xml:space="preserve"> </w:t>
      </w:r>
      <w:r>
        <w:t xml:space="preserve">(SSL on by default, SSRF protection)</w:t>
      </w:r>
    </w:p>
    <w:bookmarkEnd w:id="38"/>
    <w:bookmarkStart w:id="39" w:name="Xcefe59e82c0816e5188ce9c7f126fd7833bae98"/>
    <w:p>
      <w:pPr>
        <w:pStyle w:val="Heading3"/>
      </w:pPr>
      <w:r>
        <w:t xml:space="preserve">7.2 IsbnLookupService — No SSRF Protection (MEDIUM)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atom-framework/src/Services/IsbnLookupService.php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Direct curl with no private IP checking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Migrated</w:t>
      </w:r>
      <w:r>
        <w:t xml:space="preserve"> </w:t>
      </w:r>
      <w:r>
        <w:rPr>
          <w:rStyle w:val="VerbatimChar"/>
        </w:rPr>
        <w:t xml:space="preserve">httpGet()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HttpClientService::get()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migration-guide-for-locked-plugins"/>
    <w:p>
      <w:pPr>
        <w:pStyle w:val="Heading2"/>
      </w:pPr>
      <w:r>
        <w:t xml:space="preserve">8. Migration Guide for Locked Plugins</w:t>
      </w:r>
    </w:p>
    <w:p>
      <w:pPr>
        <w:pStyle w:val="FirstParagraph"/>
      </w:pPr>
      <w:r>
        <w:t xml:space="preserve">Locked plugins with outbound HTTP that should be migrated in future releases: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2096"/>
        <w:gridCol w:w="2329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manifest fetching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external IIIF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DataCite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 with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Wikidata/authority lookups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public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ahgSemanticSearchPlugin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WordNet/Wikidata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public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ahgFederationPlugin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repository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User-configurable URLs</w:t>
            </w:r>
          </w:p>
        </w:tc>
      </w:tr>
    </w:tbl>
    <w:bookmarkStart w:id="41" w:name="migration-steps"/>
    <w:p>
      <w:pPr>
        <w:pStyle w:val="Heading3"/>
      </w:pPr>
      <w:r>
        <w:t xml:space="preserve">Migration Steps</w:t>
      </w:r>
    </w:p>
    <w:p>
      <w:pPr>
        <w:numPr>
          <w:ilvl w:val="0"/>
          <w:numId w:val="1005"/>
        </w:numPr>
        <w:pStyle w:val="Compact"/>
      </w:pPr>
      <w:r>
        <w:t xml:space="preserve">Replace direct</w:t>
      </w:r>
      <w:r>
        <w:t xml:space="preserve"> </w:t>
      </w:r>
      <w:r>
        <w:rPr>
          <w:rStyle w:val="VerbatimChar"/>
        </w:rPr>
        <w:t xml:space="preserve">curl_init()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curl_exec()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HttpClientService::get()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::post()</w:t>
      </w:r>
    </w:p>
    <w:p>
      <w:pPr>
        <w:numPr>
          <w:ilvl w:val="0"/>
          <w:numId w:val="1005"/>
        </w:numPr>
        <w:pStyle w:val="Compact"/>
      </w:pPr>
      <w:r>
        <w:t xml:space="preserve">Remove explicit</w:t>
      </w:r>
      <w:r>
        <w:t xml:space="preserve"> </w:t>
      </w:r>
      <w:r>
        <w:rPr>
          <w:rStyle w:val="VerbatimChar"/>
        </w:rPr>
        <w:t xml:space="preserve">CURLOPT_SSL_VERIFYPEER =&gt; false</w:t>
      </w:r>
    </w:p>
    <w:p>
      <w:pPr>
        <w:numPr>
          <w:ilvl w:val="0"/>
          <w:numId w:val="1005"/>
        </w:numPr>
        <w:pStyle w:val="Compact"/>
      </w:pPr>
      <w:r>
        <w:t xml:space="preserve">Remove manual redirect following (HttpClientService handles it)</w:t>
      </w:r>
    </w:p>
    <w:p>
      <w:pPr>
        <w:numPr>
          <w:ilvl w:val="0"/>
          <w:numId w:val="1005"/>
        </w:numPr>
        <w:pStyle w:val="Compact"/>
      </w:pPr>
      <w:r>
        <w:t xml:space="preserve">Handle the return array format:</w:t>
      </w:r>
      <w:r>
        <w:t xml:space="preserve"> </w:t>
      </w:r>
      <w:r>
        <w:rPr>
          <w:rStyle w:val="VerbatimChar"/>
        </w:rPr>
        <w:t xml:space="preserve">$response['status']</w:t>
      </w:r>
      <w:r>
        <w:t xml:space="preserve">,</w:t>
      </w:r>
      <w:r>
        <w:t xml:space="preserve"> </w:t>
      </w:r>
      <w:r>
        <w:rPr>
          <w:rStyle w:val="VerbatimChar"/>
        </w:rPr>
        <w:t xml:space="preserve">$response['body']</w:t>
      </w:r>
      <w:r>
        <w:t xml:space="preserve">,</w:t>
      </w:r>
      <w:r>
        <w:t xml:space="preserve"> </w:t>
      </w:r>
      <w:r>
        <w:rPr>
          <w:rStyle w:val="VerbatimChar"/>
        </w:rPr>
        <w:t xml:space="preserve">$response['error']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udit-checklist"/>
    <w:p>
      <w:pPr>
        <w:pStyle w:val="Heading2"/>
      </w:pPr>
      <w:r>
        <w:t xml:space="preserve">9. Audit Checklist</w:t>
      </w:r>
    </w:p>
    <w:p>
      <w:pPr>
        <w:numPr>
          <w:ilvl w:val="0"/>
          <w:numId w:val="1006"/>
        </w:numPr>
        <w:pStyle w:val="Compact"/>
      </w:pPr>
      <w:r>
        <w:t xml:space="preserve">☐ All outbound HTTP uses</w:t>
      </w:r>
      <w:r>
        <w:t xml:space="preserve"> </w:t>
      </w:r>
      <w:r>
        <w:rPr>
          <w:rStyle w:val="VerbatimChar"/>
        </w:rPr>
        <w:t xml:space="preserve">HttpClientService</w:t>
      </w:r>
      <w:r>
        <w:t xml:space="preserve"> </w:t>
      </w:r>
      <w:r>
        <w:t xml:space="preserve">(no direct</w:t>
      </w:r>
      <w:r>
        <w:t xml:space="preserve"> </w:t>
      </w:r>
      <w:r>
        <w:rPr>
          <w:rStyle w:val="VerbatimChar"/>
        </w:rPr>
        <w:t xml:space="preserve">curl_init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CURLOPT_SSL_VERIFYPEER =&gt; false</w:t>
      </w:r>
      <w:r>
        <w:t xml:space="preserve"> </w:t>
      </w:r>
      <w:r>
        <w:t xml:space="preserve">in production code</w:t>
      </w:r>
    </w:p>
    <w:p>
      <w:pPr>
        <w:numPr>
          <w:ilvl w:val="0"/>
          <w:numId w:val="1006"/>
        </w:numPr>
        <w:pStyle w:val="Compact"/>
      </w:pPr>
      <w:r>
        <w:t xml:space="preserve">☐ User-provided URLs are never fetched without SSRF protection</w:t>
      </w:r>
    </w:p>
    <w:p>
      <w:pPr>
        <w:numPr>
          <w:ilvl w:val="0"/>
          <w:numId w:val="1006"/>
        </w:numPr>
        <w:pStyle w:val="Compact"/>
      </w:pPr>
      <w:r>
        <w:t xml:space="preserve">☐ XML parsing uses</w:t>
      </w:r>
      <w:r>
        <w:t xml:space="preserve"> </w:t>
      </w:r>
      <w:r>
        <w:rPr>
          <w:rStyle w:val="VerbatimChar"/>
        </w:rPr>
        <w:t xml:space="preserve">XmlParserService</w:t>
      </w:r>
      <w:r>
        <w:t xml:space="preserve"> </w:t>
      </w:r>
      <w:r>
        <w:t xml:space="preserve">(no direct</w:t>
      </w:r>
      <w:r>
        <w:t xml:space="preserve"> </w:t>
      </w:r>
      <w:r>
        <w:rPr>
          <w:rStyle w:val="VerbatimChar"/>
        </w:rPr>
        <w:t xml:space="preserve">simplexml_load_string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Response data is validated before use (JSON decoded, size checked)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Outbound HTTP / SSRF Protection Policy</dc:title>
  <dc:creator>The Archive and Heritage Group (Pty) Ltd</dc:creator>
  <cp:keywords/>
  <dcterms:created xsi:type="dcterms:W3CDTF">2026-02-28T12:59:20Z</dcterms:created>
  <dcterms:modified xsi:type="dcterms:W3CDTF">2026-02-28T12:59:20Z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