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Project Briefing</w:t>
      </w:r>
    </w:p>
    <w:p>
      <w:pPr>
        <w:pStyle w:val="Author"/>
      </w:pPr>
      <w:r>
        <w:t xml:space="preserve">The Archive and Heritage Group (Pty) Ltd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2" w:name="atom-heratio-project-briefing"/>
    <w:p>
      <w:pPr>
        <w:pStyle w:val="Heading1"/>
      </w:pPr>
      <w:r>
        <w:t xml:space="preserve">AtoM Heratio — Project Briefing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Framework 2.11.7 / Plugins 3.21.17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16 March 2026</w:t>
      </w:r>
      <w:r>
        <w:t xml:space="preserve"> </w:t>
      </w:r>
      <w:r>
        <w:rPr>
          <w:bCs/>
          <w:b/>
        </w:rPr>
        <w:t xml:space="preserve">Organization: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Johan Pieterse (johan@theahg.co.za)</w:t>
      </w:r>
    </w:p>
    <w:p>
      <w:r>
        <w:pict>
          <v:rect style="width:0;height:1.5pt" o:hralign="center" o:hrstd="t" o:hr="t"/>
        </w:pict>
      </w:r>
    </w:p>
    <w:bookmarkStart w:id="22" w:name="what-is-atom-heratio"/>
    <w:p>
      <w:pPr>
        <w:pStyle w:val="Heading2"/>
      </w:pPr>
      <w:r>
        <w:t xml:space="preserve">What Is AtoM Heratio?</w:t>
      </w:r>
    </w:p>
    <w:p>
      <w:pPr>
        <w:pStyle w:val="FirstParagraph"/>
      </w:pPr>
      <w:r>
        <w:t xml:space="preserve">AtoM Heratio is a comprehensive modernization of</w:t>
      </w:r>
      <w:r>
        <w:t xml:space="preserve"> </w:t>
      </w:r>
      <w:r>
        <w:rPr>
          <w:bCs/>
          <w:b/>
        </w:rPr>
        <w:t xml:space="preserve">Access to Memory (AtoM) 2.10</w:t>
      </w:r>
      <w:r>
        <w:t xml:space="preserve"> </w:t>
      </w:r>
      <w:r>
        <w:t xml:space="preserve">— the world’s leading open-source archival management system used by thousands of institutions globally. Heratio transforms AtoM from a single-purpose archival tool into an enterprise-grade</w:t>
      </w:r>
      <w:r>
        <w:t xml:space="preserve"> </w:t>
      </w:r>
      <w:r>
        <w:rPr>
          <w:bCs/>
          <w:b/>
        </w:rPr>
        <w:t xml:space="preserve">GLAM platform</w:t>
      </w:r>
      <w:r>
        <w:t xml:space="preserve"> </w:t>
      </w:r>
      <w:r>
        <w:t xml:space="preserve">(Galleries, Libraries, Archives, Museums) and</w:t>
      </w:r>
      <w:r>
        <w:t xml:space="preserve"> </w:t>
      </w:r>
      <w:r>
        <w:rPr>
          <w:bCs/>
          <w:b/>
        </w:rPr>
        <w:t xml:space="preserve">Digital Asset Management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It adds approximately</w:t>
      </w:r>
      <w:r>
        <w:t xml:space="preserve"> </w:t>
      </w:r>
      <w:r>
        <w:rPr>
          <w:bCs/>
          <w:b/>
        </w:rPr>
        <w:t xml:space="preserve">300% more functionality</w:t>
      </w:r>
      <w:r>
        <w:t xml:space="preserve"> </w:t>
      </w:r>
      <w:r>
        <w:t xml:space="preserve">through 80 modular plugins — without modifying a single core AtoM file. All customizations sit in two layers on top of base AtoM, maintaining full backward compatibility and upgrade paths.</w:t>
      </w:r>
    </w:p>
    <w:bookmarkStart w:id="20" w:name="target-market"/>
    <w:p>
      <w:pPr>
        <w:pStyle w:val="Heading3"/>
      </w:pPr>
      <w:r>
        <w:t xml:space="preserve">Target Market</w:t>
      </w:r>
    </w:p>
    <w:p>
      <w:pPr>
        <w:pStyle w:val="FirstParagraph"/>
      </w:pPr>
      <w:r>
        <w:t xml:space="preserve">GLAM and DAM institutions internationally:</w:t>
      </w:r>
      <w:r>
        <w:t xml:space="preserve"> </w:t>
      </w:r>
      <w:r>
        <w:t xml:space="preserve">- National archives and government record offices</w:t>
      </w:r>
      <w:r>
        <w:t xml:space="preserve"> </w:t>
      </w:r>
      <w:r>
        <w:t xml:space="preserve">- University and research libraries</w:t>
      </w:r>
      <w:r>
        <w:t xml:space="preserve"> </w:t>
      </w:r>
      <w:r>
        <w:t xml:space="preserve">- Museums and cultural heritage institutions</w:t>
      </w:r>
      <w:r>
        <w:t xml:space="preserve"> </w:t>
      </w:r>
      <w:r>
        <w:t xml:space="preserve">- Art galleries and exhibition spaces</w:t>
      </w:r>
      <w:r>
        <w:t xml:space="preserve"> </w:t>
      </w:r>
      <w:r>
        <w:t xml:space="preserve">- Digital asset management organizations</w:t>
      </w:r>
      <w:r>
        <w:t xml:space="preserve"> </w:t>
      </w:r>
      <w:r>
        <w:t xml:space="preserve">- Heritage and conservation bodies</w:t>
      </w:r>
    </w:p>
    <w:bookmarkEnd w:id="20"/>
    <w:bookmarkStart w:id="21" w:name="competitive-position"/>
    <w:p>
      <w:pPr>
        <w:pStyle w:val="Heading3"/>
      </w:pPr>
      <w:r>
        <w:t xml:space="preserve">Competitive Position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21"/>
        <w:gridCol w:w="1532"/>
        <w:gridCol w:w="30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$50K+/year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Proprietary, archive-only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ArchivesSpace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(open 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Archive-only, no GLAM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CollectiveAccess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(open 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Museum-focused,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Free/paid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AtoM Heratio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(GPL-3.0)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5 sectors in one platform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system-at-a-glance"/>
    <w:p>
      <w:pPr>
        <w:pStyle w:val="Heading2"/>
      </w:pPr>
      <w:r>
        <w:t xml:space="preserve">System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(registered: 79 + ahgMigrationPlugin filesystem-only)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Enabled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(incl. base AtoM plugins)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 core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 (Symfony) + framework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 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(published)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across 21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Descriptive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(ISAD(G), DACS, Dublin Core, MODS, RAD)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GLAM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(Archive, Library, Museum, Gallery, DAM)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jurisdictions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WCAG conformance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in 11 languages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 closed, 9 open (7 future/parked)</w:t>
            </w:r>
          </w:p>
        </w:tc>
      </w:tr>
    </w:tbl>
    <w:bookmarkStart w:id="23" w:name="sample-instance-psis"/>
    <w:p>
      <w:pPr>
        <w:pStyle w:val="Heading3"/>
      </w:pPr>
      <w:r>
        <w:t xml:space="preserve">Sample Instance (PSIS)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AtoM 2.10 BASE (Symfony 1.x)              │</w:t>
      </w:r>
      <w:r>
        <w:br/>
      </w:r>
      <w:r>
        <w:rPr>
          <w:rStyle w:val="VerbatimChar"/>
        </w:rPr>
        <w:t xml:space="preserve">│  Routing · Templates · ACL · Propel ORM · sfPluginAdmin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1: atom-framework v2.11.7 (REQUIRED)                  │</w:t>
      </w:r>
      <w:r>
        <w:br/>
      </w:r>
      <w:r>
        <w:rPr>
          <w:rStyle w:val="VerbatimChar"/>
        </w:rPr>
        <w:t xml:space="preserve">│  ├── Laravel Query Builder (Illuminate\Database\Capsule)     │</w:t>
      </w:r>
      <w:r>
        <w:br/>
      </w:r>
      <w:r>
        <w:rPr>
          <w:rStyle w:val="VerbatimChar"/>
        </w:rPr>
        <w:t xml:space="preserve">│  ├── Extension Manager (CLI + Service)                       │</w:t>
      </w:r>
      <w:r>
        <w:br/>
      </w:r>
      <w:r>
        <w:rPr>
          <w:rStyle w:val="VerbatimChar"/>
        </w:rPr>
        <w:t xml:space="preserve">│  ├── 90+ Services                                            │</w:t>
      </w:r>
      <w:r>
        <w:br/>
      </w:r>
      <w:r>
        <w:rPr>
          <w:rStyle w:val="VerbatimChar"/>
        </w:rPr>
        <w:t xml:space="preserve">│  ├── RouteLoader + RouteCollector                            │</w:t>
      </w:r>
      <w:r>
        <w:br/>
      </w:r>
      <w:r>
        <w:rPr>
          <w:rStyle w:val="VerbatimChar"/>
        </w:rPr>
        <w:t xml:space="preserve">│  └── Helper classes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2: atom-ahg-plugins v3.21.17 (80 plugins)             │</w:t>
      </w:r>
      <w:r>
        <w:br/>
      </w:r>
      <w:r>
        <w:rPr>
          <w:rStyle w:val="VerbatimChar"/>
        </w:rPr>
        <w:t xml:space="preserve">│  ├── 16 locked core plugins                                  │</w:t>
      </w:r>
      <w:r>
        <w:br/>
      </w:r>
      <w:r>
        <w:rPr>
          <w:rStyle w:val="VerbatimChar"/>
        </w:rPr>
        <w:t xml:space="preserve">│  ├── 6 stable GLAM sector plugins                            │</w:t>
      </w:r>
      <w:r>
        <w:br/>
      </w:r>
      <w:r>
        <w:rPr>
          <w:rStyle w:val="VerbatimChar"/>
        </w:rPr>
        <w:t xml:space="preserve">│  └── 58 optional feature plugins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25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Cantaloupe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image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 runtime (LLaVA, Mistral)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services (NER, translation, summarization)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Webpack build</w:t>
            </w:r>
          </w:p>
        </w:tc>
      </w:tr>
    </w:tbl>
    <w:bookmarkEnd w:id="25"/>
    <w:bookmarkStart w:id="26" w:name="server-infrastructure"/>
    <w:p>
      <w:pPr>
        <w:pStyle w:val="Heading3"/>
      </w:pPr>
      <w:r>
        <w:t xml:space="preserve">Server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Web/App (AtoM instances)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192.168.0.115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AI/GPU Workhorse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3080 10GB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3060 12GB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/mnt/nas/heratio/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43" w:name="complete-plugin-catalog-80-plugins"/>
    <w:p>
      <w:pPr>
        <w:pStyle w:val="Heading2"/>
      </w:pPr>
      <w:r>
        <w:t xml:space="preserve">Complete Plugin Catalog (80 Plugins)</w:t>
      </w:r>
    </w:p>
    <w:bookmarkStart w:id="28" w:name="core-theme-locked"/>
    <w:p>
      <w:pPr>
        <w:pStyle w:val="Heading3"/>
      </w:pPr>
      <w:r>
        <w:t xml:space="preserve">Core &amp; Theme (Locked)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ahgCorePlugin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integration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ahgThemeB5Plugin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 theme with voice commands, WCAG AA, TTS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Bell-LaPadula security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 Browse with dynamic facets, 4 view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ahgUiOverridesPlugin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 dispatch, UI helpers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21-section settings management (200+ options)</w:t>
            </w:r>
          </w:p>
        </w:tc>
      </w:tr>
    </w:tbl>
    <w:bookmarkEnd w:id="28"/>
    <w:bookmarkStart w:id="29" w:name="glam-sectors-stable"/>
    <w:p>
      <w:pPr>
        <w:pStyle w:val="Heading3"/>
      </w:pPr>
      <w:r>
        <w:t xml:space="preserve">GLAM Sectors (Stable)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84"/>
        <w:gridCol w:w="2184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 cataloguing, ISBN lookup, circulation, fines, patron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CCO, Spectrum 5.1, Getty AAT (1,057 cached terms), condition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ahgGalleryPlugin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 Core, exhibitions, artist tracking, loans, 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ahgDAMPlugin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IPTC metadata extraction, watermarking, batch processing</w:t>
            </w:r>
          </w:p>
        </w:tc>
      </w:tr>
    </w:tbl>
    <w:bookmarkEnd w:id="29"/>
    <w:bookmarkStart w:id="30" w:name="browsemanage-plugins"/>
    <w:p>
      <w:pPr>
        <w:pStyle w:val="Heading3"/>
      </w:pPr>
      <w:r>
        <w:t xml:space="preserve">Browse/Manage Plugins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Accessions with numbering, priority, intake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access requests with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records + autocomplete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ahgStorageManagePlugin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storage 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+ taxonomies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ahgMenuManagePlugin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menus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ahgStaticPagePlugin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ISDF functions</w:t>
            </w:r>
          </w:p>
        </w:tc>
      </w:tr>
    </w:tbl>
    <w:bookmarkEnd w:id="30"/>
    <w:bookmarkStart w:id="31" w:name="descriptive-standard-crud"/>
    <w:p>
      <w:pPr>
        <w:pStyle w:val="Heading3"/>
      </w:pPr>
      <w:r>
        <w:t xml:space="preserve">Descriptive Standard CRUD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ISAD(G)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ahgDacsManagePlugin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ahgDcManagePlugin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ahgModsManagePlugin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ahgRadManagePlugin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</w:tr>
    </w:tbl>
    <w:bookmarkEnd w:id="31"/>
    <w:bookmarkStart w:id="32" w:name="ai-automation"/>
    <w:p>
      <w:pPr>
        <w:pStyle w:val="Heading3"/>
      </w:pPr>
      <w:r>
        <w:t xml:space="preserve">AI &amp; Automation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(spaCy), Translation (Argos), Summarization, Spellcheck, Face Detection, LLM Description 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ahgDiscoveryPlugin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search, query expansion, 3-strategy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ahgSemanticSearchPlugin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Thesaurus, WordNet/Wikidata sync, vector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search, autocomplete, search/replace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ahgDedupePlugin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detection with merge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ahgTranslationPlugin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translation (LibreTranslate)</w:t>
            </w:r>
          </w:p>
        </w:tc>
      </w:tr>
    </w:tbl>
    <w:bookmarkEnd w:id="32"/>
    <w:bookmarkStart w:id="33" w:name="data-ingest-importexport"/>
    <w:p>
      <w:pPr>
        <w:pStyle w:val="Heading3"/>
      </w:pPr>
      <w:r>
        <w:t xml:space="preserve">Data Ingest &amp; Import/Export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OAIS-aligned 6-step batch ingest wizard with 9 AI processing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ahgDataMigrationPlugin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mapping between GLAM sectors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CSV, EAD, bulk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ahgMetadataExportPlugin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 metadata export (JSON-LD, Schema.org, RIC-O, BIBFRAME)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offline catalogue viewer (CD/USB/ZIP)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ahgLabelPlugin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generation with barcodes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metadata entry forms per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ahgMetadataExtractionPlugin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EXIF, IPTC, XMP extraction from digital objects</w:t>
            </w:r>
          </w:p>
        </w:tc>
      </w:tr>
    </w:tbl>
    <w:bookmarkEnd w:id="33"/>
    <w:bookmarkStart w:id="34" w:name="compliance-regulatory"/>
    <w:p>
      <w:pPr>
        <w:pStyle w:val="Heading3"/>
      </w:pPr>
      <w:r>
        <w:t xml:space="preserve">Compliance &amp; Regulatory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3321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POPIA, GDPR, CCPA, PIPEDA, NDPA, DPA, UK GDPR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ahgCDPAPlugin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&amp; Data Protection 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Archives Act (25-year rule)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ahgNMMZPlugin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Museums &amp; Monuments 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ahgAuditTrailPlugin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audit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ahgExtendedRightsPlugin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RightsStatements.org, TK Labels, embargo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ahgICIPPlugin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Indigenous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Indigenous Cultural &amp; Intellectual Property</w:t>
            </w:r>
          </w:p>
        </w:tc>
      </w:tr>
    </w:tbl>
    <w:bookmarkEnd w:id="34"/>
    <w:bookmarkStart w:id="35" w:name="heritage-accounting-finance"/>
    <w:p>
      <w:pPr>
        <w:pStyle w:val="Heading3"/>
      </w:pPr>
      <w:r>
        <w:t xml:space="preserve">Heritage Accounting &amp; Finance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 103 / IPSAS 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ahgIPSASPlugin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Public Sector 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 5.1 (UK Collections Trust)</w:t>
            </w:r>
          </w:p>
        </w:tc>
      </w:tr>
    </w:tbl>
    <w:bookmarkEnd w:id="35"/>
    <w:bookmarkStart w:id="36" w:name="digital-preservation"/>
    <w:p>
      <w:pPr>
        <w:pStyle w:val="Heading3"/>
      </w:pPr>
      <w:r>
        <w:t xml:space="preserve">Digital Preservation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Checksums, fixity, PREMIS events, format registry, PRONOM sync, migration pathways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ahgBackupPlugin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Full/incremental/scheduled backups, restore, email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ahgTiffPdfMergePlugin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TIFF and PDF merge jobs</w:t>
            </w:r>
          </w:p>
        </w:tc>
      </w:tr>
    </w:tbl>
    <w:bookmarkEnd w:id="36"/>
    <w:bookmarkStart w:id="37" w:name="rights-management"/>
    <w:p>
      <w:pPr>
        <w:pStyle w:val="Heading3"/>
      </w:pPr>
      <w:r>
        <w:t xml:space="preserve">Rights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ahgRightsPlugin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 rights, Creative Commons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ahgExtendedRightsPlugin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(4 types: full, metadata_only, digital_only, partial), TK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ahgICIPPlugin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Indigenous Cultural &amp; Intellectual Property</w:t>
            </w:r>
          </w:p>
        </w:tc>
      </w:tr>
    </w:tbl>
    <w:bookmarkEnd w:id="37"/>
    <w:bookmarkStart w:id="38" w:name="research-public-access"/>
    <w:p>
      <w:pPr>
        <w:pStyle w:val="Heading3"/>
      </w:pPr>
      <w:r>
        <w:t xml:space="preserve">Research &amp; Public Access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room booking, researcher registration, workspace, custody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 requests for archival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Shopping cart for reproduction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bookmarks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ahgFeedbackPlugin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feedback management</w:t>
            </w:r>
          </w:p>
        </w:tc>
      </w:tr>
    </w:tbl>
    <w:bookmarkEnd w:id="38"/>
    <w:bookmarkStart w:id="39" w:name="collection-management"/>
    <w:p>
      <w:pPr>
        <w:pStyle w:val="Heading3"/>
      </w:pPr>
      <w:r>
        <w:t xml:space="preserve">Collection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assessment with AI (LLaVA), photo annotation, Spectrum 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ahgProvenancePlugin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of custody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Donor/institution agreements (SA compliance)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loan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ahgVendorPlugin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Vendor/supplier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ahgContactPlugin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contact information</w:t>
            </w:r>
          </w:p>
        </w:tc>
      </w:tr>
    </w:tbl>
    <w:bookmarkEnd w:id="39"/>
    <w:bookmarkStart w:id="40" w:name="exhibitions-public-engagement"/>
    <w:p>
      <w:pPr>
        <w:pStyle w:val="Heading3"/>
      </w:pPr>
      <w:r>
        <w:t xml:space="preserve">Exhibitions &amp; Public Engagement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management, storylines, media, loans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Drag-drop visual landing page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ahgHeritagePlugin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discovery platform, contributor system</w:t>
            </w:r>
          </w:p>
        </w:tc>
      </w:tr>
    </w:tbl>
    <w:bookmarkEnd w:id="40"/>
    <w:bookmarkStart w:id="41" w:name="integration-api"/>
    <w:p>
      <w:pPr>
        <w:pStyle w:val="Heading3"/>
      </w:pPr>
      <w:r>
        <w:t xml:space="preserve">Integration &amp;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manifests, viewer, collections, OCR, Auth API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viewing, Google Model Viewer, AR, hotspots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ahgRicExplorerPlugin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in Context (RiC), Fuseki SPARQL triplestore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ahgGraphQLPlugin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GraphQL API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API, webhooks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minting via DataCite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ahgFederationPlugin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OAI-PMH federated search</w:t>
            </w:r>
          </w:p>
        </w:tc>
      </w:tr>
    </w:tbl>
    <w:bookmarkEnd w:id="41"/>
    <w:bookmarkStart w:id="42" w:name="reporting-admin"/>
    <w:p>
      <w:pPr>
        <w:pStyle w:val="Heading3"/>
      </w:pPr>
      <w:r>
        <w:t xml:space="preserve">Reporting &amp; Admin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Admin-configurable EAV custom fields (7 types, 6 entity types)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ahgReportsPlugin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report builder (Quill.js, Word/PDF/XLSX export, templates, scheduling)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approval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enhancement: Wikidata, VIAF, ULAN, LCNAF, ISNI linking, completeness scoring, merge/dedup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3" w:name="key-features-delivered-2026"/>
    <w:p>
      <w:pPr>
        <w:pStyle w:val="Heading2"/>
      </w:pPr>
      <w:r>
        <w:t xml:space="preserve">Key Features Delivered (2026)</w:t>
      </w:r>
    </w:p>
    <w:bookmarkStart w:id="44" w:name="Xf892c6fbe4eb29d140d2f5e1d01f205662e9875"/>
    <w:p>
      <w:pPr>
        <w:pStyle w:val="Heading3"/>
      </w:pPr>
      <w:r>
        <w:t xml:space="preserve">WCAG 2.1 Level AA Accessibility (March 2026)</w:t>
      </w:r>
    </w:p>
    <w:p>
      <w:pPr>
        <w:numPr>
          <w:ilvl w:val="0"/>
          <w:numId w:val="1001"/>
        </w:numPr>
        <w:pStyle w:val="Compact"/>
      </w:pPr>
      <w:r>
        <w:t xml:space="preserve">Global ARIA landmarks, live regions, focus management on every page</w:t>
      </w:r>
    </w:p>
    <w:p>
      <w:pPr>
        <w:numPr>
          <w:ilvl w:val="0"/>
          <w:numId w:val="1001"/>
        </w:numPr>
        <w:pStyle w:val="Compact"/>
      </w:pPr>
      <w:r>
        <w:t xml:space="preserve">Auto table scoping, form validation ARIA, keyboard navigation</w:t>
      </w:r>
    </w:p>
    <w:p>
      <w:pPr>
        <w:numPr>
          <w:ilvl w:val="0"/>
          <w:numId w:val="1001"/>
        </w:numPr>
        <w:pStyle w:val="Compact"/>
      </w:pPr>
      <w:r>
        <w:t xml:space="preserve">Colour contrast AA, prefers-reduced-motion, forced-colors</w:t>
      </w:r>
    </w:p>
    <w:p>
      <w:pPr>
        <w:numPr>
          <w:ilvl w:val="0"/>
          <w:numId w:val="1001"/>
        </w:numPr>
        <w:pStyle w:val="Compact"/>
      </w:pPr>
      <w:r>
        <w:t xml:space="preserve">Automated axe-core testing (10 Playwright tests)</w:t>
      </w:r>
    </w:p>
    <w:p>
      <w:pPr>
        <w:numPr>
          <w:ilvl w:val="0"/>
          <w:numId w:val="1001"/>
        </w:numPr>
        <w:pStyle w:val="Compact"/>
      </w:pPr>
      <w:r>
        <w:t xml:space="preserve">Built-in accessibility statement page</w:t>
      </w:r>
    </w:p>
    <w:bookmarkEnd w:id="44"/>
    <w:bookmarkStart w:id="45" w:name="voice-command-system"/>
    <w:p>
      <w:pPr>
        <w:pStyle w:val="Heading3"/>
      </w:pPr>
      <w:r>
        <w:t xml:space="preserve">Voice Command System</w:t>
      </w:r>
    </w:p>
    <w:p>
      <w:pPr>
        <w:numPr>
          <w:ilvl w:val="0"/>
          <w:numId w:val="1002"/>
        </w:numPr>
        <w:pStyle w:val="Compact"/>
      </w:pPr>
      <w:r>
        <w:t xml:space="preserve">100+ commands in 11 languages (English, Afrikaans, Zulu, Xhosa, Sesotho, French, Portuguese, Spanish, German, Dutch)</w:t>
      </w:r>
    </w:p>
    <w:p>
      <w:pPr>
        <w:numPr>
          <w:ilvl w:val="0"/>
          <w:numId w:val="1002"/>
        </w:numPr>
        <w:pStyle w:val="Compact"/>
      </w:pPr>
      <w:r>
        <w:t xml:space="preserve">Navigation, search, dictation, AI image description, PDF reading</w:t>
      </w:r>
    </w:p>
    <w:p>
      <w:pPr>
        <w:numPr>
          <w:ilvl w:val="0"/>
          <w:numId w:val="1002"/>
        </w:numPr>
        <w:pStyle w:val="Compact"/>
      </w:pPr>
      <w:r>
        <w:t xml:space="preserve">Enable/disable toggle, continuous listening, hover-read TTS</w:t>
      </w:r>
    </w:p>
    <w:p>
      <w:pPr>
        <w:numPr>
          <w:ilvl w:val="0"/>
          <w:numId w:val="1002"/>
        </w:numPr>
        <w:pStyle w:val="Compact"/>
      </w:pPr>
      <w:r>
        <w:t xml:space="preserve">Right-click type input for manual command entry</w:t>
      </w:r>
    </w:p>
    <w:bookmarkEnd w:id="45"/>
    <w:bookmarkStart w:id="46" w:name="ai-services-local-no-cloud-required"/>
    <w:p>
      <w:pPr>
        <w:pStyle w:val="Heading3"/>
      </w:pPr>
      <w:r>
        <w:t xml:space="preserve">AI Services (Local — No Cloud Required)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NER</w:t>
      </w:r>
      <w:r>
        <w:t xml:space="preserve"> </w:t>
      </w:r>
      <w:r>
        <w:t xml:space="preserve">— Named entity extraction (spaCy, server 115)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Translation</w:t>
      </w:r>
      <w:r>
        <w:t xml:space="preserve"> </w:t>
      </w:r>
      <w:r>
        <w:t xml:space="preserve">— Offline via Argos Translate (10 languages)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Summarization</w:t>
      </w:r>
      <w:r>
        <w:t xml:space="preserve"> </w:t>
      </w:r>
      <w:r>
        <w:t xml:space="preserve">— BART-based seq2seq (server 115)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Spellcheck</w:t>
      </w:r>
      <w:r>
        <w:t xml:space="preserve"> </w:t>
      </w:r>
      <w:r>
        <w:t xml:space="preserve">— aspell CLI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Image Description</w:t>
      </w:r>
      <w:r>
        <w:t xml:space="preserve"> </w:t>
      </w:r>
      <w:r>
        <w:t xml:space="preserve">— LLaVA:7b via Ollama (server 115 GPU, 0.2s/image)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Condition Assessment</w:t>
      </w:r>
      <w:r>
        <w:t xml:space="preserve"> </w:t>
      </w:r>
      <w:r>
        <w:t xml:space="preserve">— AI damage detection with Spectrum 5.1 vocabulary (15 damage types)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LLM Suggestions</w:t>
      </w:r>
      <w:r>
        <w:t xml:space="preserve"> </w:t>
      </w:r>
      <w:r>
        <w:t xml:space="preserve">— Description generation via Ollama/Anthropic Claude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Face Detection</w:t>
      </w:r>
      <w:r>
        <w:t xml:space="preserve"> </w:t>
      </w:r>
      <w:r>
        <w:t xml:space="preserve">— OpenCV local, AWS/Azure cloud options</w:t>
      </w:r>
    </w:p>
    <w:bookmarkEnd w:id="46"/>
    <w:bookmarkStart w:id="47" w:name="smart-media-handling"/>
    <w:p>
      <w:pPr>
        <w:pStyle w:val="Heading3"/>
      </w:pPr>
      <w:r>
        <w:t xml:space="preserve">Smart Media Handling</w:t>
      </w:r>
    </w:p>
    <w:p>
      <w:pPr>
        <w:numPr>
          <w:ilvl w:val="0"/>
          <w:numId w:val="1004"/>
        </w:numPr>
        <w:pStyle w:val="Compact"/>
      </w:pPr>
      <w:r>
        <w:t xml:space="preserve">PDF detection with OCR transcript reading</w:t>
      </w:r>
    </w:p>
    <w:p>
      <w:pPr>
        <w:numPr>
          <w:ilvl w:val="0"/>
          <w:numId w:val="1004"/>
        </w:numPr>
        <w:pStyle w:val="Compact"/>
      </w:pPr>
      <w:r>
        <w:t xml:space="preserve">Video/audio detection with transcript playback</w:t>
      </w:r>
    </w:p>
    <w:p>
      <w:pPr>
        <w:numPr>
          <w:ilvl w:val="0"/>
          <w:numId w:val="1004"/>
        </w:numPr>
        <w:pStyle w:val="Compact"/>
      </w:pPr>
      <w:r>
        <w:t xml:space="preserve">TIFF deep zoom via IIIF/Cantaloupe</w:t>
      </w:r>
    </w:p>
    <w:p>
      <w:pPr>
        <w:numPr>
          <w:ilvl w:val="0"/>
          <w:numId w:val="1004"/>
        </w:numPr>
        <w:pStyle w:val="Compact"/>
      </w:pPr>
      <w:r>
        <w:t xml:space="preserve">3D model viewing with AR support</w:t>
      </w:r>
    </w:p>
    <w:bookmarkEnd w:id="47"/>
    <w:bookmarkStart w:id="48" w:name="backup-strategy"/>
    <w:p>
      <w:pPr>
        <w:pStyle w:val="Heading3"/>
      </w:pPr>
      <w:r>
        <w:t xml:space="preserve">Backup Strategy</w:t>
      </w:r>
    </w:p>
    <w:p>
      <w:pPr>
        <w:numPr>
          <w:ilvl w:val="0"/>
          <w:numId w:val="1005"/>
        </w:numPr>
        <w:pStyle w:val="Compact"/>
      </w:pPr>
      <w:r>
        <w:t xml:space="preserve">Full, incremental, and scheduled backups</w:t>
      </w:r>
    </w:p>
    <w:p>
      <w:pPr>
        <w:numPr>
          <w:ilvl w:val="0"/>
          <w:numId w:val="1005"/>
        </w:numPr>
        <w:pStyle w:val="Compact"/>
      </w:pPr>
      <w:r>
        <w:t xml:space="preserve">Hourly/daily/weekly/monthly scheduling with admin UI</w:t>
      </w:r>
    </w:p>
    <w:p>
      <w:pPr>
        <w:numPr>
          <w:ilvl w:val="0"/>
          <w:numId w:val="1005"/>
        </w:numPr>
        <w:pStyle w:val="Compact"/>
      </w:pPr>
      <w:r>
        <w:t xml:space="preserve">Per-schedule retention policies</w:t>
      </w:r>
    </w:p>
    <w:p>
      <w:pPr>
        <w:numPr>
          <w:ilvl w:val="0"/>
          <w:numId w:val="1005"/>
        </w:numPr>
        <w:pStyle w:val="Compact"/>
      </w:pPr>
      <w:r>
        <w:t xml:space="preserve">Email notifications on success/failure</w:t>
      </w:r>
    </w:p>
    <w:p>
      <w:pPr>
        <w:numPr>
          <w:ilvl w:val="0"/>
          <w:numId w:val="1005"/>
        </w:numPr>
        <w:pStyle w:val="Compact"/>
      </w:pPr>
      <w:r>
        <w:t xml:space="preserve">CLI:</w:t>
      </w:r>
      <w:r>
        <w:t xml:space="preserve"> </w:t>
      </w:r>
      <w:r>
        <w:rPr>
          <w:rStyle w:val="VerbatimChar"/>
        </w:rPr>
        <w:t xml:space="preserve">php symfony backup:run-scheduled</w:t>
      </w:r>
    </w:p>
    <w:bookmarkEnd w:id="48"/>
    <w:bookmarkStart w:id="49" w:name="embargo-enforcement"/>
    <w:p>
      <w:pPr>
        <w:pStyle w:val="Heading3"/>
      </w:pPr>
      <w:r>
        <w:t xml:space="preserve">Embargo Enforcement</w:t>
      </w:r>
    </w:p>
    <w:p>
      <w:pPr>
        <w:numPr>
          <w:ilvl w:val="0"/>
          <w:numId w:val="1006"/>
        </w:numPr>
        <w:pStyle w:val="Compact"/>
      </w:pPr>
      <w:r>
        <w:t xml:space="preserve">4 embargo types: full, metadata_only, digital_only, partial</w:t>
      </w:r>
    </w:p>
    <w:p>
      <w:pPr>
        <w:numPr>
          <w:ilvl w:val="0"/>
          <w:numId w:val="1006"/>
        </w:numPr>
        <w:pStyle w:val="Compact"/>
      </w:pPr>
      <w:r>
        <w:t xml:space="preserve">Browse/search filtering (embargoed records hidden from public)</w:t>
      </w:r>
    </w:p>
    <w:p>
      <w:pPr>
        <w:numPr>
          <w:ilvl w:val="0"/>
          <w:numId w:val="1006"/>
        </w:numPr>
        <w:pStyle w:val="Compact"/>
      </w:pPr>
      <w:r>
        <w:t xml:space="preserve">User/group/IP range exceptions</w:t>
      </w:r>
    </w:p>
    <w:p>
      <w:pPr>
        <w:numPr>
          <w:ilvl w:val="0"/>
          <w:numId w:val="1006"/>
        </w:numPr>
        <w:pStyle w:val="Compact"/>
      </w:pPr>
      <w:r>
        <w:t xml:space="preserve">Auto-lift on expiry with notifications</w:t>
      </w:r>
    </w:p>
    <w:bookmarkEnd w:id="49"/>
    <w:bookmarkStart w:id="50" w:name="wikidataviaf-authority-linking"/>
    <w:p>
      <w:pPr>
        <w:pStyle w:val="Heading3"/>
      </w:pPr>
      <w:r>
        <w:t xml:space="preserve">Wikidata/VIAF Authority Linking</w:t>
      </w:r>
    </w:p>
    <w:p>
      <w:pPr>
        <w:numPr>
          <w:ilvl w:val="0"/>
          <w:numId w:val="1007"/>
        </w:numPr>
        <w:pStyle w:val="Compact"/>
      </w:pPr>
      <w:r>
        <w:t xml:space="preserve">5 external sources: Wikidata, VIAF, Getty ULAN, LCNAF, ISNI</w:t>
      </w:r>
    </w:p>
    <w:p>
      <w:pPr>
        <w:numPr>
          <w:ilvl w:val="0"/>
          <w:numId w:val="1007"/>
        </w:numPr>
        <w:pStyle w:val="Compact"/>
      </w:pPr>
      <w:r>
        <w:t xml:space="preserve">Live API search and auto-linking</w:t>
      </w:r>
    </w:p>
    <w:p>
      <w:pPr>
        <w:numPr>
          <w:ilvl w:val="0"/>
          <w:numId w:val="1007"/>
        </w:numPr>
        <w:pStyle w:val="Compact"/>
      </w:pPr>
      <w:r>
        <w:t xml:space="preserve">EAC-CPF export enrichment</w:t>
      </w:r>
    </w:p>
    <w:p>
      <w:pPr>
        <w:numPr>
          <w:ilvl w:val="0"/>
          <w:numId w:val="1007"/>
        </w:numPr>
        <w:pStyle w:val="Compact"/>
      </w:pPr>
      <w:r>
        <w:t xml:space="preserve">Completeness scoring and dedup pipeline</w:t>
      </w:r>
    </w:p>
    <w:bookmarkEnd w:id="50"/>
    <w:bookmarkStart w:id="51" w:name="queue-engine"/>
    <w:p>
      <w:pPr>
        <w:pStyle w:val="Heading3"/>
      </w:pPr>
      <w:r>
        <w:t xml:space="preserve">Queue Engine</w:t>
      </w:r>
    </w:p>
    <w:p>
      <w:pPr>
        <w:numPr>
          <w:ilvl w:val="0"/>
          <w:numId w:val="1008"/>
        </w:numPr>
        <w:pStyle w:val="Compact"/>
      </w:pPr>
      <w:r>
        <w:t xml:space="preserve">Background job queue with dispatch, chain, batch, retry</w:t>
      </w:r>
    </w:p>
    <w:p>
      <w:pPr>
        <w:numPr>
          <w:ilvl w:val="0"/>
          <w:numId w:val="1008"/>
        </w:numPr>
        <w:pStyle w:val="Compact"/>
      </w:pPr>
      <w:r>
        <w:t xml:space="preserve">5 CLI commands, admin UI, systemd workers</w:t>
      </w:r>
    </w:p>
    <w:p>
      <w:pPr>
        <w:numPr>
          <w:ilvl w:val="0"/>
          <w:numId w:val="1008"/>
        </w:numPr>
        <w:pStyle w:val="Compact"/>
      </w:pPr>
      <w:r>
        <w:t xml:space="preserve">Rate limiting, exponential backoff</w:t>
      </w:r>
    </w:p>
    <w:bookmarkEnd w:id="51"/>
    <w:bookmarkStart w:id="52" w:name="custom-fields-eav"/>
    <w:p>
      <w:pPr>
        <w:pStyle w:val="Heading3"/>
      </w:pPr>
      <w:r>
        <w:t xml:space="preserve">Custom Fields (EAV)</w:t>
      </w:r>
    </w:p>
    <w:p>
      <w:pPr>
        <w:numPr>
          <w:ilvl w:val="0"/>
          <w:numId w:val="1009"/>
        </w:numPr>
        <w:pStyle w:val="Compact"/>
      </w:pPr>
      <w:r>
        <w:t xml:space="preserve">Admin-configurable per entity type (7 field types, 6 entity types)</w:t>
      </w:r>
    </w:p>
    <w:p>
      <w:pPr>
        <w:numPr>
          <w:ilvl w:val="0"/>
          <w:numId w:val="1009"/>
        </w:numPr>
        <w:pStyle w:val="Compact"/>
      </w:pPr>
      <w:r>
        <w:t xml:space="preserve">Repeatable fields, validation, import/export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open-issues-9"/>
    <w:p>
      <w:pPr>
        <w:pStyle w:val="Heading2"/>
      </w:pPr>
      <w:r>
        <w:t xml:space="preserve">Open Issues (9)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AI 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HTR Vital Records 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Parked (separate 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+ Active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Preservica Converter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Auto-update 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(script built, needs deploy)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Archivematica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SAML/SSO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</w:tbl>
    <w:p>
      <w:pPr>
        <w:pStyle w:val="BodyText"/>
      </w:pPr>
      <w:r>
        <w:rPr>
          <w:bCs/>
          <w:b/>
        </w:rPr>
        <w:t xml:space="preserve">218 issues closed.</w:t>
      </w:r>
    </w:p>
    <w:p>
      <w:r>
        <w:pict>
          <v:rect style="width:0;height:1.5pt" o:hralign="center" o:hrstd="t" o:hr="t"/>
        </w:pict>
      </w:r>
    </w:p>
    <w:bookmarkEnd w:id="54"/>
    <w:bookmarkStart w:id="58" w:name="roadmap"/>
    <w:p>
      <w:pPr>
        <w:pStyle w:val="Heading2"/>
      </w:pPr>
      <w:r>
        <w:t xml:space="preserve">Roadmap</w:t>
      </w:r>
    </w:p>
    <w:bookmarkStart w:id="55" w:name="near-term-q2-2026"/>
    <w:p>
      <w:pPr>
        <w:pStyle w:val="Heading3"/>
      </w:pPr>
      <w:r>
        <w:t xml:space="preserve">Near Term (Q2 2026)</w:t>
      </w:r>
    </w:p>
    <w:p>
      <w:pPr>
        <w:numPr>
          <w:ilvl w:val="0"/>
          <w:numId w:val="1010"/>
        </w:numPr>
        <w:pStyle w:val="Compact"/>
      </w:pPr>
      <w:r>
        <w:t xml:space="preserve">SAMAB 2026 paper submission (deadline: 30 May 2026)</w:t>
      </w:r>
    </w:p>
    <w:p>
      <w:pPr>
        <w:numPr>
          <w:ilvl w:val="0"/>
          <w:numId w:val="1010"/>
        </w:numPr>
        <w:pStyle w:val="Compact"/>
      </w:pPr>
      <w:r>
        <w:t xml:space="preserve">HTR vital records pipeline (in progress on 115)</w:t>
      </w:r>
    </w:p>
    <w:p>
      <w:pPr>
        <w:numPr>
          <w:ilvl w:val="0"/>
          <w:numId w:val="1010"/>
        </w:numPr>
        <w:pStyle w:val="Compact"/>
      </w:pPr>
      <w:r>
        <w:t xml:space="preserve">LLaVA fine-tuning for conservation (training data export, LoRA on 115)</w:t>
      </w:r>
    </w:p>
    <w:p>
      <w:pPr>
        <w:numPr>
          <w:ilvl w:val="0"/>
          <w:numId w:val="1010"/>
        </w:numPr>
        <w:pStyle w:val="Compact"/>
      </w:pPr>
      <w:r>
        <w:t xml:space="preserve">Auto-update deployment to client servers (#72)</w:t>
      </w:r>
    </w:p>
    <w:bookmarkEnd w:id="55"/>
    <w:bookmarkStart w:id="56" w:name="medium-term-q3-q4-2026"/>
    <w:p>
      <w:pPr>
        <w:pStyle w:val="Heading3"/>
      </w:pPr>
      <w:r>
        <w:t xml:space="preserve">Medium Term (Q3-Q4 2026)</w:t>
      </w:r>
    </w:p>
    <w:p>
      <w:pPr>
        <w:numPr>
          <w:ilvl w:val="0"/>
          <w:numId w:val="1011"/>
        </w:numPr>
        <w:pStyle w:val="Compact"/>
      </w:pPr>
      <w:r>
        <w:t xml:space="preserve">Full Laravel AtoM Heratio (replace Symfony entirely)</w:t>
      </w:r>
    </w:p>
    <w:p>
      <w:pPr>
        <w:numPr>
          <w:ilvl w:val="0"/>
          <w:numId w:val="1011"/>
        </w:numPr>
        <w:pStyle w:val="Compact"/>
      </w:pPr>
      <w:r>
        <w:t xml:space="preserve">IIIF AI extraction pipeline (#220)</w:t>
      </w:r>
    </w:p>
    <w:p>
      <w:pPr>
        <w:numPr>
          <w:ilvl w:val="0"/>
          <w:numId w:val="1011"/>
        </w:numPr>
        <w:pStyle w:val="Compact"/>
      </w:pPr>
      <w:r>
        <w:t xml:space="preserve">Mobile PWA wrapper (#47)</w:t>
      </w:r>
    </w:p>
    <w:p>
      <w:pPr>
        <w:numPr>
          <w:ilvl w:val="0"/>
          <w:numId w:val="1011"/>
        </w:numPr>
        <w:pStyle w:val="Compact"/>
      </w:pPr>
      <w:r>
        <w:t xml:space="preserve">SAML/SSO authentication (#30)</w:t>
      </w:r>
    </w:p>
    <w:bookmarkEnd w:id="56"/>
    <w:bookmarkStart w:id="57" w:name="long-term-2027"/>
    <w:p>
      <w:pPr>
        <w:pStyle w:val="Heading3"/>
      </w:pPr>
      <w:r>
        <w:t xml:space="preserve">Long Term (2027+)</w:t>
      </w:r>
    </w:p>
    <w:p>
      <w:pPr>
        <w:numPr>
          <w:ilvl w:val="0"/>
          <w:numId w:val="1012"/>
        </w:numPr>
        <w:pStyle w:val="Compact"/>
      </w:pPr>
      <w:r>
        <w:t xml:space="preserve">Archivematica integration (#42)</w:t>
      </w:r>
    </w:p>
    <w:p>
      <w:pPr>
        <w:numPr>
          <w:ilvl w:val="0"/>
          <w:numId w:val="1012"/>
        </w:numPr>
        <w:pStyle w:val="Compact"/>
      </w:pPr>
      <w:r>
        <w:t xml:space="preserve">LDAP/Active Directory (#29, #124)</w:t>
      </w:r>
    </w:p>
    <w:p>
      <w:pPr>
        <w:numPr>
          <w:ilvl w:val="0"/>
          <w:numId w:val="1012"/>
        </w:numPr>
        <w:pStyle w:val="Compact"/>
      </w:pPr>
      <w:r>
        <w:t xml:space="preserve">Preservica migration tool (#77)</w:t>
      </w:r>
    </w:p>
    <w:p>
      <w:pPr>
        <w:numPr>
          <w:ilvl w:val="0"/>
          <w:numId w:val="1012"/>
        </w:numPr>
        <w:pStyle w:val="Compact"/>
      </w:pPr>
      <w:r>
        <w:t xml:space="preserve">Multi-tenant SaaS offering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documentation"/>
    <w:p>
      <w:pPr>
        <w:pStyle w:val="Heading2"/>
      </w:pPr>
      <w:r>
        <w:t xml:space="preserve">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1827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 Fine-Tuning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atom-extensions-catalog/docs/technical/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Condition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Feature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Strategy Feature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atom-extensions-catalog/docs/technical/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SAMAB 2026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atom-extensions-catalog/docs/samab/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https://psis.theahg.co.za/index.php/help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https://docs.theahg.co.za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instances"/>
    <w:p>
      <w:pPr>
        <w:pStyle w:val="Heading2"/>
      </w:pPr>
      <w:r>
        <w:t xml:space="preserve">Instances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1164"/>
        <w:gridCol w:w="2329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https://psis.theahg.co.za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development/demo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https://atom.theahg.co.za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African National Congress 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https://km.theahg.co.za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Knowledge Management Q&amp;A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https://registry.theahg.co.za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registry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https://docs.theahg.co.za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MkDocs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https://ai.theahg.co.za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service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github-repositories"/>
    <w:p>
      <w:pPr>
        <w:pStyle w:val="Heading2"/>
      </w:pPr>
      <w:r>
        <w:t xml:space="preserve">GitHub Repositories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ArchiveHeritageGroup/atom-framework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Laravel foundation, CLI tools,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ArchiveHeritageGroup/atom-ahg-plugins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80 AHG plugins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ArchiveHeritageGroup/atom-extensions-catalog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Documentation, issues, registry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 — Johan Pieterse</w:t>
      </w:r>
      <w:r>
        <w:t xml:space="preserve"> </w:t>
      </w:r>
      <w:r>
        <w:rPr>
          <w:iCs/>
          <w:i/>
        </w:rPr>
        <w:t xml:space="preserve">AtoM Heratio Framework v2.11.7 / Plugins v3.21.17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Project Briefing</dc:title>
  <dc:creator>The Archive and Heritage Group (Pty) Ltd</dc:creator>
  <cp:keywords/>
  <dcterms:created xsi:type="dcterms:W3CDTF">2026-03-16T14:44:38Z</dcterms:created>
  <dcterms:modified xsi:type="dcterms:W3CDTF">2026-03-16T14:44:38Z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