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Security User Manual</w:t>
      </w:r>
    </w:p>
    <w:p>
      <w:pPr>
        <w:pStyle w:val="Author"/>
      </w:pPr>
      <w:r>
        <w:t xml:space="preserve">The Archive and Heritage Group (Pty) Ltd</w:t>
      </w:r>
    </w:p>
    <w:bookmarkStart w:id="44" w:name="security-user-manual"/>
    <w:p>
      <w:pPr>
        <w:pStyle w:val="Heading1"/>
      </w:pPr>
      <w:r>
        <w:t xml:space="preserve">Security User Manual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AtoM Heratio provides enterprise-grade security features aligned with OWASP Top 10, ISO 27001, Bell-LaPadula, and POPIA standards. This guide covers how to use and configure security features.</w:t>
      </w:r>
    </w:p>
    <w:bookmarkEnd w:id="20"/>
    <w:bookmarkStart w:id="25" w:name="password-policy"/>
    <w:p>
      <w:pPr>
        <w:pStyle w:val="Heading2"/>
      </w:pPr>
      <w:r>
        <w:t xml:space="preserve">Password Policy</w:t>
      </w:r>
    </w:p>
    <w:bookmarkStart w:id="21" w:name="password-requirements"/>
    <w:p>
      <w:pPr>
        <w:pStyle w:val="Heading3"/>
      </w:pPr>
      <w:r>
        <w:t xml:space="preserve">Password Requirements</w:t>
      </w:r>
    </w:p>
    <w:p>
      <w:pPr>
        <w:pStyle w:val="FirstParagraph"/>
      </w:pPr>
      <w:r>
        <w:t xml:space="preserve">Strong passwords are enforced by default. Passwords must meet:</w:t>
      </w:r>
    </w:p>
    <w:p>
      <w:pPr>
        <w:numPr>
          <w:ilvl w:val="0"/>
          <w:numId w:val="1001"/>
        </w:numPr>
        <w:pStyle w:val="Compact"/>
      </w:pPr>
      <w:r>
        <w:t xml:space="preserve">Minimum 8 characters</w:t>
      </w:r>
    </w:p>
    <w:p>
      <w:pPr>
        <w:numPr>
          <w:ilvl w:val="0"/>
          <w:numId w:val="1001"/>
        </w:numPr>
        <w:pStyle w:val="Compact"/>
      </w:pPr>
      <w:r>
        <w:t xml:space="preserve">At least one uppercase letter</w:t>
      </w:r>
    </w:p>
    <w:p>
      <w:pPr>
        <w:numPr>
          <w:ilvl w:val="0"/>
          <w:numId w:val="1001"/>
        </w:numPr>
        <w:pStyle w:val="Compact"/>
      </w:pPr>
      <w:r>
        <w:t xml:space="preserve">At least one lowercase letter</w:t>
      </w:r>
    </w:p>
    <w:p>
      <w:pPr>
        <w:numPr>
          <w:ilvl w:val="0"/>
          <w:numId w:val="1001"/>
        </w:numPr>
        <w:pStyle w:val="Compact"/>
      </w:pPr>
      <w:r>
        <w:t xml:space="preserve">At least one number</w:t>
      </w:r>
    </w:p>
    <w:p>
      <w:pPr>
        <w:numPr>
          <w:ilvl w:val="0"/>
          <w:numId w:val="1001"/>
        </w:numPr>
        <w:pStyle w:val="Compact"/>
      </w:pPr>
      <w:r>
        <w:t xml:space="preserve">At least one special character</w:t>
      </w:r>
    </w:p>
    <w:bookmarkEnd w:id="21"/>
    <w:bookmarkStart w:id="22" w:name="password-expiry"/>
    <w:p>
      <w:pPr>
        <w:pStyle w:val="Heading3"/>
      </w:pPr>
      <w:r>
        <w:t xml:space="preserve">Password Expiry</w:t>
      </w:r>
    </w:p>
    <w:p>
      <w:pPr>
        <w:pStyle w:val="FirstParagraph"/>
      </w:pPr>
      <w:r>
        <w:t xml:space="preserve">Passwords expire after a configurable period (default: 90 days). When your password is about to expire:</w:t>
      </w:r>
    </w:p>
    <w:p>
      <w:pPr>
        <w:numPr>
          <w:ilvl w:val="0"/>
          <w:numId w:val="1002"/>
        </w:numPr>
        <w:pStyle w:val="Compact"/>
      </w:pPr>
      <w:r>
        <w:t xml:space="preserve">A warning notification appears on login when your password will expire within 14 days</w:t>
      </w:r>
    </w:p>
    <w:p>
      <w:pPr>
        <w:numPr>
          <w:ilvl w:val="0"/>
          <w:numId w:val="1002"/>
        </w:numPr>
        <w:pStyle w:val="Compact"/>
      </w:pPr>
      <w:r>
        <w:t xml:space="preserve">When your password expires, you will see a notification and may be redirected to the password change page</w:t>
      </w:r>
    </w:p>
    <w:p>
      <w:pPr>
        <w:numPr>
          <w:ilvl w:val="0"/>
          <w:numId w:val="1002"/>
        </w:numPr>
        <w:pStyle w:val="Compact"/>
      </w:pPr>
      <w:r>
        <w:t xml:space="preserve">Administrators can configure expiry settings at</w:t>
      </w:r>
      <w:r>
        <w:t xml:space="preserve"> </w:t>
      </w:r>
      <w:r>
        <w:rPr>
          <w:bCs/>
          <w:b/>
        </w:rPr>
        <w:t xml:space="preserve">Admin &gt; AHG Settings &gt; Security &amp; Access Control</w:t>
      </w:r>
    </w:p>
    <w:bookmarkEnd w:id="22"/>
    <w:bookmarkStart w:id="23" w:name="password-history"/>
    <w:p>
      <w:pPr>
        <w:pStyle w:val="Heading3"/>
      </w:pPr>
      <w:r>
        <w:t xml:space="preserve">Password History</w:t>
      </w:r>
    </w:p>
    <w:p>
      <w:pPr>
        <w:pStyle w:val="FirstParagraph"/>
      </w:pPr>
      <w:r>
        <w:t xml:space="preserve">The system remembers your previous passwords (default: 5) and prevents reuse. When changing your password, you cannot use any of your last 5 passwords.</w:t>
      </w:r>
    </w:p>
    <w:bookmarkEnd w:id="23"/>
    <w:bookmarkStart w:id="24" w:name="changing-your-password"/>
    <w:p>
      <w:pPr>
        <w:pStyle w:val="Heading3"/>
      </w:pPr>
      <w:r>
        <w:t xml:space="preserve">Changing Your Password</w:t>
      </w:r>
    </w:p>
    <w:p>
      <w:pPr>
        <w:numPr>
          <w:ilvl w:val="0"/>
          <w:numId w:val="1003"/>
        </w:numPr>
        <w:pStyle w:val="Compact"/>
      </w:pPr>
      <w:r>
        <w:t xml:space="preserve">Click your username in the top-right menu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Change Password</w:t>
      </w:r>
    </w:p>
    <w:p>
      <w:pPr>
        <w:numPr>
          <w:ilvl w:val="0"/>
          <w:numId w:val="1003"/>
        </w:numPr>
        <w:pStyle w:val="Compact"/>
      </w:pPr>
      <w:r>
        <w:t xml:space="preserve">Enter your current password</w:t>
      </w:r>
    </w:p>
    <w:p>
      <w:pPr>
        <w:numPr>
          <w:ilvl w:val="0"/>
          <w:numId w:val="1003"/>
        </w:numPr>
        <w:pStyle w:val="Compact"/>
      </w:pPr>
      <w:r>
        <w:t xml:space="preserve">Enter and confirm your new password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4"/>
    <w:bookmarkEnd w:id="25"/>
    <w:bookmarkStart w:id="26" w:name="account-lockout"/>
    <w:p>
      <w:pPr>
        <w:pStyle w:val="Heading2"/>
      </w:pPr>
      <w:r>
        <w:t xml:space="preserve">Account Lockout</w:t>
      </w:r>
    </w:p>
    <w:p>
      <w:pPr>
        <w:pStyle w:val="FirstParagraph"/>
      </w:pPr>
      <w:r>
        <w:t xml:space="preserve">To protect against brute force attacks, accounts are temporarily locked after repeated failed login attempts.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Threshold:</w:t>
      </w:r>
      <w:r>
        <w:t xml:space="preserve"> </w:t>
      </w:r>
      <w:r>
        <w:t xml:space="preserve">5 failed attempts within 15 minutes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15-minute lockout</w:t>
      </w:r>
    </w:p>
    <w:p>
      <w:pPr>
        <w:numPr>
          <w:ilvl w:val="0"/>
          <w:numId w:val="1004"/>
        </w:numPr>
        <w:pStyle w:val="Compact"/>
      </w:pPr>
      <w:r>
        <w:t xml:space="preserve">After the lockout period, you can try logging in again</w:t>
      </w:r>
    </w:p>
    <w:p>
      <w:pPr>
        <w:numPr>
          <w:ilvl w:val="0"/>
          <w:numId w:val="1004"/>
        </w:numPr>
        <w:pStyle w:val="Compact"/>
      </w:pPr>
      <w:r>
        <w:t xml:space="preserve">Successful login clears the failed attempt counter</w:t>
      </w:r>
    </w:p>
    <w:p>
      <w:pPr>
        <w:pStyle w:val="FirstParagraph"/>
      </w:pPr>
      <w:r>
        <w:t xml:space="preserve">If you are locked out, wait 15 minutes and try again. Contact your administrator if the problem persists.</w:t>
      </w:r>
    </w:p>
    <w:bookmarkEnd w:id="26"/>
    <w:bookmarkStart w:id="30" w:name="multi-factor-authentication-2fa"/>
    <w:p>
      <w:pPr>
        <w:pStyle w:val="Heading2"/>
      </w:pPr>
      <w:r>
        <w:t xml:space="preserve">Multi-Factor Authentication (2FA)</w:t>
      </w:r>
    </w:p>
    <w:p>
      <w:pPr>
        <w:pStyle w:val="FirstParagraph"/>
      </w:pPr>
      <w:r>
        <w:t xml:space="preserve">AtoM Heratio supports Time-based One-Time Password (TOTP) for two-factor authentication.</w:t>
      </w:r>
    </w:p>
    <w:bookmarkStart w:id="27" w:name="setting-up-2fa"/>
    <w:p>
      <w:pPr>
        <w:pStyle w:val="Heading3"/>
      </w:pPr>
      <w:r>
        <w:t xml:space="preserve">Setting Up 2FA</w:t>
      </w:r>
    </w:p>
    <w:p>
      <w:pPr>
        <w:numPr>
          <w:ilvl w:val="0"/>
          <w:numId w:val="1005"/>
        </w:numPr>
        <w:pStyle w:val="Compact"/>
      </w:pPr>
      <w:r>
        <w:t xml:space="preserve">Navigate to your user profile</w:t>
      </w:r>
    </w:p>
    <w:p>
      <w:pPr>
        <w:numPr>
          <w:ilvl w:val="0"/>
          <w:numId w:val="1005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Two-Factor Authentication</w:t>
      </w:r>
      <w:r>
        <w:t xml:space="preserve"> </w:t>
      </w:r>
      <w:r>
        <w:t xml:space="preserve">section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Enable 2FA</w:t>
      </w:r>
    </w:p>
    <w:p>
      <w:pPr>
        <w:numPr>
          <w:ilvl w:val="0"/>
          <w:numId w:val="1005"/>
        </w:numPr>
        <w:pStyle w:val="Compact"/>
      </w:pPr>
      <w:r>
        <w:t xml:space="preserve">Scan the QR code with your authenticator app (Google Authenticator, Authy, Microsoft Authenticator)</w:t>
      </w:r>
    </w:p>
    <w:p>
      <w:pPr>
        <w:numPr>
          <w:ilvl w:val="0"/>
          <w:numId w:val="1005"/>
        </w:numPr>
        <w:pStyle w:val="Compact"/>
      </w:pPr>
      <w:r>
        <w:t xml:space="preserve">Enter the 6-digit code from your app to verify</w:t>
      </w:r>
    </w:p>
    <w:p>
      <w:pPr>
        <w:numPr>
          <w:ilvl w:val="0"/>
          <w:numId w:val="1005"/>
        </w:numPr>
        <w:pStyle w:val="Compact"/>
      </w:pPr>
      <w:r>
        <w:t xml:space="preserve">Save your recovery codes in a secure location</w:t>
      </w:r>
    </w:p>
    <w:bookmarkEnd w:id="27"/>
    <w:bookmarkStart w:id="28" w:name="using-2fa"/>
    <w:p>
      <w:pPr>
        <w:pStyle w:val="Heading3"/>
      </w:pPr>
      <w:r>
        <w:t xml:space="preserve">Using 2FA</w:t>
      </w:r>
    </w:p>
    <w:p>
      <w:pPr>
        <w:pStyle w:val="FirstParagraph"/>
      </w:pPr>
      <w:r>
        <w:t xml:space="preserve">When 2FA is enabled, after entering your username and password you will be prompted for a 6-digit code from your authenticator app. Enter the current code to complete login.</w:t>
      </w:r>
    </w:p>
    <w:bookmarkEnd w:id="28"/>
    <w:bookmarkStart w:id="29" w:name="email-fallback"/>
    <w:p>
      <w:pPr>
        <w:pStyle w:val="Heading3"/>
      </w:pPr>
      <w:r>
        <w:t xml:space="preserve">Email Fallback</w:t>
      </w:r>
    </w:p>
    <w:p>
      <w:pPr>
        <w:pStyle w:val="FirstParagraph"/>
      </w:pPr>
      <w:r>
        <w:t xml:space="preserve">If you don’t have your authenticator app available, you can request a code via email. The email code is valid for 10 minutes.</w:t>
      </w:r>
    </w:p>
    <w:bookmarkEnd w:id="29"/>
    <w:bookmarkEnd w:id="30"/>
    <w:bookmarkStart w:id="34" w:name="security-classification-bell-lapadula"/>
    <w:p>
      <w:pPr>
        <w:pStyle w:val="Heading2"/>
      </w:pPr>
      <w:r>
        <w:t xml:space="preserve">Security Classification (Bell-LaPadula)</w:t>
      </w:r>
    </w:p>
    <w:p>
      <w:pPr>
        <w:pStyle w:val="FirstParagraph"/>
      </w:pPr>
      <w:r>
        <w:t xml:space="preserve">AtoM Heratio implements mandatory access control using the Bell-LaPadula model.</w:t>
      </w:r>
    </w:p>
    <w:bookmarkStart w:id="31" w:name="classification-levels"/>
    <w:p>
      <w:pPr>
        <w:pStyle w:val="Heading3"/>
      </w:pPr>
      <w:r>
        <w:t xml:space="preserve">Classification Levels</w:t>
      </w:r>
    </w:p>
    <w:p>
      <w:pPr>
        <w:pStyle w:val="FirstParagraph"/>
      </w:pPr>
      <w:r>
        <w:t xml:space="preserve">Records can be classified at four levels (lowest to highest):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PUBLIC</w:t>
      </w:r>
      <w:r>
        <w:t xml:space="preserve"> </w:t>
      </w:r>
      <w:r>
        <w:t xml:space="preserve">— Visible to all users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CONFIDENTIAL</w:t>
      </w:r>
      <w:r>
        <w:t xml:space="preserve"> </w:t>
      </w:r>
      <w:r>
        <w:t xml:space="preserve">— Restricted to users with Confidential clearance or higher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SECRET</w:t>
      </w:r>
      <w:r>
        <w:t xml:space="preserve"> </w:t>
      </w:r>
      <w:r>
        <w:t xml:space="preserve">— Restricted to users with Secret clearance or higher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 SECRET</w:t>
      </w:r>
      <w:r>
        <w:t xml:space="preserve"> </w:t>
      </w:r>
      <w:r>
        <w:t xml:space="preserve">— Restricted to users with Top Secret clearance only</w:t>
      </w:r>
    </w:p>
    <w:bookmarkEnd w:id="31"/>
    <w:bookmarkStart w:id="32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Read-Up (Simple Security):</w:t>
      </w:r>
      <w:r>
        <w:t xml:space="preserve"> </w:t>
      </w:r>
      <w:r>
        <w:t xml:space="preserve">You can only view records at or below your clearance level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Write-Down (Star Property):</w:t>
      </w:r>
      <w:r>
        <w:t xml:space="preserve"> </w:t>
      </w:r>
      <w:r>
        <w:t xml:space="preserve">You cannot edit or create records at a classification level lower than your clearance (prevents accidental disclosure)</w:t>
      </w:r>
    </w:p>
    <w:p>
      <w:pPr>
        <w:numPr>
          <w:ilvl w:val="0"/>
          <w:numId w:val="1007"/>
        </w:numPr>
        <w:pStyle w:val="Compact"/>
      </w:pPr>
      <w:r>
        <w:t xml:space="preserve">Administrators are exempt from the Star Property for operational flexibility</w:t>
      </w:r>
    </w:p>
    <w:bookmarkEnd w:id="32"/>
    <w:bookmarkStart w:id="33" w:name="your-clearance-level"/>
    <w:p>
      <w:pPr>
        <w:pStyle w:val="Heading3"/>
      </w:pPr>
      <w:r>
        <w:t xml:space="preserve">Your Clearance Level</w:t>
      </w:r>
    </w:p>
    <w:p>
      <w:pPr>
        <w:pStyle w:val="FirstParagraph"/>
      </w:pPr>
      <w:r>
        <w:t xml:space="preserve">Your security clearance is assigned by an administrator. To check your clearance level, view your user profile or contact your administrator.</w:t>
      </w:r>
    </w:p>
    <w:bookmarkEnd w:id="33"/>
    <w:bookmarkEnd w:id="34"/>
    <w:bookmarkStart w:id="37" w:name="session-security"/>
    <w:p>
      <w:pPr>
        <w:pStyle w:val="Heading2"/>
      </w:pPr>
      <w:r>
        <w:t xml:space="preserve">Session Security</w:t>
      </w:r>
    </w:p>
    <w:bookmarkStart w:id="35" w:name="automatic-timeout"/>
    <w:p>
      <w:pPr>
        <w:pStyle w:val="Heading3"/>
      </w:pPr>
      <w:r>
        <w:t xml:space="preserve">Automatic Timeout</w:t>
      </w:r>
    </w:p>
    <w:p>
      <w:pPr>
        <w:pStyle w:val="FirstParagraph"/>
      </w:pPr>
      <w:r>
        <w:t xml:space="preserve">Sessions expire after 30 minutes of inactivity (configurable). When your session times out:</w:t>
      </w:r>
    </w:p>
    <w:p>
      <w:pPr>
        <w:numPr>
          <w:ilvl w:val="0"/>
          <w:numId w:val="1008"/>
        </w:numPr>
        <w:pStyle w:val="Compact"/>
      </w:pPr>
      <w:r>
        <w:t xml:space="preserve">You will be redirected to the login page</w:t>
      </w:r>
    </w:p>
    <w:p>
      <w:pPr>
        <w:numPr>
          <w:ilvl w:val="0"/>
          <w:numId w:val="1008"/>
        </w:numPr>
        <w:pStyle w:val="Compact"/>
      </w:pPr>
      <w:r>
        <w:t xml:space="preserve">Any unsaved work may be lost — save frequently</w:t>
      </w:r>
    </w:p>
    <w:bookmarkEnd w:id="35"/>
    <w:bookmarkStart w:id="36" w:name="session-protection"/>
    <w:p>
      <w:pPr>
        <w:pStyle w:val="Heading3"/>
      </w:pPr>
      <w:r>
        <w:t xml:space="preserve">Session Protection</w:t>
      </w:r>
    </w:p>
    <w:p>
      <w:pPr>
        <w:numPr>
          <w:ilvl w:val="0"/>
          <w:numId w:val="1009"/>
        </w:numPr>
        <w:pStyle w:val="Compact"/>
      </w:pPr>
      <w:r>
        <w:t xml:space="preserve">Session IDs are regenerated on login to prevent session fixation attacks</w:t>
      </w:r>
    </w:p>
    <w:p>
      <w:pPr>
        <w:numPr>
          <w:ilvl w:val="0"/>
          <w:numId w:val="1009"/>
        </w:numPr>
        <w:pStyle w:val="Compact"/>
      </w:pPr>
      <w:r>
        <w:t xml:space="preserve">Cookies are marked HttpOnly (inaccessible to JavaScript)</w:t>
      </w:r>
    </w:p>
    <w:p>
      <w:pPr>
        <w:numPr>
          <w:ilvl w:val="0"/>
          <w:numId w:val="1009"/>
        </w:numPr>
        <w:pStyle w:val="Compact"/>
      </w:pPr>
      <w:r>
        <w:t xml:space="preserve">CSRF tokens protect all form submissions</w:t>
      </w:r>
    </w:p>
    <w:bookmarkEnd w:id="36"/>
    <w:bookmarkEnd w:id="37"/>
    <w:bookmarkStart w:id="38" w:name="security-headers"/>
    <w:p>
      <w:pPr>
        <w:pStyle w:val="Heading2"/>
      </w:pPr>
      <w:r>
        <w:t xml:space="preserve">Security Headers</w:t>
      </w:r>
    </w:p>
    <w:p>
      <w:pPr>
        <w:pStyle w:val="FirstParagraph"/>
      </w:pPr>
      <w:r>
        <w:t xml:space="preserve">All pages include security headers that protect against common web attacks: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HSTS</w:t>
      </w:r>
      <w:r>
        <w:t xml:space="preserve"> </w:t>
      </w:r>
      <w:r>
        <w:t xml:space="preserve">— Forces secure HTTPS connections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X-Frame-Options</w:t>
      </w:r>
      <w:r>
        <w:t xml:space="preserve"> </w:t>
      </w:r>
      <w:r>
        <w:t xml:space="preserve">— Prevents the site from being embedded in frames (clickjacking protection)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X-Content-Type-Options</w:t>
      </w:r>
      <w:r>
        <w:t xml:space="preserve"> </w:t>
      </w:r>
      <w:r>
        <w:t xml:space="preserve">— Prevents browser MIME sniffing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Permissions-Policy</w:t>
      </w:r>
      <w:r>
        <w:t xml:space="preserve"> </w:t>
      </w:r>
      <w:r>
        <w:t xml:space="preserve">— Restricts browser features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Referrer-Policy</w:t>
      </w:r>
      <w:r>
        <w:t xml:space="preserve"> </w:t>
      </w:r>
      <w:r>
        <w:t xml:space="preserve">— Controls information in the Referer header</w:t>
      </w:r>
    </w:p>
    <w:bookmarkEnd w:id="38"/>
    <w:bookmarkStart w:id="39" w:name="audit-trail"/>
    <w:p>
      <w:pPr>
        <w:pStyle w:val="Heading2"/>
      </w:pPr>
      <w:r>
        <w:t xml:space="preserve">Audit Trail</w:t>
      </w:r>
    </w:p>
    <w:p>
      <w:pPr>
        <w:pStyle w:val="FirstParagraph"/>
      </w:pPr>
      <w:r>
        <w:t xml:space="preserve">All significant actions are logged for compliance:</w:t>
      </w:r>
    </w:p>
    <w:p>
      <w:pPr>
        <w:numPr>
          <w:ilvl w:val="0"/>
          <w:numId w:val="1011"/>
        </w:numPr>
        <w:pStyle w:val="Compact"/>
      </w:pPr>
      <w:r>
        <w:t xml:space="preserve">Login and logout events</w:t>
      </w:r>
    </w:p>
    <w:p>
      <w:pPr>
        <w:numPr>
          <w:ilvl w:val="0"/>
          <w:numId w:val="1011"/>
        </w:numPr>
        <w:pStyle w:val="Compact"/>
      </w:pPr>
      <w:r>
        <w:t xml:space="preserve">Failed login attempts</w:t>
      </w:r>
    </w:p>
    <w:p>
      <w:pPr>
        <w:numPr>
          <w:ilvl w:val="0"/>
          <w:numId w:val="1011"/>
        </w:numPr>
        <w:pStyle w:val="Compact"/>
      </w:pPr>
      <w:r>
        <w:t xml:space="preserve">Record creation, editing, and deletion</w:t>
      </w:r>
    </w:p>
    <w:p>
      <w:pPr>
        <w:numPr>
          <w:ilvl w:val="0"/>
          <w:numId w:val="1011"/>
        </w:numPr>
        <w:pStyle w:val="Compact"/>
      </w:pPr>
      <w:r>
        <w:t xml:space="preserve">Security classification changes</w:t>
      </w:r>
    </w:p>
    <w:p>
      <w:pPr>
        <w:numPr>
          <w:ilvl w:val="0"/>
          <w:numId w:val="1011"/>
        </w:numPr>
        <w:pStyle w:val="Compact"/>
      </w:pPr>
      <w:r>
        <w:t xml:space="preserve">Access to classified records</w:t>
      </w:r>
    </w:p>
    <w:p>
      <w:pPr>
        <w:pStyle w:val="FirstParagraph"/>
      </w:pPr>
      <w:r>
        <w:t xml:space="preserve">Administrators can review audit logs at</w:t>
      </w:r>
      <w:r>
        <w:t xml:space="preserve"> </w:t>
      </w:r>
      <w:r>
        <w:rPr>
          <w:bCs/>
          <w:b/>
        </w:rPr>
        <w:t xml:space="preserve">Admin &gt; Audit Trail</w:t>
      </w:r>
      <w:r>
        <w:t xml:space="preserve">.</w:t>
      </w:r>
    </w:p>
    <w:bookmarkEnd w:id="39"/>
    <w:bookmarkStart w:id="43" w:name="for-administrators"/>
    <w:p>
      <w:pPr>
        <w:pStyle w:val="Heading2"/>
      </w:pPr>
      <w:r>
        <w:t xml:space="preserve">For Administrators</w:t>
      </w:r>
    </w:p>
    <w:bookmarkStart w:id="40" w:name="configuring-security-settings"/>
    <w:p>
      <w:pPr>
        <w:pStyle w:val="Heading3"/>
      </w:pPr>
      <w:r>
        <w:t xml:space="preserve">Configuring Security Settings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Security &amp; Access Control</w:t>
      </w:r>
      <w:r>
        <w:t xml:space="preserve"> </w:t>
      </w:r>
      <w:r>
        <w:t xml:space="preserve">to configure: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Password Expiry</w:t>
      </w:r>
      <w:r>
        <w:t xml:space="preserve"> </w:t>
      </w:r>
      <w:r>
        <w:t xml:space="preserve">— Days before passwords expire (0 to disable)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Password History</w:t>
      </w:r>
      <w:r>
        <w:t xml:space="preserve"> </w:t>
      </w:r>
      <w:r>
        <w:t xml:space="preserve">— Number of previous passwords to remember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Expiry Warning</w:t>
      </w:r>
      <w:r>
        <w:t xml:space="preserve"> </w:t>
      </w:r>
      <w:r>
        <w:t xml:space="preserve">— Days before expiry to show warnings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Force Password Change</w:t>
      </w:r>
      <w:r>
        <w:t xml:space="preserve"> </w:t>
      </w:r>
      <w:r>
        <w:t xml:space="preserve">— Redirect users to change expired passwords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Account Lockout</w:t>
      </w:r>
      <w:r>
        <w:t xml:space="preserve"> </w:t>
      </w:r>
      <w:r>
        <w:t xml:space="preserve">— Enable/disable and configure thresholds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Session Timeout</w:t>
      </w:r>
      <w:r>
        <w:t xml:space="preserve"> </w:t>
      </w:r>
      <w:r>
        <w:t xml:space="preserve">— Idle timeout duration</w:t>
      </w:r>
    </w:p>
    <w:bookmarkEnd w:id="40"/>
    <w:bookmarkStart w:id="41" w:name="recommended-cron-jobs"/>
    <w:p>
      <w:pPr>
        <w:pStyle w:val="Heading3"/>
      </w:pPr>
      <w:r>
        <w:t xml:space="preserve">Recommended Cron Jobs</w:t>
      </w:r>
    </w:p>
    <w:p>
      <w:pPr>
        <w:pStyle w:val="FirstParagraph"/>
      </w:pPr>
      <w:r>
        <w:t xml:space="preserve">Set up these cron jobs for ongoing security maintenance:</w:t>
      </w:r>
    </w:p>
    <w:p>
      <w:pPr>
        <w:pStyle w:val="SourceCode"/>
      </w:pPr>
      <w:r>
        <w:rPr>
          <w:rStyle w:val="CommentTok"/>
        </w:rPr>
        <w:t xml:space="preserve"># Breach notification check (hourly) — POPIA Section 22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privacy:breach-check </w:t>
      </w:r>
      <w:r>
        <w:rPr>
          <w:rStyle w:val="AttributeTok"/>
        </w:rPr>
        <w:t xml:space="preserve">--email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dpo@example.com</w:t>
      </w:r>
      <w:r>
        <w:br/>
      </w:r>
      <w:r>
        <w:br/>
      </w:r>
      <w:r>
        <w:rPr>
          <w:rStyle w:val="CommentTok"/>
        </w:rPr>
        <w:t xml:space="preserve"># Login attempt cleanup (daily)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tools:cleanup-login-attempts</w:t>
      </w:r>
      <w:r>
        <w:br/>
      </w:r>
      <w:r>
        <w:br/>
      </w:r>
      <w:r>
        <w:rPr>
          <w:rStyle w:val="CommentTok"/>
        </w:rPr>
        <w:t xml:space="preserve"># Audit log retention (weekly)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tools:audit-retention</w:t>
      </w:r>
    </w:p>
    <w:bookmarkEnd w:id="41"/>
    <w:bookmarkStart w:id="42" w:name="compliance-standards"/>
    <w:p>
      <w:pPr>
        <w:pStyle w:val="Heading3"/>
      </w:pPr>
      <w:r>
        <w:t xml:space="preserve">Compliance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categories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27001:2022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A.5-A.8, A.9 access control, A.12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(South 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19, 22, Part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Bell-LaPadula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Security + Star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requirements</w:t>
            </w:r>
          </w:p>
        </w:tc>
      </w:tr>
    </w:tbl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Security User Manual</dc:title>
  <dc:creator>The Archive and Heritage Group (Pty) Ltd</dc:creator>
  <cp:keywords/>
  <dcterms:created xsi:type="dcterms:W3CDTF">2026-03-01T15:57:58Z</dcterms:created>
  <dcterms:modified xsi:type="dcterms:W3CDTF">2026-03-01T15:57:58Z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