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Condition Assessment - How It Works</w:t>
      </w:r>
    </w:p>
    <w:p>
      <w:r>
        <w:rPr>
          <w:i/>
          <w:color w:val="666666"/>
        </w:rPr>
        <w:t>A plain-language guide to understanding how to document and track object condition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Condition Assessment?</w:t>
      </w:r>
    </w:p>
    <w:p>
      <w:r>
        <w:t>The Condition module lets you document the physical state of objects in your collection. It uses customisable templates aligned with Spectrum 5.1 — the UK Collections Trust standard for condition checking — and tracks how condition changes over time.</w:t>
      </w:r>
    </w:p>
    <w:p>
      <w:pPr>
        <w:pStyle w:val="Heading2"/>
      </w:pPr>
      <w:r>
        <w:t>Assessment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an object to assess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Choose a condition template (general, paintings, works on paper, photographs, etc.)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Fill in condition fields (overall rating, specific damage, environmental factors)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Add photographs of any damage or areas of concern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recommendations (treatment needed, handling instructions)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Assessment saved with date and assessor name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Compare with previous assessments to track changes</w:t>
      </w:r>
    </w:p>
    <w:p>
      <w:pPr>
        <w:pStyle w:val="Heading2"/>
      </w:pPr>
      <w:r>
        <w:t>Condition Ratings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Excellent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No visible damage or deterioration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Good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Minor wear consistent with age, no active deterioration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Fair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Some damage or deterioration present but stable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Poor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Significant damage, may need conservation treatment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Unacceptable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Severe damage, immediate treatment required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