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DOI Integration - How It Works</w:t>
      </w:r>
    </w:p>
    <w:p>
      <w:r>
        <w:rPr>
          <w:i/>
          <w:color w:val="666666"/>
        </w:rPr>
        <w:t>A plain-language guide to understanding Digital Object Identifiers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a DOI?</w:t>
      </w:r>
    </w:p>
    <w:p>
      <w:r>
        <w:t>A DOI (Digital Object Identifier) is a permanent link for a digital resource — like a licence plate for your records. Unlike regular URLs that can break, a DOI always resolves to the correct location, even if the website moves. Academic papers use DOIs extensively, and now your archival records can too.</w:t>
      </w:r>
    </w:p>
    <w:p>
      <w:pPr>
        <w:pStyle w:val="Heading2"/>
      </w:pPr>
      <w:r>
        <w:t>DOI Workflow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Select records that should have DOIs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System sends metadata to DataCite (DOI registration agency)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DataCite assigns a unique DOI (e.g. 10.12345/heratio-00001)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DOI is stored on the record and displayed to users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Anyone with the DOI can find your record permanently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If your URL changes, update the DOI target — links still work</w:t>
      </w:r>
    </w:p>
    <w:p>
      <w:pPr>
        <w:pStyle w:val="Heading2"/>
      </w:pPr>
      <w:r>
        <w:t>Benefits</w:t>
      </w:r>
    </w:p>
    <w:p>
      <w:pPr>
        <w:pStyle w:val="ListBullet"/>
      </w:pPr>
      <w:r>
        <w:t>Permanent, citable links to your collection items</w:t>
      </w:r>
    </w:p>
    <w:p>
      <w:pPr>
        <w:pStyle w:val="ListBullet"/>
      </w:pPr>
      <w:r>
        <w:t>Researchers can reference your records in publications</w:t>
      </w:r>
    </w:p>
    <w:p>
      <w:pPr>
        <w:pStyle w:val="ListBullet"/>
      </w:pPr>
      <w:r>
        <w:t>DOIs increase the discoverability and credibility of your collection</w:t>
      </w:r>
    </w:p>
    <w:p>
      <w:pPr>
        <w:pStyle w:val="ListBullet"/>
      </w:pPr>
      <w:r>
        <w:t>Integrates with academic citation systems (CrossRef, ORCID)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