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Donor Agreements - How It Works</w:t>
      </w:r>
    </w:p>
    <w:p>
      <w:r>
        <w:rPr>
          <w:i/>
          <w:color w:val="666666"/>
        </w:rPr>
        <w:t>A plain-language guide to understanding how to manage donation agreements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a Donor Agreement?</w:t>
      </w:r>
    </w:p>
    <w:p>
      <w:r>
        <w:t>A Donor Agreement is the formal contract between a donor and your institution when materials are donated. It records what was donated, under what conditions, what restrictions apply, and the legal transfer of ownership or custody.</w:t>
      </w:r>
    </w:p>
    <w:p>
      <w:pPr>
        <w:pStyle w:val="Heading2"/>
      </w:pPr>
      <w:r>
        <w:t>Agreement Workflow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Donor contacts institution about donating materials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creates a new donor agreement record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Link the agreement to the donor (from Donor module)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agreement details: terms, restrictions, conditions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Link to specific records or accessions being donated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Upload signed agreement document (PDF/scan)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Agreement approved by authorised staff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Materials received and accessioned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Agreement archived for compliance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