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Heratio Forms Builder - How It Works</w:t>
      </w:r>
    </w:p>
    <w:p>
      <w:r>
        <w:rPr>
          <w:i/>
          <w:color w:val="666666"/>
        </w:rPr>
        <w:t>A plain-language guide to understanding configurable metadata entry forms in your Heratio platform.</w:t>
      </w:r>
    </w:p>
    <w:p>
      <w:pPr>
        <w:spacing w:before="80" w:after="80"/>
      </w:pPr>
      <w:r>
        <w:rPr>
          <w:color w:val="CCCCCC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What Is the Forms Builder?</w:t>
      </w:r>
    </w:p>
    <w:p>
      <w:r>
        <w:t>The Forms Builder lets administrators customise which fields appear on data entry forms for each repository. Different collections need different fields — a photographic archive needs different metadata than a rare books library. Instead of one-size-fits-all, each repository can have its own tailored form.</w:t>
      </w:r>
    </w:p>
    <w:p>
      <w:pPr>
        <w:pStyle w:val="Heading2"/>
      </w:pPr>
      <w:r>
        <w:t>How It Works</w:t>
      </w:r>
    </w:p>
    <w:p>
      <w:pPr>
        <w:spacing w:before="20" w:after="20"/>
        <w:ind w:left="1134"/>
      </w:pPr>
      <w:r>
        <w:rPr>
          <w:rFonts w:ascii="Consolas" w:hAnsi="Consolas"/>
          <w:sz w:val="19"/>
        </w:rPr>
        <w:t xml:space="preserve">  Admin opens Forms Builder for a repository</w:t>
      </w:r>
    </w:p>
    <w:p>
      <w:pPr>
        <w:spacing w:before="0" w:after="0"/>
        <w:ind w:left="1134"/>
      </w:pPr>
      <w:r>
        <w:rPr>
          <w:rFonts w:ascii="Consolas" w:hAnsi="Consolas"/>
          <w:color w:val="999999"/>
          <w:sz w:val="19"/>
        </w:rPr>
        <w:t xml:space="preserve">       │</w:t>
      </w:r>
    </w:p>
    <w:p>
      <w:pPr>
        <w:spacing w:before="0" w:after="0"/>
        <w:ind w:left="1134"/>
      </w:pPr>
      <w:r>
        <w:rPr>
          <w:rFonts w:ascii="Consolas" w:hAnsi="Consolas"/>
          <w:color w:val="999999"/>
          <w:sz w:val="19"/>
        </w:rPr>
        <w:t xml:space="preserve">       ▼</w:t>
      </w:r>
    </w:p>
    <w:p>
      <w:pPr>
        <w:spacing w:before="20" w:after="20"/>
        <w:ind w:left="1134"/>
      </w:pPr>
      <w:r>
        <w:rPr>
          <w:rFonts w:ascii="Consolas" w:hAnsi="Consolas"/>
          <w:sz w:val="19"/>
        </w:rPr>
        <w:t xml:space="preserve">  Sees all available metadata fields</w:t>
      </w:r>
    </w:p>
    <w:p>
      <w:pPr>
        <w:spacing w:before="0" w:after="0"/>
        <w:ind w:left="1134"/>
      </w:pPr>
      <w:r>
        <w:rPr>
          <w:rFonts w:ascii="Consolas" w:hAnsi="Consolas"/>
          <w:color w:val="999999"/>
          <w:sz w:val="19"/>
        </w:rPr>
        <w:t xml:space="preserve">       │</w:t>
      </w:r>
    </w:p>
    <w:p>
      <w:pPr>
        <w:spacing w:before="0" w:after="0"/>
        <w:ind w:left="1134"/>
      </w:pPr>
      <w:r>
        <w:rPr>
          <w:rFonts w:ascii="Consolas" w:hAnsi="Consolas"/>
          <w:color w:val="999999"/>
          <w:sz w:val="19"/>
        </w:rPr>
        <w:t xml:space="preserve">       ▼</w:t>
      </w:r>
    </w:p>
    <w:p>
      <w:pPr>
        <w:spacing w:before="20" w:after="20"/>
        <w:ind w:left="1134"/>
      </w:pPr>
      <w:r>
        <w:rPr>
          <w:rFonts w:ascii="Consolas" w:hAnsi="Consolas"/>
          <w:sz w:val="19"/>
        </w:rPr>
        <w:t xml:space="preserve">  Drags fields into the desired order</w:t>
      </w:r>
    </w:p>
    <w:p>
      <w:pPr>
        <w:spacing w:before="0" w:after="0"/>
        <w:ind w:left="1134"/>
      </w:pPr>
      <w:r>
        <w:rPr>
          <w:rFonts w:ascii="Consolas" w:hAnsi="Consolas"/>
          <w:color w:val="999999"/>
          <w:sz w:val="19"/>
        </w:rPr>
        <w:t xml:space="preserve">       │</w:t>
      </w:r>
    </w:p>
    <w:p>
      <w:pPr>
        <w:spacing w:before="0" w:after="0"/>
        <w:ind w:left="1134"/>
      </w:pPr>
      <w:r>
        <w:rPr>
          <w:rFonts w:ascii="Consolas" w:hAnsi="Consolas"/>
          <w:color w:val="999999"/>
          <w:sz w:val="19"/>
        </w:rPr>
        <w:t xml:space="preserve">       ▼</w:t>
      </w:r>
    </w:p>
    <w:p>
      <w:pPr>
        <w:spacing w:before="20" w:after="20"/>
        <w:ind w:left="1134"/>
      </w:pPr>
      <w:r>
        <w:rPr>
          <w:rFonts w:ascii="Consolas" w:hAnsi="Consolas"/>
          <w:sz w:val="19"/>
        </w:rPr>
        <w:t xml:space="preserve">  Marks fields as required, optional, or hidden</w:t>
      </w:r>
    </w:p>
    <w:p>
      <w:pPr>
        <w:spacing w:before="0" w:after="0"/>
        <w:ind w:left="1134"/>
      </w:pPr>
      <w:r>
        <w:rPr>
          <w:rFonts w:ascii="Consolas" w:hAnsi="Consolas"/>
          <w:color w:val="999999"/>
          <w:sz w:val="19"/>
        </w:rPr>
        <w:t xml:space="preserve">       │</w:t>
      </w:r>
    </w:p>
    <w:p>
      <w:pPr>
        <w:spacing w:before="0" w:after="0"/>
        <w:ind w:left="1134"/>
      </w:pPr>
      <w:r>
        <w:rPr>
          <w:rFonts w:ascii="Consolas" w:hAnsi="Consolas"/>
          <w:color w:val="999999"/>
          <w:sz w:val="19"/>
        </w:rPr>
        <w:t xml:space="preserve">       ▼</w:t>
      </w:r>
    </w:p>
    <w:p>
      <w:pPr>
        <w:spacing w:before="20" w:after="20"/>
        <w:ind w:left="1134"/>
      </w:pPr>
      <w:r>
        <w:rPr>
          <w:rFonts w:ascii="Consolas" w:hAnsi="Consolas"/>
          <w:sz w:val="19"/>
        </w:rPr>
        <w:t xml:space="preserve">  Saves the form configuration</w:t>
      </w:r>
    </w:p>
    <w:p>
      <w:pPr>
        <w:spacing w:before="0" w:after="0"/>
        <w:ind w:left="1134"/>
      </w:pPr>
      <w:r>
        <w:rPr>
          <w:rFonts w:ascii="Consolas" w:hAnsi="Consolas"/>
          <w:color w:val="999999"/>
          <w:sz w:val="19"/>
        </w:rPr>
        <w:t xml:space="preserve">       │</w:t>
      </w:r>
    </w:p>
    <w:p>
      <w:pPr>
        <w:spacing w:before="0" w:after="0"/>
        <w:ind w:left="1134"/>
      </w:pPr>
      <w:r>
        <w:rPr>
          <w:rFonts w:ascii="Consolas" w:hAnsi="Consolas"/>
          <w:color w:val="999999"/>
          <w:sz w:val="19"/>
        </w:rPr>
        <w:t xml:space="preserve">       ▼</w:t>
      </w:r>
    </w:p>
    <w:p>
      <w:pPr>
        <w:spacing w:before="20" w:after="20"/>
        <w:ind w:left="1134"/>
      </w:pPr>
      <w:r>
        <w:rPr>
          <w:rFonts w:ascii="Consolas" w:hAnsi="Consolas"/>
          <w:sz w:val="19"/>
        </w:rPr>
        <w:t xml:space="preserve">  Users entering data for that repository see the customised form</w:t>
      </w:r>
    </w:p>
    <w:p>
      <w:pPr>
        <w:spacing w:before="80" w:after="80"/>
      </w:pPr>
      <w:r>
        <w:rPr>
          <w:color w:val="CCCCCC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i/>
          <w:color w:val="999999"/>
          <w:sz w:val="18"/>
        </w:rPr>
        <w:t>This module is part of the Heratio platform by The Archive and Heritage Group.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 w:ascii="Calibri" w:hAnsi="Calibri"/>
      <w:b/>
      <w:bCs/>
      <w:color w:val="1A56DB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60"/>
      <w:outlineLvl w:val="1"/>
    </w:pPr>
    <w:rPr>
      <w:rFonts w:asciiTheme="majorHAnsi" w:eastAsiaTheme="majorEastAsia" w:hAnsiTheme="majorHAnsi" w:cstheme="majorBidi" w:ascii="Calibri" w:hAnsi="Calibri"/>
      <w:b/>
      <w:bCs/>
      <w:color w:val="1A56DB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1A56DB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